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Audit Standards Reference</w:t>
      </w:r>
    </w:p>
    <w:p>
      <w:r>
        <w:t>This document serves as a condensed knowledge base for the workshop agent examples.</w:t>
      </w:r>
    </w:p>
    <w:p>
      <w:pPr>
        <w:pStyle w:val="Heading1"/>
      </w:pPr>
      <w:r>
        <w:t>Materiality</w:t>
      </w:r>
    </w:p>
    <w:p>
      <w:r>
        <w:t>Materiality determination is a critical step in audit planning (AU-C Section 320, ISA 320).</w:t>
      </w:r>
    </w:p>
    <w:p>
      <w:pPr>
        <w:pStyle w:val="ListBullet"/>
      </w:pPr>
      <w:r>
        <w:t>Overall materiality is typically calculated as a percentage of a chosen benchmark (e.g., 5% of pre-tax income, 0.5–1% of total revenue, or 1–2% of total assets).</w:t>
      </w:r>
    </w:p>
    <w:p>
      <w:pPr>
        <w:pStyle w:val="ListBullet"/>
      </w:pPr>
      <w:r>
        <w:t>Performance materiality is set lower than overall materiality (typically 50–75%) to reduce the risk that uncorrected and undetected misstatements exceed overall materiality.</w:t>
      </w:r>
    </w:p>
    <w:p>
      <w:pPr>
        <w:pStyle w:val="ListBullet"/>
      </w:pPr>
      <w:r>
        <w:t>Clearly trivial threshold is typically set at 3–5% of overall materiality — misstatements below this amount need not be accumulated.</w:t>
      </w:r>
    </w:p>
    <w:p>
      <w:pPr>
        <w:pStyle w:val="ListBullet"/>
      </w:pPr>
      <w:r>
        <w:t>Materiality should be reassessed as the audit progresses if new information changes the auditor's judgment.</w:t>
      </w:r>
    </w:p>
    <w:p>
      <w:pPr>
        <w:pStyle w:val="Heading1"/>
      </w:pPr>
      <w:r>
        <w:t>Risk Assessment</w:t>
      </w:r>
    </w:p>
    <w:p>
      <w:r>
        <w:t>Risk of material misstatement must be assessed at both the financial statement level and the assertion level (AU-C 315, AS 2110).</w:t>
      </w:r>
    </w:p>
    <w:p>
      <w:pPr>
        <w:pStyle w:val="Heading2"/>
      </w:pPr>
      <w:r>
        <w:t>Inherent Risk Factors</w:t>
      </w:r>
    </w:p>
    <w:p>
      <w:pPr>
        <w:pStyle w:val="ListBullet"/>
      </w:pPr>
      <w:r>
        <w:t>Nature of the entity and its industry</w:t>
      </w:r>
    </w:p>
    <w:p>
      <w:pPr>
        <w:pStyle w:val="ListBullet"/>
      </w:pPr>
      <w:r>
        <w:t>Complexity of transactions</w:t>
      </w:r>
    </w:p>
    <w:p>
      <w:pPr>
        <w:pStyle w:val="ListBullet"/>
      </w:pPr>
      <w:r>
        <w:t>Degree of estimation and judgment</w:t>
      </w:r>
    </w:p>
    <w:p>
      <w:pPr>
        <w:pStyle w:val="ListBullet"/>
      </w:pPr>
      <w:r>
        <w:t>Susceptibility to fraud</w:t>
      </w:r>
    </w:p>
    <w:p>
      <w:pPr>
        <w:pStyle w:val="ListBullet"/>
      </w:pPr>
      <w:r>
        <w:t>Recent changes in operations or accounting standards</w:t>
      </w:r>
    </w:p>
    <w:p>
      <w:pPr>
        <w:pStyle w:val="Heading2"/>
      </w:pPr>
      <w:r>
        <w:t>Control Risk Factors</w:t>
      </w:r>
    </w:p>
    <w:p>
      <w:pPr>
        <w:pStyle w:val="ListBullet"/>
      </w:pPr>
      <w:r>
        <w:t>Design effectiveness of internal controls</w:t>
      </w:r>
    </w:p>
    <w:p>
      <w:pPr>
        <w:pStyle w:val="ListBullet"/>
      </w:pPr>
      <w:r>
        <w:t>Operating effectiveness (tested through walkthroughs and sampling)</w:t>
      </w:r>
    </w:p>
    <w:p>
      <w:pPr>
        <w:pStyle w:val="ListBullet"/>
      </w:pPr>
      <w:r>
        <w:t>IT general controls and application controls</w:t>
      </w:r>
    </w:p>
    <w:p>
      <w:pPr>
        <w:pStyle w:val="ListBullet"/>
      </w:pPr>
      <w:r>
        <w:t>Segregation of duties</w:t>
      </w:r>
    </w:p>
    <w:p>
      <w:pPr>
        <w:pStyle w:val="Heading1"/>
      </w:pPr>
      <w:r>
        <w:t>Fraud Considerations</w:t>
      </w:r>
    </w:p>
    <w:p>
      <w:r>
        <w:t>Per AU-C 240 / AS 2401, auditors must:</w:t>
      </w:r>
    </w:p>
    <w:p>
      <w:pPr>
        <w:pStyle w:val="ListBullet"/>
      </w:pPr>
      <w:r>
        <w:t>Maintain professional skepticism throughout the audit</w:t>
      </w:r>
    </w:p>
    <w:p>
      <w:pPr>
        <w:pStyle w:val="ListBullet"/>
      </w:pPr>
      <w:r>
        <w:t>Discuss fraud risks with the engagement team (brainstorming session)</w:t>
      </w:r>
    </w:p>
    <w:p>
      <w:pPr>
        <w:pStyle w:val="ListBullet"/>
      </w:pPr>
      <w:r>
        <w:t>Identify and assess risks of material misstatement due to fraud</w:t>
      </w:r>
    </w:p>
    <w:p>
      <w:pPr>
        <w:pStyle w:val="ListBullet"/>
      </w:pPr>
      <w:r>
        <w:t>Respond to assessed fraud risks with appropriate audit procedures</w:t>
      </w:r>
    </w:p>
    <w:p>
      <w:pPr>
        <w:pStyle w:val="ListBullet"/>
      </w:pPr>
      <w:r>
        <w:t>Revenue recognition is presumed to be a fraud risk unless rebutted</w:t>
      </w:r>
    </w:p>
    <w:p>
      <w:pPr>
        <w:pStyle w:val="Heading1"/>
      </w:pPr>
      <w:r>
        <w:t>Internal Controls</w:t>
      </w:r>
    </w:p>
    <w:p>
      <w:r>
        <w:t>Understanding internal controls is required per AU-C 315 / AS 2201:</w:t>
      </w:r>
    </w:p>
    <w:p>
      <w:pPr>
        <w:pStyle w:val="ListNumber"/>
      </w:pPr>
      <w:r>
        <w:t>Control environment — tone at the top, governance, ethics</w:t>
      </w:r>
    </w:p>
    <w:p>
      <w:pPr>
        <w:pStyle w:val="ListNumber"/>
      </w:pPr>
      <w:r>
        <w:t>Risk assessment process — how management identifies risks</w:t>
      </w:r>
    </w:p>
    <w:p>
      <w:pPr>
        <w:pStyle w:val="ListNumber"/>
      </w:pPr>
      <w:r>
        <w:t>Information systems — relevant to financial reporting</w:t>
      </w:r>
    </w:p>
    <w:p>
      <w:pPr>
        <w:pStyle w:val="ListNumber"/>
      </w:pPr>
      <w:r>
        <w:t>Control activities — policies and procedures for control objectives</w:t>
      </w:r>
    </w:p>
    <w:p>
      <w:pPr>
        <w:pStyle w:val="ListNumber"/>
      </w:pPr>
      <w:r>
        <w:t>Monitoring — ongoing and separate evaluations of control effectiveness</w:t>
      </w:r>
    </w:p>
    <w:p>
      <w:pPr>
        <w:pStyle w:val="Heading1"/>
      </w:pPr>
      <w:r>
        <w:t>Sampling</w:t>
      </w:r>
    </w:p>
    <w:p>
      <w:r>
        <w:t>Audit sampling (AU-C 530) approaches:</w:t>
      </w:r>
    </w:p>
    <w:p>
      <w:pPr>
        <w:pStyle w:val="ListBullet"/>
      </w:pPr>
      <w:r>
        <w:t>Statistical sampling — allows quantification of sampling risk</w:t>
      </w:r>
    </w:p>
    <w:p>
      <w:pPr>
        <w:pStyle w:val="ListBullet"/>
      </w:pPr>
      <w:r>
        <w:t>Non-statistical sampling — relies on auditor judgment</w:t>
      </w:r>
    </w:p>
    <w:p>
      <w:pPr>
        <w:pStyle w:val="ListBullet"/>
      </w:pPr>
      <w:r>
        <w:t>Sample size factors: expected deviation rate, tolerable deviation rate, risk of overreliance</w:t>
      </w:r>
    </w:p>
    <w:p>
      <w:pPr>
        <w:pStyle w:val="ListBullet"/>
      </w:pPr>
      <w:r>
        <w:t>Monetary unit sampling (MUS) is commonly used for substantive testing of account balances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