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2D2A9" w14:textId="77777777" w:rsidR="00D16FE1" w:rsidRPr="001C713C" w:rsidRDefault="00D16FE1" w:rsidP="00C54254">
      <w:pPr>
        <w:pStyle w:val="Default"/>
        <w:jc w:val="center"/>
        <w:rPr>
          <w:rFonts w:asciiTheme="minorHAnsi" w:hAnsiTheme="minorHAnsi" w:cstheme="minorHAnsi"/>
          <w:sz w:val="44"/>
          <w:szCs w:val="44"/>
          <w:lang w:val="en-US"/>
        </w:rPr>
      </w:pPr>
      <w:proofErr w:type="spellStart"/>
      <w:r w:rsidRPr="001C713C">
        <w:rPr>
          <w:rFonts w:asciiTheme="minorHAnsi" w:hAnsiTheme="minorHAnsi" w:cstheme="minorHAnsi"/>
          <w:sz w:val="44"/>
          <w:szCs w:val="44"/>
          <w:lang w:val="en-US"/>
        </w:rPr>
        <w:t>Eötvös</w:t>
      </w:r>
      <w:proofErr w:type="spellEnd"/>
      <w:r w:rsidRPr="001C713C">
        <w:rPr>
          <w:rFonts w:asciiTheme="minorHAnsi" w:hAnsiTheme="minorHAnsi" w:cstheme="minorHAnsi"/>
          <w:sz w:val="44"/>
          <w:szCs w:val="44"/>
          <w:lang w:val="en-US"/>
        </w:rPr>
        <w:t xml:space="preserve"> </w:t>
      </w:r>
      <w:proofErr w:type="spellStart"/>
      <w:r w:rsidRPr="001C713C">
        <w:rPr>
          <w:rFonts w:asciiTheme="minorHAnsi" w:hAnsiTheme="minorHAnsi" w:cstheme="minorHAnsi"/>
          <w:sz w:val="44"/>
          <w:szCs w:val="44"/>
          <w:lang w:val="en-US"/>
        </w:rPr>
        <w:t>Loránd</w:t>
      </w:r>
      <w:proofErr w:type="spellEnd"/>
      <w:r w:rsidRPr="001C713C">
        <w:rPr>
          <w:rFonts w:asciiTheme="minorHAnsi" w:hAnsiTheme="minorHAnsi" w:cstheme="minorHAnsi"/>
          <w:sz w:val="44"/>
          <w:szCs w:val="44"/>
          <w:lang w:val="en-US"/>
        </w:rPr>
        <w:t xml:space="preserve"> University</w:t>
      </w:r>
    </w:p>
    <w:p w14:paraId="0A48895F" w14:textId="77777777" w:rsidR="00D16FE1" w:rsidRPr="001C713C" w:rsidRDefault="00D16FE1" w:rsidP="00C54254">
      <w:pPr>
        <w:pStyle w:val="Default"/>
        <w:jc w:val="center"/>
        <w:rPr>
          <w:rFonts w:asciiTheme="minorHAnsi" w:hAnsiTheme="minorHAnsi" w:cstheme="minorHAnsi"/>
          <w:sz w:val="44"/>
          <w:szCs w:val="44"/>
          <w:lang w:val="en-US"/>
        </w:rPr>
      </w:pPr>
      <w:r w:rsidRPr="001C713C">
        <w:rPr>
          <w:rFonts w:asciiTheme="minorHAnsi" w:hAnsiTheme="minorHAnsi" w:cstheme="minorHAnsi"/>
          <w:sz w:val="44"/>
          <w:szCs w:val="44"/>
          <w:lang w:val="en-US"/>
        </w:rPr>
        <w:t>Faculty of Social Sciences</w:t>
      </w:r>
    </w:p>
    <w:p w14:paraId="1BCAAB40" w14:textId="77777777" w:rsidR="00D16FE1" w:rsidRPr="001C713C" w:rsidRDefault="00D16FE1" w:rsidP="00C54254">
      <w:pPr>
        <w:pStyle w:val="Default"/>
        <w:jc w:val="center"/>
        <w:rPr>
          <w:rFonts w:asciiTheme="minorHAnsi" w:hAnsiTheme="minorHAnsi" w:cstheme="minorHAnsi"/>
          <w:sz w:val="44"/>
          <w:szCs w:val="44"/>
          <w:lang w:val="en-US"/>
        </w:rPr>
      </w:pPr>
      <w:r w:rsidRPr="001C713C">
        <w:rPr>
          <w:rFonts w:asciiTheme="minorHAnsi" w:hAnsiTheme="minorHAnsi" w:cstheme="minorHAnsi"/>
          <w:sz w:val="44"/>
          <w:szCs w:val="44"/>
          <w:lang w:val="en-US"/>
        </w:rPr>
        <w:t>BACHELOR OF ART PROGRAM</w:t>
      </w:r>
    </w:p>
    <w:p w14:paraId="49187065"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499CAABB"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1A4EB22F"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58167E47"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71F75563"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3893B0E0" w14:textId="77777777" w:rsidR="00D16FE1" w:rsidRPr="001C713C" w:rsidRDefault="00D16FE1" w:rsidP="00C54254">
      <w:pPr>
        <w:pStyle w:val="Default"/>
        <w:jc w:val="center"/>
        <w:rPr>
          <w:rFonts w:asciiTheme="minorHAnsi" w:hAnsiTheme="minorHAnsi" w:cstheme="minorHAnsi"/>
          <w:sz w:val="44"/>
          <w:szCs w:val="44"/>
          <w:highlight w:val="yellow"/>
          <w:lang w:val="en-US"/>
        </w:rPr>
      </w:pPr>
    </w:p>
    <w:p w14:paraId="21073DB1" w14:textId="134CFA00" w:rsidR="00D16FE1" w:rsidRPr="001C713C" w:rsidRDefault="00D16FE1" w:rsidP="00C54254">
      <w:pPr>
        <w:pStyle w:val="Default"/>
        <w:jc w:val="center"/>
        <w:rPr>
          <w:rFonts w:asciiTheme="minorHAnsi" w:hAnsiTheme="minorHAnsi" w:cstheme="minorHAnsi"/>
          <w:sz w:val="44"/>
          <w:szCs w:val="44"/>
          <w:lang w:val="en-US"/>
        </w:rPr>
      </w:pPr>
      <w:r w:rsidRPr="001C713C">
        <w:rPr>
          <w:rFonts w:asciiTheme="minorHAnsi" w:hAnsiTheme="minorHAnsi" w:cstheme="minorHAnsi"/>
          <w:color w:val="auto"/>
          <w:sz w:val="44"/>
          <w:szCs w:val="44"/>
        </w:rPr>
        <w:t xml:space="preserve">The Effects of </w:t>
      </w:r>
      <w:r w:rsidR="00E343EA">
        <w:rPr>
          <w:rFonts w:asciiTheme="minorHAnsi" w:hAnsiTheme="minorHAnsi" w:cstheme="minorHAnsi"/>
          <w:color w:val="auto"/>
          <w:sz w:val="44"/>
          <w:szCs w:val="44"/>
        </w:rPr>
        <w:t>Parental Separation</w:t>
      </w:r>
      <w:r w:rsidR="001B3C6B" w:rsidRPr="001C713C">
        <w:rPr>
          <w:rFonts w:asciiTheme="minorHAnsi" w:hAnsiTheme="minorHAnsi" w:cstheme="minorHAnsi"/>
          <w:color w:val="auto"/>
          <w:sz w:val="44"/>
          <w:szCs w:val="44"/>
        </w:rPr>
        <w:t xml:space="preserve"> </w:t>
      </w:r>
      <w:r w:rsidRPr="001C713C">
        <w:rPr>
          <w:rFonts w:asciiTheme="minorHAnsi" w:hAnsiTheme="minorHAnsi" w:cstheme="minorHAnsi"/>
          <w:color w:val="auto"/>
          <w:sz w:val="44"/>
          <w:szCs w:val="44"/>
        </w:rPr>
        <w:t>on Children’s Academic Performance:</w:t>
      </w:r>
      <w:r w:rsidRPr="001C713C">
        <w:rPr>
          <w:rFonts w:asciiTheme="minorHAnsi" w:hAnsiTheme="minorHAnsi" w:cstheme="minorHAnsi"/>
          <w:i/>
          <w:iCs/>
          <w:color w:val="auto"/>
          <w:sz w:val="44"/>
          <w:szCs w:val="44"/>
        </w:rPr>
        <w:t xml:space="preserve"> Empirical Evidence from Hungary</w:t>
      </w:r>
    </w:p>
    <w:p w14:paraId="2DD6804D" w14:textId="77777777" w:rsidR="00D16FE1" w:rsidRPr="001C713C" w:rsidRDefault="00D16FE1" w:rsidP="00C54254">
      <w:pPr>
        <w:pStyle w:val="Default"/>
        <w:rPr>
          <w:rFonts w:asciiTheme="minorHAnsi" w:hAnsiTheme="minorHAnsi" w:cstheme="minorHAnsi"/>
          <w:sz w:val="23"/>
          <w:szCs w:val="23"/>
          <w:lang w:val="en-US"/>
        </w:rPr>
      </w:pPr>
    </w:p>
    <w:p w14:paraId="1904CB03" w14:textId="77777777" w:rsidR="00D16FE1" w:rsidRPr="001C713C" w:rsidRDefault="00D16FE1" w:rsidP="00C54254">
      <w:pPr>
        <w:pStyle w:val="Default"/>
        <w:rPr>
          <w:rFonts w:asciiTheme="minorHAnsi" w:hAnsiTheme="minorHAnsi" w:cstheme="minorHAnsi"/>
          <w:sz w:val="23"/>
          <w:szCs w:val="23"/>
          <w:lang w:val="en-US"/>
        </w:rPr>
      </w:pPr>
    </w:p>
    <w:p w14:paraId="67ECFF0A" w14:textId="77777777" w:rsidR="00D16FE1" w:rsidRPr="001C713C" w:rsidRDefault="00D16FE1" w:rsidP="00C54254">
      <w:pPr>
        <w:pStyle w:val="Default"/>
        <w:rPr>
          <w:rFonts w:asciiTheme="minorHAnsi" w:hAnsiTheme="minorHAnsi" w:cstheme="minorHAnsi"/>
          <w:sz w:val="23"/>
          <w:szCs w:val="23"/>
          <w:lang w:val="en-US"/>
        </w:rPr>
      </w:pPr>
    </w:p>
    <w:p w14:paraId="0A011161" w14:textId="77777777" w:rsidR="00D16FE1" w:rsidRPr="001C713C" w:rsidRDefault="00D16FE1" w:rsidP="00C54254">
      <w:pPr>
        <w:pStyle w:val="Default"/>
        <w:rPr>
          <w:rFonts w:asciiTheme="minorHAnsi" w:hAnsiTheme="minorHAnsi" w:cstheme="minorHAnsi"/>
          <w:sz w:val="23"/>
          <w:szCs w:val="23"/>
          <w:lang w:val="en-US"/>
        </w:rPr>
      </w:pPr>
    </w:p>
    <w:p w14:paraId="66047B8C" w14:textId="77777777" w:rsidR="00D16FE1" w:rsidRPr="001C713C" w:rsidRDefault="00D16FE1" w:rsidP="00C54254">
      <w:pPr>
        <w:pStyle w:val="Default"/>
        <w:rPr>
          <w:rFonts w:asciiTheme="minorHAnsi" w:hAnsiTheme="minorHAnsi" w:cstheme="minorHAnsi"/>
          <w:sz w:val="23"/>
          <w:szCs w:val="23"/>
          <w:lang w:val="en-US"/>
        </w:rPr>
      </w:pPr>
    </w:p>
    <w:p w14:paraId="5504845F" w14:textId="77777777" w:rsidR="00D16FE1" w:rsidRPr="001C713C" w:rsidRDefault="00D16FE1" w:rsidP="00C54254">
      <w:pPr>
        <w:pStyle w:val="Default"/>
        <w:rPr>
          <w:rFonts w:asciiTheme="minorHAnsi" w:hAnsiTheme="minorHAnsi" w:cstheme="minorHAnsi"/>
          <w:sz w:val="23"/>
          <w:szCs w:val="23"/>
          <w:lang w:val="en-US"/>
        </w:rPr>
      </w:pPr>
    </w:p>
    <w:p w14:paraId="29571A89" w14:textId="77777777" w:rsidR="00D16FE1" w:rsidRPr="001C713C" w:rsidRDefault="00D16FE1" w:rsidP="00C54254">
      <w:pPr>
        <w:pStyle w:val="Default"/>
        <w:rPr>
          <w:rFonts w:asciiTheme="minorHAnsi" w:hAnsiTheme="minorHAnsi" w:cstheme="minorHAnsi"/>
          <w:sz w:val="23"/>
          <w:szCs w:val="23"/>
          <w:lang w:val="en-US"/>
        </w:rPr>
      </w:pPr>
    </w:p>
    <w:p w14:paraId="0DA1D470" w14:textId="77777777" w:rsidR="00D16FE1" w:rsidRPr="001C713C" w:rsidRDefault="00D16FE1" w:rsidP="00C54254">
      <w:pPr>
        <w:pStyle w:val="Default"/>
        <w:rPr>
          <w:rFonts w:asciiTheme="minorHAnsi" w:hAnsiTheme="minorHAnsi" w:cstheme="minorHAnsi"/>
          <w:sz w:val="23"/>
          <w:szCs w:val="23"/>
          <w:lang w:val="en-US"/>
        </w:rPr>
      </w:pPr>
    </w:p>
    <w:p w14:paraId="145F77ED" w14:textId="77777777" w:rsidR="00D16FE1" w:rsidRPr="001C713C" w:rsidRDefault="00D16FE1" w:rsidP="00C54254">
      <w:pPr>
        <w:pStyle w:val="Default"/>
        <w:rPr>
          <w:rFonts w:asciiTheme="minorHAnsi" w:hAnsiTheme="minorHAnsi" w:cstheme="minorHAnsi"/>
          <w:sz w:val="23"/>
          <w:szCs w:val="23"/>
          <w:lang w:val="en-US"/>
        </w:rPr>
      </w:pPr>
    </w:p>
    <w:p w14:paraId="6583AFE0" w14:textId="77777777" w:rsidR="00D16FE1" w:rsidRPr="001C713C" w:rsidRDefault="00D16FE1" w:rsidP="00C54254">
      <w:pPr>
        <w:pStyle w:val="Default"/>
        <w:rPr>
          <w:rFonts w:asciiTheme="minorHAnsi" w:hAnsiTheme="minorHAnsi" w:cstheme="minorHAnsi"/>
          <w:sz w:val="23"/>
          <w:szCs w:val="23"/>
          <w:lang w:val="en-US"/>
        </w:rPr>
      </w:pPr>
    </w:p>
    <w:p w14:paraId="07FF161F" w14:textId="77777777" w:rsidR="00D16FE1" w:rsidRPr="001C713C" w:rsidRDefault="00D16FE1" w:rsidP="00C54254">
      <w:pPr>
        <w:pStyle w:val="Default"/>
        <w:rPr>
          <w:rFonts w:asciiTheme="minorHAnsi" w:hAnsiTheme="minorHAnsi" w:cstheme="minorHAnsi"/>
          <w:sz w:val="23"/>
          <w:szCs w:val="23"/>
          <w:lang w:val="en-US"/>
        </w:rPr>
      </w:pPr>
    </w:p>
    <w:p w14:paraId="60004C65" w14:textId="77777777" w:rsidR="00D16FE1" w:rsidRPr="001C713C" w:rsidRDefault="00D16FE1" w:rsidP="00C54254">
      <w:pPr>
        <w:pStyle w:val="Default"/>
        <w:rPr>
          <w:rFonts w:asciiTheme="minorHAnsi" w:hAnsiTheme="minorHAnsi" w:cstheme="minorHAnsi"/>
          <w:sz w:val="23"/>
          <w:szCs w:val="23"/>
          <w:lang w:val="en-US"/>
        </w:rPr>
      </w:pPr>
    </w:p>
    <w:p w14:paraId="067FB42F" w14:textId="77777777" w:rsidR="00D16FE1" w:rsidRPr="001C713C" w:rsidRDefault="00D16FE1" w:rsidP="00C54254">
      <w:pPr>
        <w:pStyle w:val="Default"/>
        <w:rPr>
          <w:rFonts w:asciiTheme="minorHAnsi" w:hAnsiTheme="minorHAnsi" w:cstheme="minorHAnsi"/>
          <w:sz w:val="23"/>
          <w:szCs w:val="23"/>
          <w:lang w:val="en-US"/>
        </w:rPr>
      </w:pPr>
    </w:p>
    <w:p w14:paraId="6C301B5B" w14:textId="77777777" w:rsidR="00D16FE1" w:rsidRPr="001C713C" w:rsidRDefault="00D16FE1" w:rsidP="00C54254">
      <w:pPr>
        <w:pStyle w:val="Default"/>
        <w:rPr>
          <w:rFonts w:asciiTheme="minorHAnsi" w:hAnsiTheme="minorHAnsi" w:cstheme="minorHAnsi"/>
          <w:sz w:val="23"/>
          <w:szCs w:val="23"/>
          <w:lang w:val="en-US"/>
        </w:rPr>
      </w:pPr>
    </w:p>
    <w:p w14:paraId="0C965950" w14:textId="77777777" w:rsidR="00D16FE1" w:rsidRPr="001C713C" w:rsidRDefault="00D16FE1" w:rsidP="00C54254">
      <w:pPr>
        <w:pStyle w:val="Default"/>
        <w:rPr>
          <w:rFonts w:asciiTheme="minorHAnsi" w:hAnsiTheme="minorHAnsi" w:cstheme="minorHAnsi"/>
          <w:sz w:val="23"/>
          <w:szCs w:val="23"/>
          <w:lang w:val="en-US"/>
        </w:rPr>
      </w:pPr>
    </w:p>
    <w:p w14:paraId="7EED1139" w14:textId="77777777" w:rsidR="00D16FE1" w:rsidRPr="001C713C" w:rsidRDefault="00D16FE1" w:rsidP="00C54254">
      <w:pPr>
        <w:pStyle w:val="Default"/>
        <w:rPr>
          <w:rFonts w:asciiTheme="minorHAnsi" w:hAnsiTheme="minorHAnsi" w:cstheme="minorHAnsi"/>
          <w:sz w:val="23"/>
          <w:szCs w:val="23"/>
          <w:lang w:val="en-US"/>
        </w:rPr>
      </w:pPr>
    </w:p>
    <w:p w14:paraId="67BABCA1" w14:textId="77777777" w:rsidR="00D16FE1" w:rsidRPr="001C713C" w:rsidRDefault="00D16FE1" w:rsidP="00C54254">
      <w:pPr>
        <w:pStyle w:val="Default"/>
        <w:rPr>
          <w:rFonts w:asciiTheme="minorHAnsi" w:hAnsiTheme="minorHAnsi" w:cstheme="minorHAnsi"/>
          <w:sz w:val="23"/>
          <w:szCs w:val="23"/>
          <w:lang w:val="en-US"/>
        </w:rPr>
      </w:pPr>
    </w:p>
    <w:p w14:paraId="01E34F53" w14:textId="77777777" w:rsidR="00D16FE1" w:rsidRPr="001C713C" w:rsidRDefault="00D16FE1" w:rsidP="00C54254">
      <w:pPr>
        <w:pStyle w:val="Default"/>
        <w:rPr>
          <w:rFonts w:asciiTheme="minorHAnsi" w:hAnsiTheme="minorHAnsi" w:cstheme="minorHAnsi"/>
          <w:sz w:val="36"/>
          <w:szCs w:val="36"/>
          <w:lang w:val="en-US"/>
        </w:rPr>
      </w:pPr>
      <w:r w:rsidRPr="001C713C">
        <w:rPr>
          <w:rFonts w:asciiTheme="minorHAnsi" w:hAnsiTheme="minorHAnsi" w:cstheme="minorHAnsi"/>
          <w:sz w:val="36"/>
          <w:szCs w:val="36"/>
          <w:lang w:val="en-US"/>
        </w:rPr>
        <w:t xml:space="preserve">Supervisor: </w:t>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t>Author:</w:t>
      </w:r>
    </w:p>
    <w:p w14:paraId="0866C6AC" w14:textId="438DF4EA" w:rsidR="00D16FE1" w:rsidRPr="001C713C" w:rsidRDefault="00D16FE1" w:rsidP="00C54254">
      <w:pPr>
        <w:pStyle w:val="Default"/>
        <w:rPr>
          <w:rFonts w:asciiTheme="minorHAnsi" w:hAnsiTheme="minorHAnsi" w:cstheme="minorHAnsi"/>
          <w:sz w:val="36"/>
          <w:szCs w:val="36"/>
          <w:lang w:val="en-US"/>
        </w:rPr>
      </w:pPr>
      <w:r w:rsidRPr="001C713C">
        <w:rPr>
          <w:rFonts w:asciiTheme="minorHAnsi" w:hAnsiTheme="minorHAnsi" w:cstheme="minorHAnsi"/>
          <w:sz w:val="36"/>
          <w:szCs w:val="36"/>
          <w:lang w:val="en-US"/>
        </w:rPr>
        <w:t xml:space="preserve">Horn </w:t>
      </w:r>
      <w:proofErr w:type="spellStart"/>
      <w:r w:rsidRPr="001C713C">
        <w:rPr>
          <w:rFonts w:asciiTheme="minorHAnsi" w:hAnsiTheme="minorHAnsi" w:cstheme="minorHAnsi"/>
          <w:sz w:val="36"/>
          <w:szCs w:val="36"/>
          <w:lang w:val="en-US"/>
        </w:rPr>
        <w:t>Dániel</w:t>
      </w:r>
      <w:proofErr w:type="spellEnd"/>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r>
      <w:r w:rsidRPr="001C713C">
        <w:rPr>
          <w:rFonts w:asciiTheme="minorHAnsi" w:hAnsiTheme="minorHAnsi" w:cstheme="minorHAnsi"/>
          <w:sz w:val="36"/>
          <w:szCs w:val="36"/>
          <w:lang w:val="en-US"/>
        </w:rPr>
        <w:tab/>
        <w:t>Nguyen Nam Son</w:t>
      </w:r>
    </w:p>
    <w:p w14:paraId="69E06BB5" w14:textId="4D93ABBB" w:rsidR="00D16FE1" w:rsidRPr="001C713C" w:rsidRDefault="00D16FE1" w:rsidP="00C54254">
      <w:pPr>
        <w:pStyle w:val="Default"/>
        <w:ind w:left="4956" w:firstLine="708"/>
        <w:rPr>
          <w:rFonts w:asciiTheme="minorHAnsi" w:hAnsiTheme="minorHAnsi" w:cstheme="minorHAnsi"/>
          <w:sz w:val="36"/>
          <w:szCs w:val="36"/>
          <w:lang w:val="en-US"/>
        </w:rPr>
      </w:pPr>
      <w:r w:rsidRPr="001C713C">
        <w:rPr>
          <w:rFonts w:asciiTheme="minorHAnsi" w:hAnsiTheme="minorHAnsi" w:cstheme="minorHAnsi"/>
          <w:sz w:val="36"/>
          <w:szCs w:val="36"/>
          <w:lang w:val="en-US"/>
        </w:rPr>
        <w:t xml:space="preserve"> GES0XD</w:t>
      </w:r>
    </w:p>
    <w:p w14:paraId="6190EA91" w14:textId="731ECF39" w:rsidR="00D16FE1" w:rsidRPr="001C713C" w:rsidRDefault="00D16FE1" w:rsidP="00C54254">
      <w:pPr>
        <w:pStyle w:val="Default"/>
        <w:ind w:left="4956" w:firstLine="708"/>
        <w:rPr>
          <w:rFonts w:asciiTheme="minorHAnsi" w:hAnsiTheme="minorHAnsi" w:cstheme="minorHAnsi"/>
          <w:sz w:val="36"/>
          <w:szCs w:val="36"/>
          <w:lang w:val="en-US"/>
        </w:rPr>
      </w:pPr>
      <w:r w:rsidRPr="001C713C">
        <w:rPr>
          <w:rFonts w:asciiTheme="minorHAnsi" w:hAnsiTheme="minorHAnsi" w:cstheme="minorHAnsi"/>
          <w:sz w:val="36"/>
          <w:szCs w:val="36"/>
          <w:lang w:val="en-US"/>
        </w:rPr>
        <w:t xml:space="preserve"> Applied Economics</w:t>
      </w:r>
    </w:p>
    <w:p w14:paraId="0F8395D8" w14:textId="77777777" w:rsidR="00D16FE1" w:rsidRPr="001C713C" w:rsidRDefault="00D16FE1" w:rsidP="00C54254">
      <w:pPr>
        <w:pStyle w:val="Default"/>
        <w:ind w:left="4956" w:firstLine="708"/>
        <w:rPr>
          <w:rFonts w:asciiTheme="minorHAnsi" w:hAnsiTheme="minorHAnsi" w:cstheme="minorHAnsi"/>
          <w:sz w:val="36"/>
          <w:szCs w:val="36"/>
          <w:lang w:val="en-US"/>
        </w:rPr>
      </w:pPr>
    </w:p>
    <w:p w14:paraId="06EDB25D" w14:textId="7A33B567" w:rsidR="00E175A1" w:rsidRPr="003E1CB6" w:rsidRDefault="00D16FE1" w:rsidP="003E1CB6">
      <w:pPr>
        <w:pStyle w:val="Default"/>
        <w:jc w:val="center"/>
        <w:rPr>
          <w:rFonts w:asciiTheme="minorHAnsi" w:hAnsiTheme="minorHAnsi" w:cstheme="minorHAnsi"/>
          <w:sz w:val="36"/>
          <w:szCs w:val="36"/>
          <w:lang w:val="en-US"/>
        </w:rPr>
      </w:pPr>
      <w:r w:rsidRPr="001C713C">
        <w:rPr>
          <w:rFonts w:asciiTheme="minorHAnsi" w:hAnsiTheme="minorHAnsi" w:cstheme="minorHAnsi"/>
          <w:sz w:val="36"/>
          <w:szCs w:val="36"/>
          <w:lang w:val="en-US"/>
        </w:rPr>
        <w:t>April 2021</w:t>
      </w:r>
    </w:p>
    <w:sdt>
      <w:sdtPr>
        <w:rPr>
          <w:rFonts w:eastAsiaTheme="minorHAnsi" w:cstheme="minorBidi"/>
          <w:sz w:val="22"/>
          <w:szCs w:val="22"/>
        </w:rPr>
        <w:id w:val="194890292"/>
        <w:docPartObj>
          <w:docPartGallery w:val="Table of Contents"/>
          <w:docPartUnique/>
        </w:docPartObj>
      </w:sdtPr>
      <w:sdtEndPr>
        <w:rPr>
          <w:noProof/>
        </w:rPr>
      </w:sdtEndPr>
      <w:sdtContent>
        <w:p w14:paraId="4C15931D" w14:textId="1D7116A5" w:rsidR="005A30B7" w:rsidRPr="001C713C" w:rsidRDefault="005A30B7" w:rsidP="006E2B80">
          <w:pPr>
            <w:pStyle w:val="TOCHeading"/>
          </w:pPr>
          <w:r w:rsidRPr="001C713C">
            <w:t>Table of Contents</w:t>
          </w:r>
        </w:p>
        <w:p w14:paraId="3EFC1E6A" w14:textId="2576557A" w:rsidR="00086FE7" w:rsidRDefault="005A30B7">
          <w:pPr>
            <w:pStyle w:val="TOC1"/>
            <w:rPr>
              <w:rFonts w:eastAsiaTheme="minorEastAsia"/>
              <w:noProof/>
              <w:lang w:val="en-GB" w:eastAsia="en-GB"/>
            </w:rPr>
          </w:pPr>
          <w:r w:rsidRPr="001C713C">
            <w:fldChar w:fldCharType="begin"/>
          </w:r>
          <w:r w:rsidRPr="001C713C">
            <w:instrText xml:space="preserve"> TOC \o "1-3" \h \z \u </w:instrText>
          </w:r>
          <w:r w:rsidRPr="001C713C">
            <w:fldChar w:fldCharType="separate"/>
          </w:r>
          <w:hyperlink w:anchor="_Toc64591242" w:history="1">
            <w:r w:rsidR="00086FE7" w:rsidRPr="00885752">
              <w:rPr>
                <w:rStyle w:val="Hyperlink"/>
                <w:noProof/>
              </w:rPr>
              <w:t>Chapter 1. - Introduction</w:t>
            </w:r>
            <w:r w:rsidR="00086FE7">
              <w:rPr>
                <w:noProof/>
                <w:webHidden/>
              </w:rPr>
              <w:tab/>
            </w:r>
            <w:r w:rsidR="00086FE7">
              <w:rPr>
                <w:noProof/>
                <w:webHidden/>
              </w:rPr>
              <w:fldChar w:fldCharType="begin"/>
            </w:r>
            <w:r w:rsidR="00086FE7">
              <w:rPr>
                <w:noProof/>
                <w:webHidden/>
              </w:rPr>
              <w:instrText xml:space="preserve"> PAGEREF _Toc64591242 \h </w:instrText>
            </w:r>
            <w:r w:rsidR="00086FE7">
              <w:rPr>
                <w:noProof/>
                <w:webHidden/>
              </w:rPr>
            </w:r>
            <w:r w:rsidR="00086FE7">
              <w:rPr>
                <w:noProof/>
                <w:webHidden/>
              </w:rPr>
              <w:fldChar w:fldCharType="separate"/>
            </w:r>
            <w:r w:rsidR="00086FE7">
              <w:rPr>
                <w:noProof/>
                <w:webHidden/>
              </w:rPr>
              <w:t>4</w:t>
            </w:r>
            <w:r w:rsidR="00086FE7">
              <w:rPr>
                <w:noProof/>
                <w:webHidden/>
              </w:rPr>
              <w:fldChar w:fldCharType="end"/>
            </w:r>
          </w:hyperlink>
        </w:p>
        <w:p w14:paraId="69279B14" w14:textId="42BD84D7" w:rsidR="00086FE7" w:rsidRDefault="00B76B5A">
          <w:pPr>
            <w:pStyle w:val="TOC2"/>
            <w:rPr>
              <w:rFonts w:eastAsiaTheme="minorEastAsia" w:cstheme="minorBidi"/>
              <w:lang w:val="en-GB" w:eastAsia="en-GB"/>
            </w:rPr>
          </w:pPr>
          <w:hyperlink w:anchor="_Toc64591243" w:history="1">
            <w:r w:rsidR="00086FE7" w:rsidRPr="00885752">
              <w:rPr>
                <w:rStyle w:val="Hyperlink"/>
              </w:rPr>
              <w:t>1.1. Purpose and Scope</w:t>
            </w:r>
            <w:r w:rsidR="00086FE7">
              <w:rPr>
                <w:webHidden/>
              </w:rPr>
              <w:tab/>
            </w:r>
            <w:r w:rsidR="00086FE7">
              <w:rPr>
                <w:webHidden/>
              </w:rPr>
              <w:fldChar w:fldCharType="begin"/>
            </w:r>
            <w:r w:rsidR="00086FE7">
              <w:rPr>
                <w:webHidden/>
              </w:rPr>
              <w:instrText xml:space="preserve"> PAGEREF _Toc64591243 \h </w:instrText>
            </w:r>
            <w:r w:rsidR="00086FE7">
              <w:rPr>
                <w:webHidden/>
              </w:rPr>
            </w:r>
            <w:r w:rsidR="00086FE7">
              <w:rPr>
                <w:webHidden/>
              </w:rPr>
              <w:fldChar w:fldCharType="separate"/>
            </w:r>
            <w:r w:rsidR="00086FE7">
              <w:rPr>
                <w:webHidden/>
              </w:rPr>
              <w:t>4</w:t>
            </w:r>
            <w:r w:rsidR="00086FE7">
              <w:rPr>
                <w:webHidden/>
              </w:rPr>
              <w:fldChar w:fldCharType="end"/>
            </w:r>
          </w:hyperlink>
        </w:p>
        <w:p w14:paraId="2F752E8D" w14:textId="23585269" w:rsidR="00086FE7" w:rsidRDefault="00B76B5A">
          <w:pPr>
            <w:pStyle w:val="TOC2"/>
            <w:rPr>
              <w:rFonts w:eastAsiaTheme="minorEastAsia" w:cstheme="minorBidi"/>
              <w:lang w:val="en-GB" w:eastAsia="en-GB"/>
            </w:rPr>
          </w:pPr>
          <w:hyperlink w:anchor="_Toc64591244" w:history="1">
            <w:r w:rsidR="00086FE7" w:rsidRPr="00885752">
              <w:rPr>
                <w:rStyle w:val="Hyperlink"/>
              </w:rPr>
              <w:t>1.2.  Demographic Overview of Hungary</w:t>
            </w:r>
            <w:r w:rsidR="00086FE7">
              <w:rPr>
                <w:webHidden/>
              </w:rPr>
              <w:tab/>
            </w:r>
            <w:r w:rsidR="00086FE7">
              <w:rPr>
                <w:webHidden/>
              </w:rPr>
              <w:fldChar w:fldCharType="begin"/>
            </w:r>
            <w:r w:rsidR="00086FE7">
              <w:rPr>
                <w:webHidden/>
              </w:rPr>
              <w:instrText xml:space="preserve"> PAGEREF _Toc64591244 \h </w:instrText>
            </w:r>
            <w:r w:rsidR="00086FE7">
              <w:rPr>
                <w:webHidden/>
              </w:rPr>
            </w:r>
            <w:r w:rsidR="00086FE7">
              <w:rPr>
                <w:webHidden/>
              </w:rPr>
              <w:fldChar w:fldCharType="separate"/>
            </w:r>
            <w:r w:rsidR="00086FE7">
              <w:rPr>
                <w:webHidden/>
              </w:rPr>
              <w:t>6</w:t>
            </w:r>
            <w:r w:rsidR="00086FE7">
              <w:rPr>
                <w:webHidden/>
              </w:rPr>
              <w:fldChar w:fldCharType="end"/>
            </w:r>
          </w:hyperlink>
        </w:p>
        <w:p w14:paraId="3D879A5C" w14:textId="5876F586" w:rsidR="00086FE7" w:rsidRDefault="00B76B5A">
          <w:pPr>
            <w:pStyle w:val="TOC3"/>
            <w:rPr>
              <w:rFonts w:eastAsiaTheme="minorEastAsia"/>
              <w:noProof/>
              <w:lang w:val="en-GB" w:eastAsia="en-GB"/>
            </w:rPr>
          </w:pPr>
          <w:hyperlink w:anchor="_Toc64591245" w:history="1">
            <w:r w:rsidR="00086FE7" w:rsidRPr="00885752">
              <w:rPr>
                <w:rStyle w:val="Hyperlink"/>
                <w:rFonts w:cstheme="minorHAnsi"/>
                <w:noProof/>
              </w:rPr>
              <w:t>1.2.1. Divorce Rate</w:t>
            </w:r>
            <w:r w:rsidR="00086FE7">
              <w:rPr>
                <w:noProof/>
                <w:webHidden/>
              </w:rPr>
              <w:tab/>
            </w:r>
            <w:r w:rsidR="00086FE7">
              <w:rPr>
                <w:noProof/>
                <w:webHidden/>
              </w:rPr>
              <w:fldChar w:fldCharType="begin"/>
            </w:r>
            <w:r w:rsidR="00086FE7">
              <w:rPr>
                <w:noProof/>
                <w:webHidden/>
              </w:rPr>
              <w:instrText xml:space="preserve"> PAGEREF _Toc64591245 \h </w:instrText>
            </w:r>
            <w:r w:rsidR="00086FE7">
              <w:rPr>
                <w:noProof/>
                <w:webHidden/>
              </w:rPr>
            </w:r>
            <w:r w:rsidR="00086FE7">
              <w:rPr>
                <w:noProof/>
                <w:webHidden/>
              </w:rPr>
              <w:fldChar w:fldCharType="separate"/>
            </w:r>
            <w:r w:rsidR="00086FE7">
              <w:rPr>
                <w:noProof/>
                <w:webHidden/>
              </w:rPr>
              <w:t>6</w:t>
            </w:r>
            <w:r w:rsidR="00086FE7">
              <w:rPr>
                <w:noProof/>
                <w:webHidden/>
              </w:rPr>
              <w:fldChar w:fldCharType="end"/>
            </w:r>
          </w:hyperlink>
        </w:p>
        <w:p w14:paraId="16398BAC" w14:textId="5331110E" w:rsidR="00086FE7" w:rsidRDefault="00B76B5A">
          <w:pPr>
            <w:pStyle w:val="TOC3"/>
            <w:rPr>
              <w:rFonts w:eastAsiaTheme="minorEastAsia"/>
              <w:noProof/>
              <w:lang w:val="en-GB" w:eastAsia="en-GB"/>
            </w:rPr>
          </w:pPr>
          <w:hyperlink w:anchor="_Toc64591246" w:history="1">
            <w:r w:rsidR="00086FE7" w:rsidRPr="00885752">
              <w:rPr>
                <w:rStyle w:val="Hyperlink"/>
                <w:rFonts w:cstheme="minorHAnsi"/>
                <w:noProof/>
              </w:rPr>
              <w:t>1.2.2. Children at the Separation</w:t>
            </w:r>
            <w:r w:rsidR="00086FE7">
              <w:rPr>
                <w:noProof/>
                <w:webHidden/>
              </w:rPr>
              <w:tab/>
            </w:r>
            <w:r w:rsidR="00086FE7">
              <w:rPr>
                <w:noProof/>
                <w:webHidden/>
              </w:rPr>
              <w:fldChar w:fldCharType="begin"/>
            </w:r>
            <w:r w:rsidR="00086FE7">
              <w:rPr>
                <w:noProof/>
                <w:webHidden/>
              </w:rPr>
              <w:instrText xml:space="preserve"> PAGEREF _Toc64591246 \h </w:instrText>
            </w:r>
            <w:r w:rsidR="00086FE7">
              <w:rPr>
                <w:noProof/>
                <w:webHidden/>
              </w:rPr>
            </w:r>
            <w:r w:rsidR="00086FE7">
              <w:rPr>
                <w:noProof/>
                <w:webHidden/>
              </w:rPr>
              <w:fldChar w:fldCharType="separate"/>
            </w:r>
            <w:r w:rsidR="00086FE7">
              <w:rPr>
                <w:noProof/>
                <w:webHidden/>
              </w:rPr>
              <w:t>6</w:t>
            </w:r>
            <w:r w:rsidR="00086FE7">
              <w:rPr>
                <w:noProof/>
                <w:webHidden/>
              </w:rPr>
              <w:fldChar w:fldCharType="end"/>
            </w:r>
          </w:hyperlink>
        </w:p>
        <w:p w14:paraId="38B00D91" w14:textId="58BC4806" w:rsidR="00086FE7" w:rsidRDefault="00B76B5A">
          <w:pPr>
            <w:pStyle w:val="TOC3"/>
            <w:rPr>
              <w:rFonts w:eastAsiaTheme="minorEastAsia"/>
              <w:noProof/>
              <w:lang w:val="en-GB" w:eastAsia="en-GB"/>
            </w:rPr>
          </w:pPr>
          <w:hyperlink w:anchor="_Toc64591247" w:history="1">
            <w:r w:rsidR="00086FE7" w:rsidRPr="00885752">
              <w:rPr>
                <w:rStyle w:val="Hyperlink"/>
                <w:rFonts w:cstheme="minorHAnsi"/>
                <w:noProof/>
              </w:rPr>
              <w:t>1.2.3. Single-Parent Families</w:t>
            </w:r>
            <w:r w:rsidR="00086FE7">
              <w:rPr>
                <w:noProof/>
                <w:webHidden/>
              </w:rPr>
              <w:tab/>
            </w:r>
            <w:r w:rsidR="00086FE7">
              <w:rPr>
                <w:noProof/>
                <w:webHidden/>
              </w:rPr>
              <w:fldChar w:fldCharType="begin"/>
            </w:r>
            <w:r w:rsidR="00086FE7">
              <w:rPr>
                <w:noProof/>
                <w:webHidden/>
              </w:rPr>
              <w:instrText xml:space="preserve"> PAGEREF _Toc64591247 \h </w:instrText>
            </w:r>
            <w:r w:rsidR="00086FE7">
              <w:rPr>
                <w:noProof/>
                <w:webHidden/>
              </w:rPr>
            </w:r>
            <w:r w:rsidR="00086FE7">
              <w:rPr>
                <w:noProof/>
                <w:webHidden/>
              </w:rPr>
              <w:fldChar w:fldCharType="separate"/>
            </w:r>
            <w:r w:rsidR="00086FE7">
              <w:rPr>
                <w:noProof/>
                <w:webHidden/>
              </w:rPr>
              <w:t>7</w:t>
            </w:r>
            <w:r w:rsidR="00086FE7">
              <w:rPr>
                <w:noProof/>
                <w:webHidden/>
              </w:rPr>
              <w:fldChar w:fldCharType="end"/>
            </w:r>
          </w:hyperlink>
        </w:p>
        <w:p w14:paraId="55054379" w14:textId="3BB55CE2" w:rsidR="00086FE7" w:rsidRDefault="00B76B5A">
          <w:pPr>
            <w:pStyle w:val="TOC3"/>
            <w:rPr>
              <w:rFonts w:eastAsiaTheme="minorEastAsia"/>
              <w:noProof/>
              <w:lang w:val="en-GB" w:eastAsia="en-GB"/>
            </w:rPr>
          </w:pPr>
          <w:hyperlink w:anchor="_Toc64591248" w:history="1">
            <w:r w:rsidR="00086FE7" w:rsidRPr="00885752">
              <w:rPr>
                <w:rStyle w:val="Hyperlink"/>
                <w:rFonts w:cstheme="minorHAnsi"/>
                <w:noProof/>
              </w:rPr>
              <w:t>1.2.4. Remarriage</w:t>
            </w:r>
            <w:r w:rsidR="00086FE7">
              <w:rPr>
                <w:noProof/>
                <w:webHidden/>
              </w:rPr>
              <w:tab/>
            </w:r>
            <w:r w:rsidR="00086FE7">
              <w:rPr>
                <w:noProof/>
                <w:webHidden/>
              </w:rPr>
              <w:fldChar w:fldCharType="begin"/>
            </w:r>
            <w:r w:rsidR="00086FE7">
              <w:rPr>
                <w:noProof/>
                <w:webHidden/>
              </w:rPr>
              <w:instrText xml:space="preserve"> PAGEREF _Toc64591248 \h </w:instrText>
            </w:r>
            <w:r w:rsidR="00086FE7">
              <w:rPr>
                <w:noProof/>
                <w:webHidden/>
              </w:rPr>
            </w:r>
            <w:r w:rsidR="00086FE7">
              <w:rPr>
                <w:noProof/>
                <w:webHidden/>
              </w:rPr>
              <w:fldChar w:fldCharType="separate"/>
            </w:r>
            <w:r w:rsidR="00086FE7">
              <w:rPr>
                <w:noProof/>
                <w:webHidden/>
              </w:rPr>
              <w:t>8</w:t>
            </w:r>
            <w:r w:rsidR="00086FE7">
              <w:rPr>
                <w:noProof/>
                <w:webHidden/>
              </w:rPr>
              <w:fldChar w:fldCharType="end"/>
            </w:r>
          </w:hyperlink>
        </w:p>
        <w:p w14:paraId="45FA63F4" w14:textId="54D6790E" w:rsidR="00086FE7" w:rsidRDefault="00B76B5A">
          <w:pPr>
            <w:pStyle w:val="TOC1"/>
            <w:rPr>
              <w:rFonts w:eastAsiaTheme="minorEastAsia"/>
              <w:noProof/>
              <w:lang w:val="en-GB" w:eastAsia="en-GB"/>
            </w:rPr>
          </w:pPr>
          <w:hyperlink w:anchor="_Toc64591249" w:history="1">
            <w:r w:rsidR="00086FE7" w:rsidRPr="00885752">
              <w:rPr>
                <w:rStyle w:val="Hyperlink"/>
                <w:noProof/>
              </w:rPr>
              <w:t>Chapter 2. - Literature Review</w:t>
            </w:r>
            <w:r w:rsidR="00086FE7">
              <w:rPr>
                <w:noProof/>
                <w:webHidden/>
              </w:rPr>
              <w:tab/>
            </w:r>
            <w:r w:rsidR="00086FE7">
              <w:rPr>
                <w:noProof/>
                <w:webHidden/>
              </w:rPr>
              <w:fldChar w:fldCharType="begin"/>
            </w:r>
            <w:r w:rsidR="00086FE7">
              <w:rPr>
                <w:noProof/>
                <w:webHidden/>
              </w:rPr>
              <w:instrText xml:space="preserve"> PAGEREF _Toc64591249 \h </w:instrText>
            </w:r>
            <w:r w:rsidR="00086FE7">
              <w:rPr>
                <w:noProof/>
                <w:webHidden/>
              </w:rPr>
            </w:r>
            <w:r w:rsidR="00086FE7">
              <w:rPr>
                <w:noProof/>
                <w:webHidden/>
              </w:rPr>
              <w:fldChar w:fldCharType="separate"/>
            </w:r>
            <w:r w:rsidR="00086FE7">
              <w:rPr>
                <w:noProof/>
                <w:webHidden/>
              </w:rPr>
              <w:t>8</w:t>
            </w:r>
            <w:r w:rsidR="00086FE7">
              <w:rPr>
                <w:noProof/>
                <w:webHidden/>
              </w:rPr>
              <w:fldChar w:fldCharType="end"/>
            </w:r>
          </w:hyperlink>
        </w:p>
        <w:p w14:paraId="31D9702B" w14:textId="4799EABF" w:rsidR="00086FE7" w:rsidRDefault="00B76B5A">
          <w:pPr>
            <w:pStyle w:val="TOC2"/>
            <w:rPr>
              <w:rFonts w:eastAsiaTheme="minorEastAsia" w:cstheme="minorBidi"/>
              <w:lang w:val="en-GB" w:eastAsia="en-GB"/>
            </w:rPr>
          </w:pPr>
          <w:hyperlink w:anchor="_Toc64591250" w:history="1">
            <w:r w:rsidR="00086FE7" w:rsidRPr="00885752">
              <w:rPr>
                <w:rStyle w:val="Hyperlink"/>
              </w:rPr>
              <w:t>2.1. Independent Variables</w:t>
            </w:r>
            <w:r w:rsidR="00086FE7">
              <w:rPr>
                <w:webHidden/>
              </w:rPr>
              <w:tab/>
            </w:r>
            <w:r w:rsidR="00086FE7">
              <w:rPr>
                <w:webHidden/>
              </w:rPr>
              <w:fldChar w:fldCharType="begin"/>
            </w:r>
            <w:r w:rsidR="00086FE7">
              <w:rPr>
                <w:webHidden/>
              </w:rPr>
              <w:instrText xml:space="preserve"> PAGEREF _Toc64591250 \h </w:instrText>
            </w:r>
            <w:r w:rsidR="00086FE7">
              <w:rPr>
                <w:webHidden/>
              </w:rPr>
            </w:r>
            <w:r w:rsidR="00086FE7">
              <w:rPr>
                <w:webHidden/>
              </w:rPr>
              <w:fldChar w:fldCharType="separate"/>
            </w:r>
            <w:r w:rsidR="00086FE7">
              <w:rPr>
                <w:webHidden/>
              </w:rPr>
              <w:t>8</w:t>
            </w:r>
            <w:r w:rsidR="00086FE7">
              <w:rPr>
                <w:webHidden/>
              </w:rPr>
              <w:fldChar w:fldCharType="end"/>
            </w:r>
          </w:hyperlink>
        </w:p>
        <w:p w14:paraId="7DB0E401" w14:textId="70BF6763" w:rsidR="00086FE7" w:rsidRDefault="00B76B5A">
          <w:pPr>
            <w:pStyle w:val="TOC3"/>
            <w:rPr>
              <w:rFonts w:eastAsiaTheme="minorEastAsia"/>
              <w:noProof/>
              <w:lang w:val="en-GB" w:eastAsia="en-GB"/>
            </w:rPr>
          </w:pPr>
          <w:hyperlink w:anchor="_Toc64591251" w:history="1">
            <w:r w:rsidR="00086FE7" w:rsidRPr="00885752">
              <w:rPr>
                <w:rStyle w:val="Hyperlink"/>
                <w:rFonts w:cstheme="minorHAnsi"/>
                <w:noProof/>
              </w:rPr>
              <w:t>2.1.1. Single-Parent Families</w:t>
            </w:r>
            <w:r w:rsidR="00086FE7">
              <w:rPr>
                <w:noProof/>
                <w:webHidden/>
              </w:rPr>
              <w:tab/>
            </w:r>
            <w:r w:rsidR="00086FE7">
              <w:rPr>
                <w:noProof/>
                <w:webHidden/>
              </w:rPr>
              <w:fldChar w:fldCharType="begin"/>
            </w:r>
            <w:r w:rsidR="00086FE7">
              <w:rPr>
                <w:noProof/>
                <w:webHidden/>
              </w:rPr>
              <w:instrText xml:space="preserve"> PAGEREF _Toc64591251 \h </w:instrText>
            </w:r>
            <w:r w:rsidR="00086FE7">
              <w:rPr>
                <w:noProof/>
                <w:webHidden/>
              </w:rPr>
            </w:r>
            <w:r w:rsidR="00086FE7">
              <w:rPr>
                <w:noProof/>
                <w:webHidden/>
              </w:rPr>
              <w:fldChar w:fldCharType="separate"/>
            </w:r>
            <w:r w:rsidR="00086FE7">
              <w:rPr>
                <w:noProof/>
                <w:webHidden/>
              </w:rPr>
              <w:t>8</w:t>
            </w:r>
            <w:r w:rsidR="00086FE7">
              <w:rPr>
                <w:noProof/>
                <w:webHidden/>
              </w:rPr>
              <w:fldChar w:fldCharType="end"/>
            </w:r>
          </w:hyperlink>
        </w:p>
        <w:p w14:paraId="0627F806" w14:textId="12E43A16" w:rsidR="00086FE7" w:rsidRDefault="00B76B5A">
          <w:pPr>
            <w:pStyle w:val="TOC3"/>
            <w:rPr>
              <w:rFonts w:eastAsiaTheme="minorEastAsia"/>
              <w:noProof/>
              <w:lang w:val="en-GB" w:eastAsia="en-GB"/>
            </w:rPr>
          </w:pPr>
          <w:hyperlink w:anchor="_Toc64591252" w:history="1">
            <w:r w:rsidR="00086FE7" w:rsidRPr="00885752">
              <w:rPr>
                <w:rStyle w:val="Hyperlink"/>
                <w:rFonts w:cstheme="minorHAnsi"/>
                <w:noProof/>
              </w:rPr>
              <w:t>2.1.2. Stepfamilies</w:t>
            </w:r>
            <w:r w:rsidR="00086FE7">
              <w:rPr>
                <w:noProof/>
                <w:webHidden/>
              </w:rPr>
              <w:tab/>
            </w:r>
            <w:r w:rsidR="00086FE7">
              <w:rPr>
                <w:noProof/>
                <w:webHidden/>
              </w:rPr>
              <w:fldChar w:fldCharType="begin"/>
            </w:r>
            <w:r w:rsidR="00086FE7">
              <w:rPr>
                <w:noProof/>
                <w:webHidden/>
              </w:rPr>
              <w:instrText xml:space="preserve"> PAGEREF _Toc64591252 \h </w:instrText>
            </w:r>
            <w:r w:rsidR="00086FE7">
              <w:rPr>
                <w:noProof/>
                <w:webHidden/>
              </w:rPr>
            </w:r>
            <w:r w:rsidR="00086FE7">
              <w:rPr>
                <w:noProof/>
                <w:webHidden/>
              </w:rPr>
              <w:fldChar w:fldCharType="separate"/>
            </w:r>
            <w:r w:rsidR="00086FE7">
              <w:rPr>
                <w:noProof/>
                <w:webHidden/>
              </w:rPr>
              <w:t>9</w:t>
            </w:r>
            <w:r w:rsidR="00086FE7">
              <w:rPr>
                <w:noProof/>
                <w:webHidden/>
              </w:rPr>
              <w:fldChar w:fldCharType="end"/>
            </w:r>
          </w:hyperlink>
        </w:p>
        <w:p w14:paraId="4662A2D2" w14:textId="5DA10018" w:rsidR="00086FE7" w:rsidRDefault="00B76B5A">
          <w:pPr>
            <w:pStyle w:val="TOC2"/>
            <w:rPr>
              <w:rFonts w:eastAsiaTheme="minorEastAsia" w:cstheme="minorBidi"/>
              <w:lang w:val="en-GB" w:eastAsia="en-GB"/>
            </w:rPr>
          </w:pPr>
          <w:hyperlink w:anchor="_Toc64591253" w:history="1">
            <w:r w:rsidR="00086FE7" w:rsidRPr="00885752">
              <w:rPr>
                <w:rStyle w:val="Hyperlink"/>
              </w:rPr>
              <w:t>2.2. Intermediary Variables</w:t>
            </w:r>
            <w:r w:rsidR="00086FE7">
              <w:rPr>
                <w:webHidden/>
              </w:rPr>
              <w:tab/>
            </w:r>
            <w:r w:rsidR="00086FE7">
              <w:rPr>
                <w:webHidden/>
              </w:rPr>
              <w:fldChar w:fldCharType="begin"/>
            </w:r>
            <w:r w:rsidR="00086FE7">
              <w:rPr>
                <w:webHidden/>
              </w:rPr>
              <w:instrText xml:space="preserve"> PAGEREF _Toc64591253 \h </w:instrText>
            </w:r>
            <w:r w:rsidR="00086FE7">
              <w:rPr>
                <w:webHidden/>
              </w:rPr>
            </w:r>
            <w:r w:rsidR="00086FE7">
              <w:rPr>
                <w:webHidden/>
              </w:rPr>
              <w:fldChar w:fldCharType="separate"/>
            </w:r>
            <w:r w:rsidR="00086FE7">
              <w:rPr>
                <w:webHidden/>
              </w:rPr>
              <w:t>10</w:t>
            </w:r>
            <w:r w:rsidR="00086FE7">
              <w:rPr>
                <w:webHidden/>
              </w:rPr>
              <w:fldChar w:fldCharType="end"/>
            </w:r>
          </w:hyperlink>
        </w:p>
        <w:p w14:paraId="510D254F" w14:textId="55DC0E2B" w:rsidR="00086FE7" w:rsidRDefault="00B76B5A">
          <w:pPr>
            <w:pStyle w:val="TOC3"/>
            <w:rPr>
              <w:rFonts w:eastAsiaTheme="minorEastAsia"/>
              <w:noProof/>
              <w:lang w:val="en-GB" w:eastAsia="en-GB"/>
            </w:rPr>
          </w:pPr>
          <w:hyperlink w:anchor="_Toc64591254" w:history="1">
            <w:r w:rsidR="00086FE7" w:rsidRPr="00885752">
              <w:rPr>
                <w:rStyle w:val="Hyperlink"/>
                <w:rFonts w:cstheme="minorHAnsi"/>
                <w:noProof/>
              </w:rPr>
              <w:t>2.2.1. Economic Resources</w:t>
            </w:r>
            <w:r w:rsidR="00086FE7">
              <w:rPr>
                <w:noProof/>
                <w:webHidden/>
              </w:rPr>
              <w:tab/>
            </w:r>
            <w:r w:rsidR="00086FE7">
              <w:rPr>
                <w:noProof/>
                <w:webHidden/>
              </w:rPr>
              <w:fldChar w:fldCharType="begin"/>
            </w:r>
            <w:r w:rsidR="00086FE7">
              <w:rPr>
                <w:noProof/>
                <w:webHidden/>
              </w:rPr>
              <w:instrText xml:space="preserve"> PAGEREF _Toc64591254 \h </w:instrText>
            </w:r>
            <w:r w:rsidR="00086FE7">
              <w:rPr>
                <w:noProof/>
                <w:webHidden/>
              </w:rPr>
            </w:r>
            <w:r w:rsidR="00086FE7">
              <w:rPr>
                <w:noProof/>
                <w:webHidden/>
              </w:rPr>
              <w:fldChar w:fldCharType="separate"/>
            </w:r>
            <w:r w:rsidR="00086FE7">
              <w:rPr>
                <w:noProof/>
                <w:webHidden/>
              </w:rPr>
              <w:t>10</w:t>
            </w:r>
            <w:r w:rsidR="00086FE7">
              <w:rPr>
                <w:noProof/>
                <w:webHidden/>
              </w:rPr>
              <w:fldChar w:fldCharType="end"/>
            </w:r>
          </w:hyperlink>
        </w:p>
        <w:p w14:paraId="005D2B6F" w14:textId="13F47726" w:rsidR="00086FE7" w:rsidRDefault="00B76B5A">
          <w:pPr>
            <w:pStyle w:val="TOC3"/>
            <w:rPr>
              <w:rFonts w:eastAsiaTheme="minorEastAsia"/>
              <w:noProof/>
              <w:lang w:val="en-GB" w:eastAsia="en-GB"/>
            </w:rPr>
          </w:pPr>
          <w:hyperlink w:anchor="_Toc64591255" w:history="1">
            <w:r w:rsidR="00086FE7" w:rsidRPr="00885752">
              <w:rPr>
                <w:rStyle w:val="Hyperlink"/>
                <w:rFonts w:cstheme="minorHAnsi"/>
                <w:noProof/>
              </w:rPr>
              <w:t>2.2.2. Parental Qualifications</w:t>
            </w:r>
            <w:r w:rsidR="00086FE7">
              <w:rPr>
                <w:noProof/>
                <w:webHidden/>
              </w:rPr>
              <w:tab/>
            </w:r>
            <w:r w:rsidR="00086FE7">
              <w:rPr>
                <w:noProof/>
                <w:webHidden/>
              </w:rPr>
              <w:fldChar w:fldCharType="begin"/>
            </w:r>
            <w:r w:rsidR="00086FE7">
              <w:rPr>
                <w:noProof/>
                <w:webHidden/>
              </w:rPr>
              <w:instrText xml:space="preserve"> PAGEREF _Toc64591255 \h </w:instrText>
            </w:r>
            <w:r w:rsidR="00086FE7">
              <w:rPr>
                <w:noProof/>
                <w:webHidden/>
              </w:rPr>
            </w:r>
            <w:r w:rsidR="00086FE7">
              <w:rPr>
                <w:noProof/>
                <w:webHidden/>
              </w:rPr>
              <w:fldChar w:fldCharType="separate"/>
            </w:r>
            <w:r w:rsidR="00086FE7">
              <w:rPr>
                <w:noProof/>
                <w:webHidden/>
              </w:rPr>
              <w:t>11</w:t>
            </w:r>
            <w:r w:rsidR="00086FE7">
              <w:rPr>
                <w:noProof/>
                <w:webHidden/>
              </w:rPr>
              <w:fldChar w:fldCharType="end"/>
            </w:r>
          </w:hyperlink>
        </w:p>
        <w:p w14:paraId="1157EBBD" w14:textId="76BC8F67" w:rsidR="00086FE7" w:rsidRDefault="00B76B5A">
          <w:pPr>
            <w:pStyle w:val="TOC3"/>
            <w:rPr>
              <w:rFonts w:eastAsiaTheme="minorEastAsia"/>
              <w:noProof/>
              <w:lang w:val="en-GB" w:eastAsia="en-GB"/>
            </w:rPr>
          </w:pPr>
          <w:hyperlink w:anchor="_Toc64591256" w:history="1">
            <w:r w:rsidR="00086FE7" w:rsidRPr="00885752">
              <w:rPr>
                <w:rStyle w:val="Hyperlink"/>
                <w:rFonts w:cstheme="minorHAnsi"/>
                <w:noProof/>
              </w:rPr>
              <w:t>2.2.3. Parental School Involvement (PSI) and Home Environment</w:t>
            </w:r>
            <w:r w:rsidR="00086FE7">
              <w:rPr>
                <w:noProof/>
                <w:webHidden/>
              </w:rPr>
              <w:tab/>
            </w:r>
            <w:r w:rsidR="00086FE7">
              <w:rPr>
                <w:noProof/>
                <w:webHidden/>
              </w:rPr>
              <w:fldChar w:fldCharType="begin"/>
            </w:r>
            <w:r w:rsidR="00086FE7">
              <w:rPr>
                <w:noProof/>
                <w:webHidden/>
              </w:rPr>
              <w:instrText xml:space="preserve"> PAGEREF _Toc64591256 \h </w:instrText>
            </w:r>
            <w:r w:rsidR="00086FE7">
              <w:rPr>
                <w:noProof/>
                <w:webHidden/>
              </w:rPr>
            </w:r>
            <w:r w:rsidR="00086FE7">
              <w:rPr>
                <w:noProof/>
                <w:webHidden/>
              </w:rPr>
              <w:fldChar w:fldCharType="separate"/>
            </w:r>
            <w:r w:rsidR="00086FE7">
              <w:rPr>
                <w:noProof/>
                <w:webHidden/>
              </w:rPr>
              <w:t>12</w:t>
            </w:r>
            <w:r w:rsidR="00086FE7">
              <w:rPr>
                <w:noProof/>
                <w:webHidden/>
              </w:rPr>
              <w:fldChar w:fldCharType="end"/>
            </w:r>
          </w:hyperlink>
        </w:p>
        <w:p w14:paraId="74FB5DCB" w14:textId="1EEB7995" w:rsidR="00086FE7" w:rsidRDefault="00B76B5A">
          <w:pPr>
            <w:pStyle w:val="TOC3"/>
            <w:rPr>
              <w:rFonts w:eastAsiaTheme="minorEastAsia"/>
              <w:noProof/>
              <w:lang w:val="en-GB" w:eastAsia="en-GB"/>
            </w:rPr>
          </w:pPr>
          <w:hyperlink w:anchor="_Toc64591257" w:history="1">
            <w:r w:rsidR="00086FE7" w:rsidRPr="00885752">
              <w:rPr>
                <w:rStyle w:val="Hyperlink"/>
                <w:rFonts w:cstheme="minorHAnsi"/>
                <w:noProof/>
              </w:rPr>
              <w:t>2.2.4. Residential Mobility</w:t>
            </w:r>
            <w:r w:rsidR="00086FE7">
              <w:rPr>
                <w:noProof/>
                <w:webHidden/>
              </w:rPr>
              <w:tab/>
            </w:r>
            <w:r w:rsidR="00086FE7">
              <w:rPr>
                <w:noProof/>
                <w:webHidden/>
              </w:rPr>
              <w:fldChar w:fldCharType="begin"/>
            </w:r>
            <w:r w:rsidR="00086FE7">
              <w:rPr>
                <w:noProof/>
                <w:webHidden/>
              </w:rPr>
              <w:instrText xml:space="preserve"> PAGEREF _Toc64591257 \h </w:instrText>
            </w:r>
            <w:r w:rsidR="00086FE7">
              <w:rPr>
                <w:noProof/>
                <w:webHidden/>
              </w:rPr>
            </w:r>
            <w:r w:rsidR="00086FE7">
              <w:rPr>
                <w:noProof/>
                <w:webHidden/>
              </w:rPr>
              <w:fldChar w:fldCharType="separate"/>
            </w:r>
            <w:r w:rsidR="00086FE7">
              <w:rPr>
                <w:noProof/>
                <w:webHidden/>
              </w:rPr>
              <w:t>13</w:t>
            </w:r>
            <w:r w:rsidR="00086FE7">
              <w:rPr>
                <w:noProof/>
                <w:webHidden/>
              </w:rPr>
              <w:fldChar w:fldCharType="end"/>
            </w:r>
          </w:hyperlink>
        </w:p>
        <w:p w14:paraId="6A4A1C6D" w14:textId="6547CA51" w:rsidR="00086FE7" w:rsidRDefault="00B76B5A">
          <w:pPr>
            <w:pStyle w:val="TOC2"/>
            <w:rPr>
              <w:rFonts w:eastAsiaTheme="minorEastAsia" w:cstheme="minorBidi"/>
              <w:lang w:val="en-GB" w:eastAsia="en-GB"/>
            </w:rPr>
          </w:pPr>
          <w:hyperlink w:anchor="_Toc64591258" w:history="1">
            <w:r w:rsidR="00086FE7" w:rsidRPr="00885752">
              <w:rPr>
                <w:rStyle w:val="Hyperlink"/>
              </w:rPr>
              <w:t>2.3. Dependent variables</w:t>
            </w:r>
            <w:r w:rsidR="00086FE7">
              <w:rPr>
                <w:webHidden/>
              </w:rPr>
              <w:tab/>
            </w:r>
            <w:r w:rsidR="00086FE7">
              <w:rPr>
                <w:webHidden/>
              </w:rPr>
              <w:fldChar w:fldCharType="begin"/>
            </w:r>
            <w:r w:rsidR="00086FE7">
              <w:rPr>
                <w:webHidden/>
              </w:rPr>
              <w:instrText xml:space="preserve"> PAGEREF _Toc64591258 \h </w:instrText>
            </w:r>
            <w:r w:rsidR="00086FE7">
              <w:rPr>
                <w:webHidden/>
              </w:rPr>
            </w:r>
            <w:r w:rsidR="00086FE7">
              <w:rPr>
                <w:webHidden/>
              </w:rPr>
              <w:fldChar w:fldCharType="separate"/>
            </w:r>
            <w:r w:rsidR="00086FE7">
              <w:rPr>
                <w:webHidden/>
              </w:rPr>
              <w:t>15</w:t>
            </w:r>
            <w:r w:rsidR="00086FE7">
              <w:rPr>
                <w:webHidden/>
              </w:rPr>
              <w:fldChar w:fldCharType="end"/>
            </w:r>
          </w:hyperlink>
        </w:p>
        <w:p w14:paraId="3831725E" w14:textId="7146EF96" w:rsidR="00086FE7" w:rsidRDefault="00B76B5A">
          <w:pPr>
            <w:pStyle w:val="TOC3"/>
            <w:rPr>
              <w:rFonts w:eastAsiaTheme="minorEastAsia"/>
              <w:noProof/>
              <w:lang w:val="en-GB" w:eastAsia="en-GB"/>
            </w:rPr>
          </w:pPr>
          <w:hyperlink w:anchor="_Toc64591259" w:history="1">
            <w:r w:rsidR="00086FE7" w:rsidRPr="00885752">
              <w:rPr>
                <w:rStyle w:val="Hyperlink"/>
                <w:rFonts w:cstheme="minorHAnsi"/>
                <w:noProof/>
              </w:rPr>
              <w:t>2.3.1. Grades and Test Scores</w:t>
            </w:r>
            <w:r w:rsidR="00086FE7">
              <w:rPr>
                <w:noProof/>
                <w:webHidden/>
              </w:rPr>
              <w:tab/>
            </w:r>
            <w:r w:rsidR="00086FE7">
              <w:rPr>
                <w:noProof/>
                <w:webHidden/>
              </w:rPr>
              <w:fldChar w:fldCharType="begin"/>
            </w:r>
            <w:r w:rsidR="00086FE7">
              <w:rPr>
                <w:noProof/>
                <w:webHidden/>
              </w:rPr>
              <w:instrText xml:space="preserve"> PAGEREF _Toc64591259 \h </w:instrText>
            </w:r>
            <w:r w:rsidR="00086FE7">
              <w:rPr>
                <w:noProof/>
                <w:webHidden/>
              </w:rPr>
            </w:r>
            <w:r w:rsidR="00086FE7">
              <w:rPr>
                <w:noProof/>
                <w:webHidden/>
              </w:rPr>
              <w:fldChar w:fldCharType="separate"/>
            </w:r>
            <w:r w:rsidR="00086FE7">
              <w:rPr>
                <w:noProof/>
                <w:webHidden/>
              </w:rPr>
              <w:t>15</w:t>
            </w:r>
            <w:r w:rsidR="00086FE7">
              <w:rPr>
                <w:noProof/>
                <w:webHidden/>
              </w:rPr>
              <w:fldChar w:fldCharType="end"/>
            </w:r>
          </w:hyperlink>
        </w:p>
        <w:p w14:paraId="5BFD41C9" w14:textId="730671E4" w:rsidR="00086FE7" w:rsidRDefault="00B76B5A">
          <w:pPr>
            <w:pStyle w:val="TOC3"/>
            <w:rPr>
              <w:rFonts w:eastAsiaTheme="minorEastAsia"/>
              <w:noProof/>
              <w:lang w:val="en-GB" w:eastAsia="en-GB"/>
            </w:rPr>
          </w:pPr>
          <w:hyperlink w:anchor="_Toc64591260" w:history="1">
            <w:r w:rsidR="00086FE7" w:rsidRPr="00885752">
              <w:rPr>
                <w:rStyle w:val="Hyperlink"/>
                <w:rFonts w:cstheme="minorHAnsi"/>
                <w:noProof/>
              </w:rPr>
              <w:t>2.3.2. Classroom Behavior</w:t>
            </w:r>
            <w:r w:rsidR="00086FE7">
              <w:rPr>
                <w:noProof/>
                <w:webHidden/>
              </w:rPr>
              <w:tab/>
            </w:r>
            <w:r w:rsidR="00086FE7">
              <w:rPr>
                <w:noProof/>
                <w:webHidden/>
              </w:rPr>
              <w:fldChar w:fldCharType="begin"/>
            </w:r>
            <w:r w:rsidR="00086FE7">
              <w:rPr>
                <w:noProof/>
                <w:webHidden/>
              </w:rPr>
              <w:instrText xml:space="preserve"> PAGEREF _Toc64591260 \h </w:instrText>
            </w:r>
            <w:r w:rsidR="00086FE7">
              <w:rPr>
                <w:noProof/>
                <w:webHidden/>
              </w:rPr>
            </w:r>
            <w:r w:rsidR="00086FE7">
              <w:rPr>
                <w:noProof/>
                <w:webHidden/>
              </w:rPr>
              <w:fldChar w:fldCharType="separate"/>
            </w:r>
            <w:r w:rsidR="00086FE7">
              <w:rPr>
                <w:noProof/>
                <w:webHidden/>
              </w:rPr>
              <w:t>15</w:t>
            </w:r>
            <w:r w:rsidR="00086FE7">
              <w:rPr>
                <w:noProof/>
                <w:webHidden/>
              </w:rPr>
              <w:fldChar w:fldCharType="end"/>
            </w:r>
          </w:hyperlink>
        </w:p>
        <w:p w14:paraId="1DD19A5B" w14:textId="0AE5B559" w:rsidR="00086FE7" w:rsidRDefault="00B76B5A">
          <w:pPr>
            <w:pStyle w:val="TOC3"/>
            <w:rPr>
              <w:rFonts w:eastAsiaTheme="minorEastAsia"/>
              <w:noProof/>
              <w:lang w:val="en-GB" w:eastAsia="en-GB"/>
            </w:rPr>
          </w:pPr>
          <w:hyperlink w:anchor="_Toc64591261" w:history="1">
            <w:r w:rsidR="00086FE7" w:rsidRPr="00885752">
              <w:rPr>
                <w:rStyle w:val="Hyperlink"/>
                <w:rFonts w:cstheme="minorHAnsi"/>
                <w:noProof/>
              </w:rPr>
              <w:t>2.3.3. Expel and Suspension</w:t>
            </w:r>
            <w:r w:rsidR="00086FE7">
              <w:rPr>
                <w:noProof/>
                <w:webHidden/>
              </w:rPr>
              <w:tab/>
            </w:r>
            <w:r w:rsidR="00086FE7">
              <w:rPr>
                <w:noProof/>
                <w:webHidden/>
              </w:rPr>
              <w:fldChar w:fldCharType="begin"/>
            </w:r>
            <w:r w:rsidR="00086FE7">
              <w:rPr>
                <w:noProof/>
                <w:webHidden/>
              </w:rPr>
              <w:instrText xml:space="preserve"> PAGEREF _Toc64591261 \h </w:instrText>
            </w:r>
            <w:r w:rsidR="00086FE7">
              <w:rPr>
                <w:noProof/>
                <w:webHidden/>
              </w:rPr>
            </w:r>
            <w:r w:rsidR="00086FE7">
              <w:rPr>
                <w:noProof/>
                <w:webHidden/>
              </w:rPr>
              <w:fldChar w:fldCharType="separate"/>
            </w:r>
            <w:r w:rsidR="00086FE7">
              <w:rPr>
                <w:noProof/>
                <w:webHidden/>
              </w:rPr>
              <w:t>16</w:t>
            </w:r>
            <w:r w:rsidR="00086FE7">
              <w:rPr>
                <w:noProof/>
                <w:webHidden/>
              </w:rPr>
              <w:fldChar w:fldCharType="end"/>
            </w:r>
          </w:hyperlink>
        </w:p>
        <w:p w14:paraId="0D1B62D6" w14:textId="0DCE0520" w:rsidR="00086FE7" w:rsidRDefault="00B76B5A">
          <w:pPr>
            <w:pStyle w:val="TOC3"/>
            <w:rPr>
              <w:rFonts w:eastAsiaTheme="minorEastAsia"/>
              <w:noProof/>
              <w:lang w:val="en-GB" w:eastAsia="en-GB"/>
            </w:rPr>
          </w:pPr>
          <w:hyperlink w:anchor="_Toc64591262" w:history="1">
            <w:r w:rsidR="00086FE7" w:rsidRPr="00885752">
              <w:rPr>
                <w:rStyle w:val="Hyperlink"/>
                <w:rFonts w:cstheme="minorHAnsi"/>
                <w:noProof/>
              </w:rPr>
              <w:t>2.3.4. Grade Repeat and Dropping Out</w:t>
            </w:r>
            <w:r w:rsidR="00086FE7">
              <w:rPr>
                <w:noProof/>
                <w:webHidden/>
              </w:rPr>
              <w:tab/>
            </w:r>
            <w:r w:rsidR="00086FE7">
              <w:rPr>
                <w:noProof/>
                <w:webHidden/>
              </w:rPr>
              <w:fldChar w:fldCharType="begin"/>
            </w:r>
            <w:r w:rsidR="00086FE7">
              <w:rPr>
                <w:noProof/>
                <w:webHidden/>
              </w:rPr>
              <w:instrText xml:space="preserve"> PAGEREF _Toc64591262 \h </w:instrText>
            </w:r>
            <w:r w:rsidR="00086FE7">
              <w:rPr>
                <w:noProof/>
                <w:webHidden/>
              </w:rPr>
            </w:r>
            <w:r w:rsidR="00086FE7">
              <w:rPr>
                <w:noProof/>
                <w:webHidden/>
              </w:rPr>
              <w:fldChar w:fldCharType="separate"/>
            </w:r>
            <w:r w:rsidR="00086FE7">
              <w:rPr>
                <w:noProof/>
                <w:webHidden/>
              </w:rPr>
              <w:t>16</w:t>
            </w:r>
            <w:r w:rsidR="00086FE7">
              <w:rPr>
                <w:noProof/>
                <w:webHidden/>
              </w:rPr>
              <w:fldChar w:fldCharType="end"/>
            </w:r>
          </w:hyperlink>
        </w:p>
        <w:p w14:paraId="6EAB740C" w14:textId="7DE22DAA" w:rsidR="00086FE7" w:rsidRDefault="00B76B5A">
          <w:pPr>
            <w:pStyle w:val="TOC3"/>
            <w:rPr>
              <w:rFonts w:eastAsiaTheme="minorEastAsia"/>
              <w:noProof/>
              <w:lang w:val="en-GB" w:eastAsia="en-GB"/>
            </w:rPr>
          </w:pPr>
          <w:hyperlink w:anchor="_Toc64591263" w:history="1">
            <w:r w:rsidR="00086FE7" w:rsidRPr="00885752">
              <w:rPr>
                <w:rStyle w:val="Hyperlink"/>
                <w:rFonts w:cstheme="minorHAnsi"/>
                <w:noProof/>
              </w:rPr>
              <w:t>2.3.5. Educational Attainment</w:t>
            </w:r>
            <w:r w:rsidR="00086FE7">
              <w:rPr>
                <w:noProof/>
                <w:webHidden/>
              </w:rPr>
              <w:tab/>
            </w:r>
            <w:r w:rsidR="00086FE7">
              <w:rPr>
                <w:noProof/>
                <w:webHidden/>
              </w:rPr>
              <w:fldChar w:fldCharType="begin"/>
            </w:r>
            <w:r w:rsidR="00086FE7">
              <w:rPr>
                <w:noProof/>
                <w:webHidden/>
              </w:rPr>
              <w:instrText xml:space="preserve"> PAGEREF _Toc64591263 \h </w:instrText>
            </w:r>
            <w:r w:rsidR="00086FE7">
              <w:rPr>
                <w:noProof/>
                <w:webHidden/>
              </w:rPr>
            </w:r>
            <w:r w:rsidR="00086FE7">
              <w:rPr>
                <w:noProof/>
                <w:webHidden/>
              </w:rPr>
              <w:fldChar w:fldCharType="separate"/>
            </w:r>
            <w:r w:rsidR="00086FE7">
              <w:rPr>
                <w:noProof/>
                <w:webHidden/>
              </w:rPr>
              <w:t>18</w:t>
            </w:r>
            <w:r w:rsidR="00086FE7">
              <w:rPr>
                <w:noProof/>
                <w:webHidden/>
              </w:rPr>
              <w:fldChar w:fldCharType="end"/>
            </w:r>
          </w:hyperlink>
        </w:p>
        <w:p w14:paraId="428FD510" w14:textId="10966264" w:rsidR="00086FE7" w:rsidRDefault="00B76B5A">
          <w:pPr>
            <w:pStyle w:val="TOC2"/>
            <w:rPr>
              <w:rFonts w:eastAsiaTheme="minorEastAsia" w:cstheme="minorBidi"/>
              <w:lang w:val="en-GB" w:eastAsia="en-GB"/>
            </w:rPr>
          </w:pPr>
          <w:hyperlink w:anchor="_Toc64591264" w:history="1">
            <w:r w:rsidR="00086FE7" w:rsidRPr="00885752">
              <w:rPr>
                <w:rStyle w:val="Hyperlink"/>
              </w:rPr>
              <w:t>2.4. Control Variables</w:t>
            </w:r>
            <w:r w:rsidR="00086FE7">
              <w:rPr>
                <w:webHidden/>
              </w:rPr>
              <w:tab/>
            </w:r>
            <w:r w:rsidR="00086FE7">
              <w:rPr>
                <w:webHidden/>
              </w:rPr>
              <w:fldChar w:fldCharType="begin"/>
            </w:r>
            <w:r w:rsidR="00086FE7">
              <w:rPr>
                <w:webHidden/>
              </w:rPr>
              <w:instrText xml:space="preserve"> PAGEREF _Toc64591264 \h </w:instrText>
            </w:r>
            <w:r w:rsidR="00086FE7">
              <w:rPr>
                <w:webHidden/>
              </w:rPr>
            </w:r>
            <w:r w:rsidR="00086FE7">
              <w:rPr>
                <w:webHidden/>
              </w:rPr>
              <w:fldChar w:fldCharType="separate"/>
            </w:r>
            <w:r w:rsidR="00086FE7">
              <w:rPr>
                <w:webHidden/>
              </w:rPr>
              <w:t>18</w:t>
            </w:r>
            <w:r w:rsidR="00086FE7">
              <w:rPr>
                <w:webHidden/>
              </w:rPr>
              <w:fldChar w:fldCharType="end"/>
            </w:r>
          </w:hyperlink>
        </w:p>
        <w:p w14:paraId="22EDA573" w14:textId="56790915" w:rsidR="00086FE7" w:rsidRDefault="00B76B5A">
          <w:pPr>
            <w:pStyle w:val="TOC3"/>
            <w:rPr>
              <w:rFonts w:eastAsiaTheme="minorEastAsia"/>
              <w:noProof/>
              <w:lang w:val="en-GB" w:eastAsia="en-GB"/>
            </w:rPr>
          </w:pPr>
          <w:hyperlink w:anchor="_Toc64591265" w:history="1">
            <w:r w:rsidR="00086FE7" w:rsidRPr="00885752">
              <w:rPr>
                <w:rStyle w:val="Hyperlink"/>
                <w:rFonts w:cstheme="minorHAnsi"/>
                <w:noProof/>
              </w:rPr>
              <w:t>2.4.1. Age Differences</w:t>
            </w:r>
            <w:r w:rsidR="00086FE7">
              <w:rPr>
                <w:noProof/>
                <w:webHidden/>
              </w:rPr>
              <w:tab/>
            </w:r>
            <w:r w:rsidR="00086FE7">
              <w:rPr>
                <w:noProof/>
                <w:webHidden/>
              </w:rPr>
              <w:fldChar w:fldCharType="begin"/>
            </w:r>
            <w:r w:rsidR="00086FE7">
              <w:rPr>
                <w:noProof/>
                <w:webHidden/>
              </w:rPr>
              <w:instrText xml:space="preserve"> PAGEREF _Toc64591265 \h </w:instrText>
            </w:r>
            <w:r w:rsidR="00086FE7">
              <w:rPr>
                <w:noProof/>
                <w:webHidden/>
              </w:rPr>
            </w:r>
            <w:r w:rsidR="00086FE7">
              <w:rPr>
                <w:noProof/>
                <w:webHidden/>
              </w:rPr>
              <w:fldChar w:fldCharType="separate"/>
            </w:r>
            <w:r w:rsidR="00086FE7">
              <w:rPr>
                <w:noProof/>
                <w:webHidden/>
              </w:rPr>
              <w:t>18</w:t>
            </w:r>
            <w:r w:rsidR="00086FE7">
              <w:rPr>
                <w:noProof/>
                <w:webHidden/>
              </w:rPr>
              <w:fldChar w:fldCharType="end"/>
            </w:r>
          </w:hyperlink>
        </w:p>
        <w:p w14:paraId="11F0F011" w14:textId="54E61FA3" w:rsidR="00086FE7" w:rsidRDefault="00B76B5A">
          <w:pPr>
            <w:pStyle w:val="TOC3"/>
            <w:rPr>
              <w:rFonts w:eastAsiaTheme="minorEastAsia"/>
              <w:noProof/>
              <w:lang w:val="en-GB" w:eastAsia="en-GB"/>
            </w:rPr>
          </w:pPr>
          <w:hyperlink w:anchor="_Toc64591266" w:history="1">
            <w:r w:rsidR="00086FE7" w:rsidRPr="00885752">
              <w:rPr>
                <w:rStyle w:val="Hyperlink"/>
                <w:rFonts w:cstheme="minorHAnsi"/>
                <w:noProof/>
              </w:rPr>
              <w:t>2.4.2. Gender Differences</w:t>
            </w:r>
            <w:r w:rsidR="00086FE7">
              <w:rPr>
                <w:noProof/>
                <w:webHidden/>
              </w:rPr>
              <w:tab/>
            </w:r>
            <w:r w:rsidR="00086FE7">
              <w:rPr>
                <w:noProof/>
                <w:webHidden/>
              </w:rPr>
              <w:fldChar w:fldCharType="begin"/>
            </w:r>
            <w:r w:rsidR="00086FE7">
              <w:rPr>
                <w:noProof/>
                <w:webHidden/>
              </w:rPr>
              <w:instrText xml:space="preserve"> PAGEREF _Toc64591266 \h </w:instrText>
            </w:r>
            <w:r w:rsidR="00086FE7">
              <w:rPr>
                <w:noProof/>
                <w:webHidden/>
              </w:rPr>
            </w:r>
            <w:r w:rsidR="00086FE7">
              <w:rPr>
                <w:noProof/>
                <w:webHidden/>
              </w:rPr>
              <w:fldChar w:fldCharType="separate"/>
            </w:r>
            <w:r w:rsidR="00086FE7">
              <w:rPr>
                <w:noProof/>
                <w:webHidden/>
              </w:rPr>
              <w:t>19</w:t>
            </w:r>
            <w:r w:rsidR="00086FE7">
              <w:rPr>
                <w:noProof/>
                <w:webHidden/>
              </w:rPr>
              <w:fldChar w:fldCharType="end"/>
            </w:r>
          </w:hyperlink>
        </w:p>
        <w:p w14:paraId="633673FF" w14:textId="0C16D37E" w:rsidR="00086FE7" w:rsidRDefault="00B76B5A">
          <w:pPr>
            <w:pStyle w:val="TOC3"/>
            <w:rPr>
              <w:rFonts w:eastAsiaTheme="minorEastAsia"/>
              <w:noProof/>
              <w:lang w:val="en-GB" w:eastAsia="en-GB"/>
            </w:rPr>
          </w:pPr>
          <w:hyperlink w:anchor="_Toc64591267" w:history="1">
            <w:r w:rsidR="00086FE7" w:rsidRPr="00885752">
              <w:rPr>
                <w:rStyle w:val="Hyperlink"/>
                <w:rFonts w:cstheme="minorHAnsi"/>
                <w:noProof/>
              </w:rPr>
              <w:t>2.4.3. Ethnic and Racial Differences</w:t>
            </w:r>
            <w:r w:rsidR="00086FE7">
              <w:rPr>
                <w:noProof/>
                <w:webHidden/>
              </w:rPr>
              <w:tab/>
            </w:r>
            <w:r w:rsidR="00086FE7">
              <w:rPr>
                <w:noProof/>
                <w:webHidden/>
              </w:rPr>
              <w:fldChar w:fldCharType="begin"/>
            </w:r>
            <w:r w:rsidR="00086FE7">
              <w:rPr>
                <w:noProof/>
                <w:webHidden/>
              </w:rPr>
              <w:instrText xml:space="preserve"> PAGEREF _Toc64591267 \h </w:instrText>
            </w:r>
            <w:r w:rsidR="00086FE7">
              <w:rPr>
                <w:noProof/>
                <w:webHidden/>
              </w:rPr>
            </w:r>
            <w:r w:rsidR="00086FE7">
              <w:rPr>
                <w:noProof/>
                <w:webHidden/>
              </w:rPr>
              <w:fldChar w:fldCharType="separate"/>
            </w:r>
            <w:r w:rsidR="00086FE7">
              <w:rPr>
                <w:noProof/>
                <w:webHidden/>
              </w:rPr>
              <w:t>20</w:t>
            </w:r>
            <w:r w:rsidR="00086FE7">
              <w:rPr>
                <w:noProof/>
                <w:webHidden/>
              </w:rPr>
              <w:fldChar w:fldCharType="end"/>
            </w:r>
          </w:hyperlink>
        </w:p>
        <w:p w14:paraId="3B0CE3D7" w14:textId="5D8609DB" w:rsidR="00086FE7" w:rsidRDefault="00B76B5A">
          <w:pPr>
            <w:pStyle w:val="TOC3"/>
            <w:rPr>
              <w:rFonts w:eastAsiaTheme="minorEastAsia"/>
              <w:noProof/>
              <w:lang w:val="en-GB" w:eastAsia="en-GB"/>
            </w:rPr>
          </w:pPr>
          <w:hyperlink w:anchor="_Toc64591268" w:history="1">
            <w:r w:rsidR="00086FE7" w:rsidRPr="00885752">
              <w:rPr>
                <w:rStyle w:val="Hyperlink"/>
                <w:rFonts w:cstheme="minorHAnsi"/>
                <w:noProof/>
              </w:rPr>
              <w:t>2.4.4. Birthweight and Health Status</w:t>
            </w:r>
            <w:r w:rsidR="00086FE7">
              <w:rPr>
                <w:noProof/>
                <w:webHidden/>
              </w:rPr>
              <w:tab/>
            </w:r>
            <w:r w:rsidR="00086FE7">
              <w:rPr>
                <w:noProof/>
                <w:webHidden/>
              </w:rPr>
              <w:fldChar w:fldCharType="begin"/>
            </w:r>
            <w:r w:rsidR="00086FE7">
              <w:rPr>
                <w:noProof/>
                <w:webHidden/>
              </w:rPr>
              <w:instrText xml:space="preserve"> PAGEREF _Toc64591268 \h </w:instrText>
            </w:r>
            <w:r w:rsidR="00086FE7">
              <w:rPr>
                <w:noProof/>
                <w:webHidden/>
              </w:rPr>
            </w:r>
            <w:r w:rsidR="00086FE7">
              <w:rPr>
                <w:noProof/>
                <w:webHidden/>
              </w:rPr>
              <w:fldChar w:fldCharType="separate"/>
            </w:r>
            <w:r w:rsidR="00086FE7">
              <w:rPr>
                <w:noProof/>
                <w:webHidden/>
              </w:rPr>
              <w:t>21</w:t>
            </w:r>
            <w:r w:rsidR="00086FE7">
              <w:rPr>
                <w:noProof/>
                <w:webHidden/>
              </w:rPr>
              <w:fldChar w:fldCharType="end"/>
            </w:r>
          </w:hyperlink>
        </w:p>
        <w:p w14:paraId="788D7FA6" w14:textId="1671D97E" w:rsidR="00086FE7" w:rsidRDefault="00B76B5A">
          <w:pPr>
            <w:pStyle w:val="TOC3"/>
            <w:rPr>
              <w:rFonts w:eastAsiaTheme="minorEastAsia"/>
              <w:noProof/>
              <w:lang w:val="en-GB" w:eastAsia="en-GB"/>
            </w:rPr>
          </w:pPr>
          <w:hyperlink w:anchor="_Toc64591269" w:history="1">
            <w:r w:rsidR="00086FE7" w:rsidRPr="00885752">
              <w:rPr>
                <w:rStyle w:val="Hyperlink"/>
                <w:rFonts w:cstheme="minorHAnsi"/>
                <w:noProof/>
              </w:rPr>
              <w:t>2.4.5. School Quality</w:t>
            </w:r>
            <w:r w:rsidR="00086FE7">
              <w:rPr>
                <w:noProof/>
                <w:webHidden/>
              </w:rPr>
              <w:tab/>
            </w:r>
            <w:r w:rsidR="00086FE7">
              <w:rPr>
                <w:noProof/>
                <w:webHidden/>
              </w:rPr>
              <w:fldChar w:fldCharType="begin"/>
            </w:r>
            <w:r w:rsidR="00086FE7">
              <w:rPr>
                <w:noProof/>
                <w:webHidden/>
              </w:rPr>
              <w:instrText xml:space="preserve"> PAGEREF _Toc64591269 \h </w:instrText>
            </w:r>
            <w:r w:rsidR="00086FE7">
              <w:rPr>
                <w:noProof/>
                <w:webHidden/>
              </w:rPr>
            </w:r>
            <w:r w:rsidR="00086FE7">
              <w:rPr>
                <w:noProof/>
                <w:webHidden/>
              </w:rPr>
              <w:fldChar w:fldCharType="separate"/>
            </w:r>
            <w:r w:rsidR="00086FE7">
              <w:rPr>
                <w:noProof/>
                <w:webHidden/>
              </w:rPr>
              <w:t>21</w:t>
            </w:r>
            <w:r w:rsidR="00086FE7">
              <w:rPr>
                <w:noProof/>
                <w:webHidden/>
              </w:rPr>
              <w:fldChar w:fldCharType="end"/>
            </w:r>
          </w:hyperlink>
        </w:p>
        <w:p w14:paraId="67670D9F" w14:textId="0AE93EDE" w:rsidR="00086FE7" w:rsidRDefault="00B76B5A">
          <w:pPr>
            <w:pStyle w:val="TOC1"/>
            <w:rPr>
              <w:rFonts w:eastAsiaTheme="minorEastAsia"/>
              <w:noProof/>
              <w:lang w:val="en-GB" w:eastAsia="en-GB"/>
            </w:rPr>
          </w:pPr>
          <w:hyperlink w:anchor="_Toc64591270" w:history="1">
            <w:r w:rsidR="00086FE7" w:rsidRPr="00885752">
              <w:rPr>
                <w:rStyle w:val="Hyperlink"/>
                <w:noProof/>
              </w:rPr>
              <w:t>Chapter 3. - Data Source and Methods</w:t>
            </w:r>
            <w:r w:rsidR="00086FE7">
              <w:rPr>
                <w:noProof/>
                <w:webHidden/>
              </w:rPr>
              <w:tab/>
            </w:r>
            <w:r w:rsidR="00086FE7">
              <w:rPr>
                <w:noProof/>
                <w:webHidden/>
              </w:rPr>
              <w:fldChar w:fldCharType="begin"/>
            </w:r>
            <w:r w:rsidR="00086FE7">
              <w:rPr>
                <w:noProof/>
                <w:webHidden/>
              </w:rPr>
              <w:instrText xml:space="preserve"> PAGEREF _Toc64591270 \h </w:instrText>
            </w:r>
            <w:r w:rsidR="00086FE7">
              <w:rPr>
                <w:noProof/>
                <w:webHidden/>
              </w:rPr>
            </w:r>
            <w:r w:rsidR="00086FE7">
              <w:rPr>
                <w:noProof/>
                <w:webHidden/>
              </w:rPr>
              <w:fldChar w:fldCharType="separate"/>
            </w:r>
            <w:r w:rsidR="00086FE7">
              <w:rPr>
                <w:noProof/>
                <w:webHidden/>
              </w:rPr>
              <w:t>22</w:t>
            </w:r>
            <w:r w:rsidR="00086FE7">
              <w:rPr>
                <w:noProof/>
                <w:webHidden/>
              </w:rPr>
              <w:fldChar w:fldCharType="end"/>
            </w:r>
          </w:hyperlink>
        </w:p>
        <w:p w14:paraId="77827296" w14:textId="4BA22A91" w:rsidR="00086FE7" w:rsidRDefault="00B76B5A">
          <w:pPr>
            <w:pStyle w:val="TOC2"/>
            <w:rPr>
              <w:rFonts w:eastAsiaTheme="minorEastAsia" w:cstheme="minorBidi"/>
              <w:lang w:val="en-GB" w:eastAsia="en-GB"/>
            </w:rPr>
          </w:pPr>
          <w:hyperlink w:anchor="_Toc64591271" w:history="1">
            <w:r w:rsidR="00086FE7" w:rsidRPr="00885752">
              <w:rPr>
                <w:rStyle w:val="Hyperlink"/>
              </w:rPr>
              <w:t>3.1. Frequencies and Cross Tabulations</w:t>
            </w:r>
            <w:r w:rsidR="00086FE7">
              <w:rPr>
                <w:webHidden/>
              </w:rPr>
              <w:tab/>
            </w:r>
            <w:r w:rsidR="00086FE7">
              <w:rPr>
                <w:webHidden/>
              </w:rPr>
              <w:fldChar w:fldCharType="begin"/>
            </w:r>
            <w:r w:rsidR="00086FE7">
              <w:rPr>
                <w:webHidden/>
              </w:rPr>
              <w:instrText xml:space="preserve"> PAGEREF _Toc64591271 \h </w:instrText>
            </w:r>
            <w:r w:rsidR="00086FE7">
              <w:rPr>
                <w:webHidden/>
              </w:rPr>
            </w:r>
            <w:r w:rsidR="00086FE7">
              <w:rPr>
                <w:webHidden/>
              </w:rPr>
              <w:fldChar w:fldCharType="separate"/>
            </w:r>
            <w:r w:rsidR="00086FE7">
              <w:rPr>
                <w:webHidden/>
              </w:rPr>
              <w:t>22</w:t>
            </w:r>
            <w:r w:rsidR="00086FE7">
              <w:rPr>
                <w:webHidden/>
              </w:rPr>
              <w:fldChar w:fldCharType="end"/>
            </w:r>
          </w:hyperlink>
        </w:p>
        <w:p w14:paraId="6272DEEC" w14:textId="53606B51" w:rsidR="00086FE7" w:rsidRDefault="00B76B5A">
          <w:pPr>
            <w:pStyle w:val="TOC2"/>
            <w:rPr>
              <w:rFonts w:eastAsiaTheme="minorEastAsia" w:cstheme="minorBidi"/>
              <w:lang w:val="en-GB" w:eastAsia="en-GB"/>
            </w:rPr>
          </w:pPr>
          <w:hyperlink w:anchor="_Toc64591272" w:history="1">
            <w:r w:rsidR="00086FE7" w:rsidRPr="00885752">
              <w:rPr>
                <w:rStyle w:val="Hyperlink"/>
              </w:rPr>
              <w:t>3.2. Central Tendencies</w:t>
            </w:r>
            <w:r w:rsidR="00086FE7">
              <w:rPr>
                <w:webHidden/>
              </w:rPr>
              <w:tab/>
            </w:r>
            <w:r w:rsidR="00086FE7">
              <w:rPr>
                <w:webHidden/>
              </w:rPr>
              <w:fldChar w:fldCharType="begin"/>
            </w:r>
            <w:r w:rsidR="00086FE7">
              <w:rPr>
                <w:webHidden/>
              </w:rPr>
              <w:instrText xml:space="preserve"> PAGEREF _Toc64591272 \h </w:instrText>
            </w:r>
            <w:r w:rsidR="00086FE7">
              <w:rPr>
                <w:webHidden/>
              </w:rPr>
            </w:r>
            <w:r w:rsidR="00086FE7">
              <w:rPr>
                <w:webHidden/>
              </w:rPr>
              <w:fldChar w:fldCharType="separate"/>
            </w:r>
            <w:r w:rsidR="00086FE7">
              <w:rPr>
                <w:webHidden/>
              </w:rPr>
              <w:t>23</w:t>
            </w:r>
            <w:r w:rsidR="00086FE7">
              <w:rPr>
                <w:webHidden/>
              </w:rPr>
              <w:fldChar w:fldCharType="end"/>
            </w:r>
          </w:hyperlink>
        </w:p>
        <w:p w14:paraId="6BDEFC71" w14:textId="2D4941A3" w:rsidR="00086FE7" w:rsidRDefault="00B76B5A">
          <w:pPr>
            <w:pStyle w:val="TOC2"/>
            <w:rPr>
              <w:rFonts w:eastAsiaTheme="minorEastAsia" w:cstheme="minorBidi"/>
              <w:lang w:val="en-GB" w:eastAsia="en-GB"/>
            </w:rPr>
          </w:pPr>
          <w:hyperlink w:anchor="_Toc64591273" w:history="1">
            <w:r w:rsidR="00086FE7" w:rsidRPr="00885752">
              <w:rPr>
                <w:rStyle w:val="Hyperlink"/>
              </w:rPr>
              <w:t>3.3. Feature selection</w:t>
            </w:r>
            <w:r w:rsidR="00086FE7">
              <w:rPr>
                <w:webHidden/>
              </w:rPr>
              <w:tab/>
            </w:r>
            <w:r w:rsidR="00086FE7">
              <w:rPr>
                <w:webHidden/>
              </w:rPr>
              <w:fldChar w:fldCharType="begin"/>
            </w:r>
            <w:r w:rsidR="00086FE7">
              <w:rPr>
                <w:webHidden/>
              </w:rPr>
              <w:instrText xml:space="preserve"> PAGEREF _Toc64591273 \h </w:instrText>
            </w:r>
            <w:r w:rsidR="00086FE7">
              <w:rPr>
                <w:webHidden/>
              </w:rPr>
            </w:r>
            <w:r w:rsidR="00086FE7">
              <w:rPr>
                <w:webHidden/>
              </w:rPr>
              <w:fldChar w:fldCharType="separate"/>
            </w:r>
            <w:r w:rsidR="00086FE7">
              <w:rPr>
                <w:webHidden/>
              </w:rPr>
              <w:t>25</w:t>
            </w:r>
            <w:r w:rsidR="00086FE7">
              <w:rPr>
                <w:webHidden/>
              </w:rPr>
              <w:fldChar w:fldCharType="end"/>
            </w:r>
          </w:hyperlink>
        </w:p>
        <w:p w14:paraId="64876CCA" w14:textId="596E5968" w:rsidR="00086FE7" w:rsidRDefault="00B76B5A">
          <w:pPr>
            <w:pStyle w:val="TOC2"/>
            <w:rPr>
              <w:rFonts w:eastAsiaTheme="minorEastAsia" w:cstheme="minorBidi"/>
              <w:lang w:val="en-GB" w:eastAsia="en-GB"/>
            </w:rPr>
          </w:pPr>
          <w:hyperlink w:anchor="_Toc64591274" w:history="1">
            <w:r w:rsidR="00086FE7" w:rsidRPr="00885752">
              <w:rPr>
                <w:rStyle w:val="Hyperlink"/>
              </w:rPr>
              <w:t>3.4. Methods</w:t>
            </w:r>
            <w:r w:rsidR="00086FE7">
              <w:rPr>
                <w:webHidden/>
              </w:rPr>
              <w:tab/>
            </w:r>
            <w:r w:rsidR="00086FE7">
              <w:rPr>
                <w:webHidden/>
              </w:rPr>
              <w:fldChar w:fldCharType="begin"/>
            </w:r>
            <w:r w:rsidR="00086FE7">
              <w:rPr>
                <w:webHidden/>
              </w:rPr>
              <w:instrText xml:space="preserve"> PAGEREF _Toc64591274 \h </w:instrText>
            </w:r>
            <w:r w:rsidR="00086FE7">
              <w:rPr>
                <w:webHidden/>
              </w:rPr>
            </w:r>
            <w:r w:rsidR="00086FE7">
              <w:rPr>
                <w:webHidden/>
              </w:rPr>
              <w:fldChar w:fldCharType="separate"/>
            </w:r>
            <w:r w:rsidR="00086FE7">
              <w:rPr>
                <w:webHidden/>
              </w:rPr>
              <w:t>26</w:t>
            </w:r>
            <w:r w:rsidR="00086FE7">
              <w:rPr>
                <w:webHidden/>
              </w:rPr>
              <w:fldChar w:fldCharType="end"/>
            </w:r>
          </w:hyperlink>
        </w:p>
        <w:p w14:paraId="3A657765" w14:textId="6B2D3CDD" w:rsidR="00086FE7" w:rsidRDefault="00B76B5A">
          <w:pPr>
            <w:pStyle w:val="TOC3"/>
            <w:rPr>
              <w:rFonts w:eastAsiaTheme="minorEastAsia"/>
              <w:noProof/>
              <w:lang w:val="en-GB" w:eastAsia="en-GB"/>
            </w:rPr>
          </w:pPr>
          <w:hyperlink w:anchor="_Toc64591275" w:history="1">
            <w:r w:rsidR="00086FE7" w:rsidRPr="00885752">
              <w:rPr>
                <w:rStyle w:val="Hyperlink"/>
                <w:noProof/>
              </w:rPr>
              <w:t>3.4.1. Value-Added Model (VAM)</w:t>
            </w:r>
            <w:r w:rsidR="00086FE7">
              <w:rPr>
                <w:noProof/>
                <w:webHidden/>
              </w:rPr>
              <w:tab/>
            </w:r>
            <w:r w:rsidR="00086FE7">
              <w:rPr>
                <w:noProof/>
                <w:webHidden/>
              </w:rPr>
              <w:fldChar w:fldCharType="begin"/>
            </w:r>
            <w:r w:rsidR="00086FE7">
              <w:rPr>
                <w:noProof/>
                <w:webHidden/>
              </w:rPr>
              <w:instrText xml:space="preserve"> PAGEREF _Toc64591275 \h </w:instrText>
            </w:r>
            <w:r w:rsidR="00086FE7">
              <w:rPr>
                <w:noProof/>
                <w:webHidden/>
              </w:rPr>
            </w:r>
            <w:r w:rsidR="00086FE7">
              <w:rPr>
                <w:noProof/>
                <w:webHidden/>
              </w:rPr>
              <w:fldChar w:fldCharType="separate"/>
            </w:r>
            <w:r w:rsidR="00086FE7">
              <w:rPr>
                <w:noProof/>
                <w:webHidden/>
              </w:rPr>
              <w:t>26</w:t>
            </w:r>
            <w:r w:rsidR="00086FE7">
              <w:rPr>
                <w:noProof/>
                <w:webHidden/>
              </w:rPr>
              <w:fldChar w:fldCharType="end"/>
            </w:r>
          </w:hyperlink>
        </w:p>
        <w:p w14:paraId="61A23AC0" w14:textId="16FDCA64" w:rsidR="00086FE7" w:rsidRDefault="00B76B5A">
          <w:pPr>
            <w:pStyle w:val="TOC3"/>
            <w:rPr>
              <w:rFonts w:eastAsiaTheme="minorEastAsia"/>
              <w:noProof/>
              <w:lang w:val="en-GB" w:eastAsia="en-GB"/>
            </w:rPr>
          </w:pPr>
          <w:hyperlink w:anchor="_Toc64591276" w:history="1">
            <w:r w:rsidR="00086FE7" w:rsidRPr="00885752">
              <w:rPr>
                <w:rStyle w:val="Hyperlink"/>
                <w:noProof/>
              </w:rPr>
              <w:t>3.4.2. Staggered Difference in Differences</w:t>
            </w:r>
            <w:r w:rsidR="00086FE7">
              <w:rPr>
                <w:noProof/>
                <w:webHidden/>
              </w:rPr>
              <w:tab/>
            </w:r>
            <w:r w:rsidR="00086FE7">
              <w:rPr>
                <w:noProof/>
                <w:webHidden/>
              </w:rPr>
              <w:fldChar w:fldCharType="begin"/>
            </w:r>
            <w:r w:rsidR="00086FE7">
              <w:rPr>
                <w:noProof/>
                <w:webHidden/>
              </w:rPr>
              <w:instrText xml:space="preserve"> PAGEREF _Toc64591276 \h </w:instrText>
            </w:r>
            <w:r w:rsidR="00086FE7">
              <w:rPr>
                <w:noProof/>
                <w:webHidden/>
              </w:rPr>
            </w:r>
            <w:r w:rsidR="00086FE7">
              <w:rPr>
                <w:noProof/>
                <w:webHidden/>
              </w:rPr>
              <w:fldChar w:fldCharType="separate"/>
            </w:r>
            <w:r w:rsidR="00086FE7">
              <w:rPr>
                <w:noProof/>
                <w:webHidden/>
              </w:rPr>
              <w:t>29</w:t>
            </w:r>
            <w:r w:rsidR="00086FE7">
              <w:rPr>
                <w:noProof/>
                <w:webHidden/>
              </w:rPr>
              <w:fldChar w:fldCharType="end"/>
            </w:r>
          </w:hyperlink>
        </w:p>
        <w:p w14:paraId="27B4C885" w14:textId="5F1403E6" w:rsidR="00086FE7" w:rsidRDefault="00B76B5A">
          <w:pPr>
            <w:pStyle w:val="TOC1"/>
            <w:rPr>
              <w:rFonts w:eastAsiaTheme="minorEastAsia"/>
              <w:noProof/>
              <w:lang w:val="en-GB" w:eastAsia="en-GB"/>
            </w:rPr>
          </w:pPr>
          <w:hyperlink w:anchor="_Toc64591277" w:history="1">
            <w:r w:rsidR="00086FE7" w:rsidRPr="00885752">
              <w:rPr>
                <w:rStyle w:val="Hyperlink"/>
                <w:noProof/>
              </w:rPr>
              <w:t>Chapter 4. Results</w:t>
            </w:r>
            <w:r w:rsidR="00086FE7">
              <w:rPr>
                <w:noProof/>
                <w:webHidden/>
              </w:rPr>
              <w:tab/>
            </w:r>
            <w:r w:rsidR="00086FE7">
              <w:rPr>
                <w:noProof/>
                <w:webHidden/>
              </w:rPr>
              <w:fldChar w:fldCharType="begin"/>
            </w:r>
            <w:r w:rsidR="00086FE7">
              <w:rPr>
                <w:noProof/>
                <w:webHidden/>
              </w:rPr>
              <w:instrText xml:space="preserve"> PAGEREF _Toc64591277 \h </w:instrText>
            </w:r>
            <w:r w:rsidR="00086FE7">
              <w:rPr>
                <w:noProof/>
                <w:webHidden/>
              </w:rPr>
            </w:r>
            <w:r w:rsidR="00086FE7">
              <w:rPr>
                <w:noProof/>
                <w:webHidden/>
              </w:rPr>
              <w:fldChar w:fldCharType="separate"/>
            </w:r>
            <w:r w:rsidR="00086FE7">
              <w:rPr>
                <w:noProof/>
                <w:webHidden/>
              </w:rPr>
              <w:t>37</w:t>
            </w:r>
            <w:r w:rsidR="00086FE7">
              <w:rPr>
                <w:noProof/>
                <w:webHidden/>
              </w:rPr>
              <w:fldChar w:fldCharType="end"/>
            </w:r>
          </w:hyperlink>
        </w:p>
        <w:p w14:paraId="5D7D57F4" w14:textId="6A640D3A" w:rsidR="00086FE7" w:rsidRDefault="00B76B5A">
          <w:pPr>
            <w:pStyle w:val="TOC2"/>
            <w:rPr>
              <w:rFonts w:eastAsiaTheme="minorEastAsia" w:cstheme="minorBidi"/>
              <w:lang w:val="en-GB" w:eastAsia="en-GB"/>
            </w:rPr>
          </w:pPr>
          <w:hyperlink w:anchor="_Toc64591278" w:history="1">
            <w:r w:rsidR="00086FE7" w:rsidRPr="00885752">
              <w:rPr>
                <w:rStyle w:val="Hyperlink"/>
              </w:rPr>
              <w:t>4.1. Value-Added Model (VAM) Estimation</w:t>
            </w:r>
            <w:r w:rsidR="00086FE7">
              <w:rPr>
                <w:webHidden/>
              </w:rPr>
              <w:tab/>
            </w:r>
            <w:r w:rsidR="00086FE7">
              <w:rPr>
                <w:webHidden/>
              </w:rPr>
              <w:fldChar w:fldCharType="begin"/>
            </w:r>
            <w:r w:rsidR="00086FE7">
              <w:rPr>
                <w:webHidden/>
              </w:rPr>
              <w:instrText xml:space="preserve"> PAGEREF _Toc64591278 \h </w:instrText>
            </w:r>
            <w:r w:rsidR="00086FE7">
              <w:rPr>
                <w:webHidden/>
              </w:rPr>
            </w:r>
            <w:r w:rsidR="00086FE7">
              <w:rPr>
                <w:webHidden/>
              </w:rPr>
              <w:fldChar w:fldCharType="separate"/>
            </w:r>
            <w:r w:rsidR="00086FE7">
              <w:rPr>
                <w:webHidden/>
              </w:rPr>
              <w:t>37</w:t>
            </w:r>
            <w:r w:rsidR="00086FE7">
              <w:rPr>
                <w:webHidden/>
              </w:rPr>
              <w:fldChar w:fldCharType="end"/>
            </w:r>
          </w:hyperlink>
        </w:p>
        <w:p w14:paraId="2CA409FA" w14:textId="7190F60E" w:rsidR="00086FE7" w:rsidRDefault="00B76B5A">
          <w:pPr>
            <w:pStyle w:val="TOC2"/>
            <w:rPr>
              <w:rFonts w:eastAsiaTheme="minorEastAsia" w:cstheme="minorBidi"/>
              <w:lang w:val="en-GB" w:eastAsia="en-GB"/>
            </w:rPr>
          </w:pPr>
          <w:hyperlink w:anchor="_Toc64591279" w:history="1">
            <w:r w:rsidR="00086FE7" w:rsidRPr="00885752">
              <w:rPr>
                <w:rStyle w:val="Hyperlink"/>
              </w:rPr>
              <w:t>4.2. Staggered DID Estimations</w:t>
            </w:r>
            <w:r w:rsidR="00086FE7">
              <w:rPr>
                <w:webHidden/>
              </w:rPr>
              <w:tab/>
            </w:r>
            <w:r w:rsidR="00086FE7">
              <w:rPr>
                <w:webHidden/>
              </w:rPr>
              <w:fldChar w:fldCharType="begin"/>
            </w:r>
            <w:r w:rsidR="00086FE7">
              <w:rPr>
                <w:webHidden/>
              </w:rPr>
              <w:instrText xml:space="preserve"> PAGEREF _Toc64591279 \h </w:instrText>
            </w:r>
            <w:r w:rsidR="00086FE7">
              <w:rPr>
                <w:webHidden/>
              </w:rPr>
            </w:r>
            <w:r w:rsidR="00086FE7">
              <w:rPr>
                <w:webHidden/>
              </w:rPr>
              <w:fldChar w:fldCharType="separate"/>
            </w:r>
            <w:r w:rsidR="00086FE7">
              <w:rPr>
                <w:webHidden/>
              </w:rPr>
              <w:t>39</w:t>
            </w:r>
            <w:r w:rsidR="00086FE7">
              <w:rPr>
                <w:webHidden/>
              </w:rPr>
              <w:fldChar w:fldCharType="end"/>
            </w:r>
          </w:hyperlink>
        </w:p>
        <w:p w14:paraId="2C1F8999" w14:textId="6DBE8702" w:rsidR="00086FE7" w:rsidRDefault="00B76B5A">
          <w:pPr>
            <w:pStyle w:val="TOC3"/>
            <w:rPr>
              <w:rFonts w:eastAsiaTheme="minorEastAsia"/>
              <w:noProof/>
              <w:lang w:val="en-GB" w:eastAsia="en-GB"/>
            </w:rPr>
          </w:pPr>
          <w:hyperlink w:anchor="_Toc64591280" w:history="1">
            <w:r w:rsidR="00086FE7" w:rsidRPr="00885752">
              <w:rPr>
                <w:rStyle w:val="Hyperlink"/>
                <w:noProof/>
              </w:rPr>
              <w:t>4.2.1. Upper-bound Estimates</w:t>
            </w:r>
            <w:r w:rsidR="00086FE7">
              <w:rPr>
                <w:noProof/>
                <w:webHidden/>
              </w:rPr>
              <w:tab/>
            </w:r>
            <w:r w:rsidR="00086FE7">
              <w:rPr>
                <w:noProof/>
                <w:webHidden/>
              </w:rPr>
              <w:fldChar w:fldCharType="begin"/>
            </w:r>
            <w:r w:rsidR="00086FE7">
              <w:rPr>
                <w:noProof/>
                <w:webHidden/>
              </w:rPr>
              <w:instrText xml:space="preserve"> PAGEREF _Toc64591280 \h </w:instrText>
            </w:r>
            <w:r w:rsidR="00086FE7">
              <w:rPr>
                <w:noProof/>
                <w:webHidden/>
              </w:rPr>
            </w:r>
            <w:r w:rsidR="00086FE7">
              <w:rPr>
                <w:noProof/>
                <w:webHidden/>
              </w:rPr>
              <w:fldChar w:fldCharType="separate"/>
            </w:r>
            <w:r w:rsidR="00086FE7">
              <w:rPr>
                <w:noProof/>
                <w:webHidden/>
              </w:rPr>
              <w:t>39</w:t>
            </w:r>
            <w:r w:rsidR="00086FE7">
              <w:rPr>
                <w:noProof/>
                <w:webHidden/>
              </w:rPr>
              <w:fldChar w:fldCharType="end"/>
            </w:r>
          </w:hyperlink>
        </w:p>
        <w:p w14:paraId="50EE7AE3" w14:textId="5F469EA1" w:rsidR="00086FE7" w:rsidRDefault="00B76B5A">
          <w:pPr>
            <w:pStyle w:val="TOC3"/>
            <w:rPr>
              <w:rFonts w:eastAsiaTheme="minorEastAsia"/>
              <w:noProof/>
              <w:lang w:val="en-GB" w:eastAsia="en-GB"/>
            </w:rPr>
          </w:pPr>
          <w:hyperlink w:anchor="_Toc64591281" w:history="1">
            <w:r w:rsidR="00086FE7" w:rsidRPr="00885752">
              <w:rPr>
                <w:rStyle w:val="Hyperlink"/>
                <w:noProof/>
              </w:rPr>
              <w:t>4.2.2. Lower-bound Estimates</w:t>
            </w:r>
            <w:r w:rsidR="00086FE7">
              <w:rPr>
                <w:noProof/>
                <w:webHidden/>
              </w:rPr>
              <w:tab/>
            </w:r>
            <w:r w:rsidR="00086FE7">
              <w:rPr>
                <w:noProof/>
                <w:webHidden/>
              </w:rPr>
              <w:fldChar w:fldCharType="begin"/>
            </w:r>
            <w:r w:rsidR="00086FE7">
              <w:rPr>
                <w:noProof/>
                <w:webHidden/>
              </w:rPr>
              <w:instrText xml:space="preserve"> PAGEREF _Toc64591281 \h </w:instrText>
            </w:r>
            <w:r w:rsidR="00086FE7">
              <w:rPr>
                <w:noProof/>
                <w:webHidden/>
              </w:rPr>
            </w:r>
            <w:r w:rsidR="00086FE7">
              <w:rPr>
                <w:noProof/>
                <w:webHidden/>
              </w:rPr>
              <w:fldChar w:fldCharType="separate"/>
            </w:r>
            <w:r w:rsidR="00086FE7">
              <w:rPr>
                <w:noProof/>
                <w:webHidden/>
              </w:rPr>
              <w:t>52</w:t>
            </w:r>
            <w:r w:rsidR="00086FE7">
              <w:rPr>
                <w:noProof/>
                <w:webHidden/>
              </w:rPr>
              <w:fldChar w:fldCharType="end"/>
            </w:r>
          </w:hyperlink>
        </w:p>
        <w:p w14:paraId="67ED3B2B" w14:textId="30DC5596" w:rsidR="00086FE7" w:rsidRDefault="00B76B5A">
          <w:pPr>
            <w:pStyle w:val="TOC3"/>
            <w:rPr>
              <w:rFonts w:eastAsiaTheme="minorEastAsia"/>
              <w:noProof/>
              <w:lang w:val="en-GB" w:eastAsia="en-GB"/>
            </w:rPr>
          </w:pPr>
          <w:hyperlink w:anchor="_Toc64591282" w:history="1">
            <w:r w:rsidR="00086FE7" w:rsidRPr="00885752">
              <w:rPr>
                <w:rStyle w:val="Hyperlink"/>
                <w:noProof/>
              </w:rPr>
              <w:t>4.2.3. Additional Results</w:t>
            </w:r>
            <w:r w:rsidR="00086FE7">
              <w:rPr>
                <w:noProof/>
                <w:webHidden/>
              </w:rPr>
              <w:tab/>
            </w:r>
            <w:r w:rsidR="00086FE7">
              <w:rPr>
                <w:noProof/>
                <w:webHidden/>
              </w:rPr>
              <w:fldChar w:fldCharType="begin"/>
            </w:r>
            <w:r w:rsidR="00086FE7">
              <w:rPr>
                <w:noProof/>
                <w:webHidden/>
              </w:rPr>
              <w:instrText xml:space="preserve"> PAGEREF _Toc64591282 \h </w:instrText>
            </w:r>
            <w:r w:rsidR="00086FE7">
              <w:rPr>
                <w:noProof/>
                <w:webHidden/>
              </w:rPr>
            </w:r>
            <w:r w:rsidR="00086FE7">
              <w:rPr>
                <w:noProof/>
                <w:webHidden/>
              </w:rPr>
              <w:fldChar w:fldCharType="separate"/>
            </w:r>
            <w:r w:rsidR="00086FE7">
              <w:rPr>
                <w:noProof/>
                <w:webHidden/>
              </w:rPr>
              <w:t>54</w:t>
            </w:r>
            <w:r w:rsidR="00086FE7">
              <w:rPr>
                <w:noProof/>
                <w:webHidden/>
              </w:rPr>
              <w:fldChar w:fldCharType="end"/>
            </w:r>
          </w:hyperlink>
        </w:p>
        <w:p w14:paraId="1303BF42" w14:textId="1DC540F1" w:rsidR="00086FE7" w:rsidRDefault="00B76B5A">
          <w:pPr>
            <w:pStyle w:val="TOC1"/>
            <w:rPr>
              <w:rFonts w:eastAsiaTheme="minorEastAsia"/>
              <w:noProof/>
              <w:lang w:val="en-GB" w:eastAsia="en-GB"/>
            </w:rPr>
          </w:pPr>
          <w:hyperlink w:anchor="_Toc64591283" w:history="1">
            <w:r w:rsidR="00086FE7" w:rsidRPr="00885752">
              <w:rPr>
                <w:rStyle w:val="Hyperlink"/>
                <w:noProof/>
              </w:rPr>
              <w:t>Chapter 5. Limitations</w:t>
            </w:r>
            <w:r w:rsidR="00086FE7">
              <w:rPr>
                <w:noProof/>
                <w:webHidden/>
              </w:rPr>
              <w:tab/>
            </w:r>
            <w:r w:rsidR="00086FE7">
              <w:rPr>
                <w:noProof/>
                <w:webHidden/>
              </w:rPr>
              <w:fldChar w:fldCharType="begin"/>
            </w:r>
            <w:r w:rsidR="00086FE7">
              <w:rPr>
                <w:noProof/>
                <w:webHidden/>
              </w:rPr>
              <w:instrText xml:space="preserve"> PAGEREF _Toc64591283 \h </w:instrText>
            </w:r>
            <w:r w:rsidR="00086FE7">
              <w:rPr>
                <w:noProof/>
                <w:webHidden/>
              </w:rPr>
            </w:r>
            <w:r w:rsidR="00086FE7">
              <w:rPr>
                <w:noProof/>
                <w:webHidden/>
              </w:rPr>
              <w:fldChar w:fldCharType="separate"/>
            </w:r>
            <w:r w:rsidR="00086FE7">
              <w:rPr>
                <w:noProof/>
                <w:webHidden/>
              </w:rPr>
              <w:t>56</w:t>
            </w:r>
            <w:r w:rsidR="00086FE7">
              <w:rPr>
                <w:noProof/>
                <w:webHidden/>
              </w:rPr>
              <w:fldChar w:fldCharType="end"/>
            </w:r>
          </w:hyperlink>
        </w:p>
        <w:p w14:paraId="11CD0A44" w14:textId="0F33B56E" w:rsidR="00086FE7" w:rsidRDefault="00B76B5A">
          <w:pPr>
            <w:pStyle w:val="TOC1"/>
            <w:rPr>
              <w:rFonts w:eastAsiaTheme="minorEastAsia"/>
              <w:noProof/>
              <w:lang w:val="en-GB" w:eastAsia="en-GB"/>
            </w:rPr>
          </w:pPr>
          <w:hyperlink w:anchor="_Toc64591284" w:history="1">
            <w:r w:rsidR="00086FE7" w:rsidRPr="00885752">
              <w:rPr>
                <w:rStyle w:val="Hyperlink"/>
                <w:noProof/>
              </w:rPr>
              <w:t>Chapter 6. Conclusion</w:t>
            </w:r>
            <w:r w:rsidR="00086FE7">
              <w:rPr>
                <w:noProof/>
                <w:webHidden/>
              </w:rPr>
              <w:tab/>
            </w:r>
            <w:r w:rsidR="00086FE7">
              <w:rPr>
                <w:noProof/>
                <w:webHidden/>
              </w:rPr>
              <w:fldChar w:fldCharType="begin"/>
            </w:r>
            <w:r w:rsidR="00086FE7">
              <w:rPr>
                <w:noProof/>
                <w:webHidden/>
              </w:rPr>
              <w:instrText xml:space="preserve"> PAGEREF _Toc64591284 \h </w:instrText>
            </w:r>
            <w:r w:rsidR="00086FE7">
              <w:rPr>
                <w:noProof/>
                <w:webHidden/>
              </w:rPr>
            </w:r>
            <w:r w:rsidR="00086FE7">
              <w:rPr>
                <w:noProof/>
                <w:webHidden/>
              </w:rPr>
              <w:fldChar w:fldCharType="separate"/>
            </w:r>
            <w:r w:rsidR="00086FE7">
              <w:rPr>
                <w:noProof/>
                <w:webHidden/>
              </w:rPr>
              <w:t>58</w:t>
            </w:r>
            <w:r w:rsidR="00086FE7">
              <w:rPr>
                <w:noProof/>
                <w:webHidden/>
              </w:rPr>
              <w:fldChar w:fldCharType="end"/>
            </w:r>
          </w:hyperlink>
        </w:p>
        <w:p w14:paraId="020F8A87" w14:textId="50C141B5" w:rsidR="00086FE7" w:rsidRDefault="00B76B5A">
          <w:pPr>
            <w:pStyle w:val="TOC1"/>
            <w:rPr>
              <w:rFonts w:eastAsiaTheme="minorEastAsia"/>
              <w:noProof/>
              <w:lang w:val="en-GB" w:eastAsia="en-GB"/>
            </w:rPr>
          </w:pPr>
          <w:hyperlink w:anchor="_Toc64591285" w:history="1">
            <w:r w:rsidR="00086FE7" w:rsidRPr="00885752">
              <w:rPr>
                <w:rStyle w:val="Hyperlink"/>
                <w:noProof/>
              </w:rPr>
              <w:t>References</w:t>
            </w:r>
            <w:r w:rsidR="00086FE7">
              <w:rPr>
                <w:noProof/>
                <w:webHidden/>
              </w:rPr>
              <w:tab/>
            </w:r>
            <w:r w:rsidR="00086FE7">
              <w:rPr>
                <w:noProof/>
                <w:webHidden/>
              </w:rPr>
              <w:fldChar w:fldCharType="begin"/>
            </w:r>
            <w:r w:rsidR="00086FE7">
              <w:rPr>
                <w:noProof/>
                <w:webHidden/>
              </w:rPr>
              <w:instrText xml:space="preserve"> PAGEREF _Toc64591285 \h </w:instrText>
            </w:r>
            <w:r w:rsidR="00086FE7">
              <w:rPr>
                <w:noProof/>
                <w:webHidden/>
              </w:rPr>
            </w:r>
            <w:r w:rsidR="00086FE7">
              <w:rPr>
                <w:noProof/>
                <w:webHidden/>
              </w:rPr>
              <w:fldChar w:fldCharType="separate"/>
            </w:r>
            <w:r w:rsidR="00086FE7">
              <w:rPr>
                <w:noProof/>
                <w:webHidden/>
              </w:rPr>
              <w:t>59</w:t>
            </w:r>
            <w:r w:rsidR="00086FE7">
              <w:rPr>
                <w:noProof/>
                <w:webHidden/>
              </w:rPr>
              <w:fldChar w:fldCharType="end"/>
            </w:r>
          </w:hyperlink>
        </w:p>
        <w:p w14:paraId="29421CE2" w14:textId="52E96214" w:rsidR="00086FE7" w:rsidRDefault="00B76B5A">
          <w:pPr>
            <w:pStyle w:val="TOC1"/>
            <w:rPr>
              <w:rFonts w:eastAsiaTheme="minorEastAsia"/>
              <w:noProof/>
              <w:lang w:val="en-GB" w:eastAsia="en-GB"/>
            </w:rPr>
          </w:pPr>
          <w:hyperlink w:anchor="_Toc64591286" w:history="1">
            <w:r w:rsidR="00086FE7" w:rsidRPr="00885752">
              <w:rPr>
                <w:rStyle w:val="Hyperlink"/>
                <w:noProof/>
              </w:rPr>
              <w:t>Appendix</w:t>
            </w:r>
            <w:r w:rsidR="00086FE7">
              <w:rPr>
                <w:noProof/>
                <w:webHidden/>
              </w:rPr>
              <w:tab/>
            </w:r>
            <w:r w:rsidR="00086FE7">
              <w:rPr>
                <w:noProof/>
                <w:webHidden/>
              </w:rPr>
              <w:fldChar w:fldCharType="begin"/>
            </w:r>
            <w:r w:rsidR="00086FE7">
              <w:rPr>
                <w:noProof/>
                <w:webHidden/>
              </w:rPr>
              <w:instrText xml:space="preserve"> PAGEREF _Toc64591286 \h </w:instrText>
            </w:r>
            <w:r w:rsidR="00086FE7">
              <w:rPr>
                <w:noProof/>
                <w:webHidden/>
              </w:rPr>
            </w:r>
            <w:r w:rsidR="00086FE7">
              <w:rPr>
                <w:noProof/>
                <w:webHidden/>
              </w:rPr>
              <w:fldChar w:fldCharType="separate"/>
            </w:r>
            <w:r w:rsidR="00086FE7">
              <w:rPr>
                <w:noProof/>
                <w:webHidden/>
              </w:rPr>
              <w:t>65</w:t>
            </w:r>
            <w:r w:rsidR="00086FE7">
              <w:rPr>
                <w:noProof/>
                <w:webHidden/>
              </w:rPr>
              <w:fldChar w:fldCharType="end"/>
            </w:r>
          </w:hyperlink>
        </w:p>
        <w:p w14:paraId="46A4A79D" w14:textId="685ADAA6" w:rsidR="00915D4D" w:rsidRPr="001C713C" w:rsidRDefault="005A30B7" w:rsidP="005B763A">
          <w:pPr>
            <w:spacing w:line="276" w:lineRule="auto"/>
            <w:rPr>
              <w:noProof/>
            </w:rPr>
          </w:pPr>
          <w:r w:rsidRPr="001C713C">
            <w:rPr>
              <w:noProof/>
            </w:rPr>
            <w:fldChar w:fldCharType="end"/>
          </w:r>
        </w:p>
      </w:sdtContent>
    </w:sdt>
    <w:p w14:paraId="061AF997" w14:textId="77777777" w:rsidR="00915D4D" w:rsidRPr="001C713C" w:rsidRDefault="00915D4D">
      <w:pPr>
        <w:rPr>
          <w:noProof/>
        </w:rPr>
      </w:pPr>
      <w:r w:rsidRPr="001C713C">
        <w:rPr>
          <w:noProof/>
        </w:rPr>
        <w:br w:type="page"/>
      </w:r>
    </w:p>
    <w:p w14:paraId="2DE3E556" w14:textId="6D84BCD2" w:rsidR="00A50689" w:rsidRPr="001C713C" w:rsidRDefault="001C713C" w:rsidP="006E2B80">
      <w:pPr>
        <w:pStyle w:val="Heading1"/>
      </w:pPr>
      <w:bookmarkStart w:id="0" w:name="_Toc64591242"/>
      <w:r w:rsidRPr="001C713C">
        <w:lastRenderedPageBreak/>
        <w:t>C</w:t>
      </w:r>
      <w:r>
        <w:t>hapter</w:t>
      </w:r>
      <w:r w:rsidRPr="001C713C">
        <w:t xml:space="preserve"> 1.</w:t>
      </w:r>
      <w:r w:rsidR="001616BA">
        <w:t xml:space="preserve"> -</w:t>
      </w:r>
      <w:r w:rsidRPr="001C713C">
        <w:t xml:space="preserve"> </w:t>
      </w:r>
      <w:r w:rsidR="00A27D71" w:rsidRPr="001C713C">
        <w:t>Introduction</w:t>
      </w:r>
      <w:bookmarkEnd w:id="0"/>
    </w:p>
    <w:p w14:paraId="3F9F9F44" w14:textId="6FA4FD08" w:rsidR="00C13713" w:rsidRPr="001C713C" w:rsidRDefault="000E2774" w:rsidP="005944F8">
      <w:pPr>
        <w:pStyle w:val="Heading2"/>
      </w:pPr>
      <w:bookmarkStart w:id="1" w:name="_Toc64591243"/>
      <w:r>
        <w:t xml:space="preserve">1.1. </w:t>
      </w:r>
      <w:r w:rsidR="00C13713" w:rsidRPr="001C713C">
        <w:t>Purpose and Scope</w:t>
      </w:r>
      <w:bookmarkEnd w:id="1"/>
    </w:p>
    <w:p w14:paraId="6168C32E" w14:textId="6106BAE5" w:rsidR="00133188" w:rsidRPr="001C713C" w:rsidRDefault="00DD1235" w:rsidP="006E2B80">
      <w:pPr>
        <w:spacing w:line="360" w:lineRule="auto"/>
        <w:ind w:firstLine="397"/>
        <w:jc w:val="both"/>
        <w:rPr>
          <w:sz w:val="24"/>
          <w:szCs w:val="24"/>
        </w:rPr>
      </w:pPr>
      <w:r>
        <w:rPr>
          <w:sz w:val="24"/>
          <w:szCs w:val="24"/>
        </w:rPr>
        <w:t xml:space="preserve">Since the mid-1960s scholars have been studying the risks associated with parental separation on children’s academic grades. </w:t>
      </w:r>
      <w:r w:rsidR="006A6A06">
        <w:rPr>
          <w:sz w:val="24"/>
          <w:szCs w:val="24"/>
        </w:rPr>
        <w:t xml:space="preserve">Having </w:t>
      </w:r>
      <w:r w:rsidR="00F97E09">
        <w:rPr>
          <w:sz w:val="24"/>
          <w:szCs w:val="24"/>
        </w:rPr>
        <w:t xml:space="preserve">been </w:t>
      </w:r>
      <w:r w:rsidR="006A6A06">
        <w:rPr>
          <w:sz w:val="24"/>
          <w:szCs w:val="24"/>
        </w:rPr>
        <w:t xml:space="preserve">exposed to </w:t>
      </w:r>
      <w:r>
        <w:rPr>
          <w:sz w:val="24"/>
          <w:szCs w:val="24"/>
        </w:rPr>
        <w:t xml:space="preserve">the in-household conflict </w:t>
      </w:r>
      <w:r w:rsidR="008F1E51">
        <w:rPr>
          <w:sz w:val="24"/>
          <w:szCs w:val="24"/>
        </w:rPr>
        <w:t>leading to the</w:t>
      </w:r>
      <w:r>
        <w:rPr>
          <w:sz w:val="24"/>
          <w:szCs w:val="24"/>
        </w:rPr>
        <w:t xml:space="preserve"> </w:t>
      </w:r>
      <w:r w:rsidR="004E1279">
        <w:rPr>
          <w:sz w:val="24"/>
          <w:szCs w:val="24"/>
        </w:rPr>
        <w:t>absence</w:t>
      </w:r>
      <w:r>
        <w:rPr>
          <w:sz w:val="24"/>
          <w:szCs w:val="24"/>
        </w:rPr>
        <w:t xml:space="preserve"> of </w:t>
      </w:r>
      <w:r w:rsidR="004E1279">
        <w:rPr>
          <w:sz w:val="24"/>
          <w:szCs w:val="24"/>
        </w:rPr>
        <w:t xml:space="preserve">a </w:t>
      </w:r>
      <w:r>
        <w:rPr>
          <w:sz w:val="24"/>
          <w:szCs w:val="24"/>
        </w:rPr>
        <w:t>parent</w:t>
      </w:r>
      <w:r w:rsidR="006A6A06">
        <w:rPr>
          <w:sz w:val="24"/>
          <w:szCs w:val="24"/>
        </w:rPr>
        <w:t xml:space="preserve">, children tend to perform less well at school. </w:t>
      </w:r>
      <w:r w:rsidR="00245362">
        <w:rPr>
          <w:sz w:val="24"/>
          <w:szCs w:val="24"/>
        </w:rPr>
        <w:t>The purpose of this thesis</w:t>
      </w:r>
      <w:r w:rsidR="001C08BF" w:rsidRPr="001C713C">
        <w:rPr>
          <w:sz w:val="24"/>
          <w:szCs w:val="24"/>
        </w:rPr>
        <w:t xml:space="preserve"> is to</w:t>
      </w:r>
      <w:r w:rsidR="000D1676" w:rsidRPr="001C713C">
        <w:rPr>
          <w:sz w:val="24"/>
          <w:szCs w:val="24"/>
        </w:rPr>
        <w:t xml:space="preserve"> empirically</w:t>
      </w:r>
      <w:r w:rsidR="001C08BF" w:rsidRPr="001C713C">
        <w:rPr>
          <w:sz w:val="24"/>
          <w:szCs w:val="24"/>
        </w:rPr>
        <w:t xml:space="preserve"> support the distinguished results of existing literature and </w:t>
      </w:r>
      <w:r w:rsidR="00CD55EE">
        <w:rPr>
          <w:sz w:val="24"/>
          <w:szCs w:val="24"/>
        </w:rPr>
        <w:t xml:space="preserve">to </w:t>
      </w:r>
      <w:r w:rsidR="001C08BF" w:rsidRPr="001C713C">
        <w:rPr>
          <w:sz w:val="24"/>
          <w:szCs w:val="24"/>
        </w:rPr>
        <w:t>provide a bird’s-eye view of the adverse effects of parental separation on educational outcomes in Hungary.</w:t>
      </w:r>
      <w:r w:rsidR="0086134E">
        <w:rPr>
          <w:sz w:val="24"/>
          <w:szCs w:val="24"/>
        </w:rPr>
        <w:t xml:space="preserve"> </w:t>
      </w:r>
      <w:r w:rsidR="00616EB2">
        <w:rPr>
          <w:sz w:val="24"/>
          <w:szCs w:val="24"/>
        </w:rPr>
        <w:t xml:space="preserve">The </w:t>
      </w:r>
      <w:r w:rsidR="00C83B4F">
        <w:rPr>
          <w:sz w:val="24"/>
          <w:szCs w:val="24"/>
        </w:rPr>
        <w:t xml:space="preserve">Difference-in-differences (DID) is the most common approach </w:t>
      </w:r>
      <w:r w:rsidR="00D14D43">
        <w:rPr>
          <w:sz w:val="24"/>
          <w:szCs w:val="24"/>
        </w:rPr>
        <w:t xml:space="preserve">used </w:t>
      </w:r>
      <w:r w:rsidR="00C83B4F">
        <w:rPr>
          <w:sz w:val="24"/>
          <w:szCs w:val="24"/>
        </w:rPr>
        <w:t xml:space="preserve">to evaluate </w:t>
      </w:r>
      <w:r w:rsidR="00CD55EE">
        <w:rPr>
          <w:sz w:val="24"/>
          <w:szCs w:val="24"/>
        </w:rPr>
        <w:t>intervention results</w:t>
      </w:r>
      <w:r w:rsidR="002C0B1F">
        <w:rPr>
          <w:sz w:val="24"/>
          <w:szCs w:val="24"/>
        </w:rPr>
        <w:t>, but i</w:t>
      </w:r>
      <w:r w:rsidR="00C83B4F">
        <w:rPr>
          <w:sz w:val="24"/>
          <w:szCs w:val="24"/>
        </w:rPr>
        <w:t xml:space="preserve">nstead of the canonical </w:t>
      </w:r>
      <w:r w:rsidR="00AE2104">
        <w:rPr>
          <w:sz w:val="24"/>
          <w:szCs w:val="24"/>
        </w:rPr>
        <w:t>two-by-two</w:t>
      </w:r>
      <w:r w:rsidR="00C83B4F">
        <w:rPr>
          <w:sz w:val="24"/>
          <w:szCs w:val="24"/>
        </w:rPr>
        <w:t xml:space="preserve"> format</w:t>
      </w:r>
      <w:r w:rsidR="0028669B">
        <w:rPr>
          <w:sz w:val="24"/>
          <w:szCs w:val="24"/>
        </w:rPr>
        <w:t xml:space="preserve"> (two-way fixed effect)</w:t>
      </w:r>
      <w:r w:rsidR="00C83B4F">
        <w:rPr>
          <w:sz w:val="24"/>
          <w:szCs w:val="24"/>
        </w:rPr>
        <w:t xml:space="preserve">, we will </w:t>
      </w:r>
      <w:r w:rsidR="007F67BA">
        <w:rPr>
          <w:sz w:val="24"/>
          <w:szCs w:val="24"/>
        </w:rPr>
        <w:t xml:space="preserve">first </w:t>
      </w:r>
      <w:r w:rsidR="00C83B4F">
        <w:rPr>
          <w:sz w:val="24"/>
          <w:szCs w:val="24"/>
        </w:rPr>
        <w:t>estimate</w:t>
      </w:r>
      <w:r w:rsidR="007F67BA">
        <w:rPr>
          <w:sz w:val="24"/>
          <w:szCs w:val="24"/>
        </w:rPr>
        <w:t xml:space="preserve"> a static value-added model (VAM) before turning to</w:t>
      </w:r>
      <w:r w:rsidR="00C83B4F">
        <w:rPr>
          <w:sz w:val="24"/>
          <w:szCs w:val="24"/>
        </w:rPr>
        <w:t xml:space="preserve"> a more complex version </w:t>
      </w:r>
      <w:r w:rsidR="007F67BA">
        <w:rPr>
          <w:sz w:val="24"/>
          <w:szCs w:val="24"/>
        </w:rPr>
        <w:t xml:space="preserve">of DID </w:t>
      </w:r>
      <w:r w:rsidR="00C83B4F">
        <w:rPr>
          <w:sz w:val="24"/>
          <w:szCs w:val="24"/>
        </w:rPr>
        <w:t>with multiple groups and time periods</w:t>
      </w:r>
      <w:r w:rsidR="00557447">
        <w:rPr>
          <w:sz w:val="24"/>
          <w:szCs w:val="24"/>
        </w:rPr>
        <w:t xml:space="preserve"> (staggered adoption)</w:t>
      </w:r>
      <w:r w:rsidR="00C83B4F">
        <w:rPr>
          <w:sz w:val="24"/>
          <w:szCs w:val="24"/>
        </w:rPr>
        <w:t>.</w:t>
      </w:r>
      <w:r w:rsidR="00986FB1">
        <w:rPr>
          <w:sz w:val="24"/>
          <w:szCs w:val="24"/>
        </w:rPr>
        <w:t xml:space="preserve"> The </w:t>
      </w:r>
      <w:r w:rsidR="00B11A57">
        <w:rPr>
          <w:sz w:val="24"/>
          <w:szCs w:val="24"/>
        </w:rPr>
        <w:t>former</w:t>
      </w:r>
      <w:r w:rsidR="00986FB1">
        <w:rPr>
          <w:sz w:val="24"/>
          <w:szCs w:val="24"/>
        </w:rPr>
        <w:t xml:space="preserve"> </w:t>
      </w:r>
      <w:r w:rsidR="00C62096">
        <w:rPr>
          <w:sz w:val="24"/>
          <w:szCs w:val="24"/>
        </w:rPr>
        <w:t xml:space="preserve">approximation </w:t>
      </w:r>
      <w:r w:rsidR="00986FB1">
        <w:rPr>
          <w:sz w:val="24"/>
          <w:szCs w:val="24"/>
        </w:rPr>
        <w:t xml:space="preserve">will regress the 2009 </w:t>
      </w:r>
      <w:r w:rsidR="006605DB">
        <w:rPr>
          <w:sz w:val="24"/>
          <w:szCs w:val="24"/>
        </w:rPr>
        <w:t>grade point averages (</w:t>
      </w:r>
      <w:r w:rsidR="00D76818">
        <w:rPr>
          <w:sz w:val="24"/>
          <w:szCs w:val="24"/>
        </w:rPr>
        <w:t>GPA</w:t>
      </w:r>
      <w:r w:rsidR="006605DB">
        <w:rPr>
          <w:sz w:val="24"/>
          <w:szCs w:val="24"/>
        </w:rPr>
        <w:t xml:space="preserve"> on a Hungarian scale of 1 to 5)</w:t>
      </w:r>
      <w:r w:rsidR="00986FB1">
        <w:rPr>
          <w:sz w:val="24"/>
          <w:szCs w:val="24"/>
        </w:rPr>
        <w:t xml:space="preserve"> on </w:t>
      </w:r>
      <w:r w:rsidR="006605DB">
        <w:rPr>
          <w:sz w:val="24"/>
          <w:szCs w:val="24"/>
        </w:rPr>
        <w:t>that of 2006</w:t>
      </w:r>
      <w:r w:rsidR="00986FB1">
        <w:rPr>
          <w:sz w:val="24"/>
          <w:szCs w:val="24"/>
        </w:rPr>
        <w:t xml:space="preserve">, </w:t>
      </w:r>
      <w:r w:rsidR="00F134FB">
        <w:rPr>
          <w:sz w:val="24"/>
          <w:szCs w:val="24"/>
        </w:rPr>
        <w:t>intermediary</w:t>
      </w:r>
      <w:r w:rsidR="00F97E09">
        <w:rPr>
          <w:sz w:val="24"/>
          <w:szCs w:val="24"/>
        </w:rPr>
        <w:t>,</w:t>
      </w:r>
      <w:r w:rsidR="00986FB1">
        <w:rPr>
          <w:sz w:val="24"/>
          <w:szCs w:val="24"/>
        </w:rPr>
        <w:t xml:space="preserve"> and </w:t>
      </w:r>
      <w:r w:rsidR="00376503">
        <w:rPr>
          <w:sz w:val="24"/>
          <w:szCs w:val="24"/>
        </w:rPr>
        <w:t xml:space="preserve">sets of </w:t>
      </w:r>
      <w:r w:rsidR="00F134FB">
        <w:rPr>
          <w:sz w:val="24"/>
          <w:szCs w:val="24"/>
        </w:rPr>
        <w:t xml:space="preserve">control </w:t>
      </w:r>
      <w:r w:rsidR="00986FB1">
        <w:rPr>
          <w:sz w:val="24"/>
          <w:szCs w:val="24"/>
        </w:rPr>
        <w:t>variable</w:t>
      </w:r>
      <w:r w:rsidR="00F134FB">
        <w:rPr>
          <w:sz w:val="24"/>
          <w:szCs w:val="24"/>
        </w:rPr>
        <w:t>s</w:t>
      </w:r>
      <w:r w:rsidR="00986FB1">
        <w:rPr>
          <w:sz w:val="24"/>
          <w:szCs w:val="24"/>
        </w:rPr>
        <w:t xml:space="preserve"> which </w:t>
      </w:r>
      <w:r w:rsidR="00F134FB">
        <w:rPr>
          <w:sz w:val="24"/>
          <w:szCs w:val="24"/>
        </w:rPr>
        <w:t xml:space="preserve">may contribute to the effect </w:t>
      </w:r>
      <w:r w:rsidR="00986FB1">
        <w:rPr>
          <w:sz w:val="24"/>
          <w:szCs w:val="24"/>
        </w:rPr>
        <w:t>of disruption.</w:t>
      </w:r>
      <w:r w:rsidR="00C83B4F">
        <w:rPr>
          <w:sz w:val="24"/>
          <w:szCs w:val="24"/>
        </w:rPr>
        <w:t xml:space="preserve"> </w:t>
      </w:r>
      <w:r w:rsidR="0086134E">
        <w:rPr>
          <w:sz w:val="24"/>
          <w:szCs w:val="24"/>
        </w:rPr>
        <w:t xml:space="preserve">The </w:t>
      </w:r>
      <w:r w:rsidR="00986FB1">
        <w:rPr>
          <w:sz w:val="24"/>
          <w:szCs w:val="24"/>
        </w:rPr>
        <w:t xml:space="preserve">latter </w:t>
      </w:r>
      <w:r w:rsidR="007D17CA">
        <w:rPr>
          <w:sz w:val="24"/>
          <w:szCs w:val="24"/>
        </w:rPr>
        <w:t>will require the</w:t>
      </w:r>
      <w:r w:rsidR="0086134E">
        <w:rPr>
          <w:sz w:val="24"/>
          <w:szCs w:val="24"/>
        </w:rPr>
        <w:t xml:space="preserve"> compar</w:t>
      </w:r>
      <w:r w:rsidR="007D17CA">
        <w:rPr>
          <w:sz w:val="24"/>
          <w:szCs w:val="24"/>
        </w:rPr>
        <w:t>ison of</w:t>
      </w:r>
      <w:r w:rsidR="0086134E">
        <w:rPr>
          <w:sz w:val="24"/>
          <w:szCs w:val="24"/>
        </w:rPr>
        <w:t xml:space="preserve"> </w:t>
      </w:r>
      <w:r w:rsidR="00E334D6">
        <w:rPr>
          <w:sz w:val="24"/>
          <w:szCs w:val="24"/>
        </w:rPr>
        <w:t xml:space="preserve">average </w:t>
      </w:r>
      <w:r w:rsidR="00F8197E">
        <w:rPr>
          <w:sz w:val="24"/>
          <w:szCs w:val="24"/>
        </w:rPr>
        <w:t xml:space="preserve">robust </w:t>
      </w:r>
      <w:r w:rsidR="0086134E">
        <w:rPr>
          <w:sz w:val="24"/>
          <w:szCs w:val="24"/>
        </w:rPr>
        <w:t>differences between groups and non-intact and intact families after the separation</w:t>
      </w:r>
      <w:r w:rsidR="006A6A06">
        <w:rPr>
          <w:sz w:val="24"/>
          <w:szCs w:val="24"/>
        </w:rPr>
        <w:t xml:space="preserve"> (difference in differences)</w:t>
      </w:r>
      <w:r w:rsidR="0086134E">
        <w:rPr>
          <w:sz w:val="24"/>
          <w:szCs w:val="24"/>
        </w:rPr>
        <w:t xml:space="preserve"> </w:t>
      </w:r>
      <w:r w:rsidR="006A6A06">
        <w:rPr>
          <w:sz w:val="24"/>
          <w:szCs w:val="24"/>
        </w:rPr>
        <w:t>accounting for</w:t>
      </w:r>
      <w:r w:rsidR="0086134E">
        <w:rPr>
          <w:sz w:val="24"/>
          <w:szCs w:val="24"/>
        </w:rPr>
        <w:t xml:space="preserve"> intermediary channels </w:t>
      </w:r>
      <w:r w:rsidR="00F97E09">
        <w:rPr>
          <w:sz w:val="24"/>
          <w:szCs w:val="24"/>
        </w:rPr>
        <w:t>that</w:t>
      </w:r>
      <w:r w:rsidR="0086134E">
        <w:rPr>
          <w:sz w:val="24"/>
          <w:szCs w:val="24"/>
        </w:rPr>
        <w:t xml:space="preserve"> </w:t>
      </w:r>
      <w:r w:rsidR="006C3D47">
        <w:rPr>
          <w:sz w:val="24"/>
          <w:szCs w:val="24"/>
        </w:rPr>
        <w:t xml:space="preserve">potentially </w:t>
      </w:r>
      <w:r w:rsidR="0086134E">
        <w:rPr>
          <w:sz w:val="24"/>
          <w:szCs w:val="24"/>
        </w:rPr>
        <w:t>explain the gap</w:t>
      </w:r>
      <w:r w:rsidR="001F2B93">
        <w:rPr>
          <w:sz w:val="24"/>
          <w:szCs w:val="24"/>
        </w:rPr>
        <w:t xml:space="preserve"> in scores</w:t>
      </w:r>
      <w:r w:rsidR="0086134E">
        <w:rPr>
          <w:sz w:val="24"/>
          <w:szCs w:val="24"/>
        </w:rPr>
        <w:t>.</w:t>
      </w:r>
      <w:r w:rsidR="00E46DEF" w:rsidRPr="001C713C">
        <w:rPr>
          <w:sz w:val="24"/>
          <w:szCs w:val="24"/>
        </w:rPr>
        <w:t xml:space="preserve"> For th</w:t>
      </w:r>
      <w:r w:rsidR="00557447">
        <w:rPr>
          <w:sz w:val="24"/>
          <w:szCs w:val="24"/>
        </w:rPr>
        <w:t>e empirical</w:t>
      </w:r>
      <w:r w:rsidR="00E46DEF" w:rsidRPr="001C713C">
        <w:rPr>
          <w:sz w:val="24"/>
          <w:szCs w:val="24"/>
        </w:rPr>
        <w:t xml:space="preserve"> purpose, I will invoke</w:t>
      </w:r>
      <w:r w:rsidR="00EC66D7">
        <w:rPr>
          <w:sz w:val="24"/>
          <w:szCs w:val="24"/>
        </w:rPr>
        <w:t xml:space="preserve"> </w:t>
      </w:r>
      <w:r w:rsidR="00B458D2">
        <w:rPr>
          <w:sz w:val="24"/>
          <w:szCs w:val="24"/>
        </w:rPr>
        <w:t>repeated cross</w:t>
      </w:r>
      <w:r w:rsidR="00E334D6">
        <w:rPr>
          <w:sz w:val="24"/>
          <w:szCs w:val="24"/>
        </w:rPr>
        <w:t>-</w:t>
      </w:r>
      <w:r w:rsidR="00B458D2">
        <w:rPr>
          <w:sz w:val="24"/>
          <w:szCs w:val="24"/>
        </w:rPr>
        <w:t>section</w:t>
      </w:r>
      <w:r w:rsidR="00E334D6">
        <w:rPr>
          <w:sz w:val="24"/>
          <w:szCs w:val="24"/>
        </w:rPr>
        <w:t>al data</w:t>
      </w:r>
      <w:r w:rsidR="00EC66D7">
        <w:rPr>
          <w:sz w:val="24"/>
          <w:szCs w:val="24"/>
        </w:rPr>
        <w:t xml:space="preserve"> (</w:t>
      </w:r>
      <w:r w:rsidR="009236F6">
        <w:rPr>
          <w:sz w:val="24"/>
          <w:szCs w:val="24"/>
        </w:rPr>
        <w:t xml:space="preserve">approx. </w:t>
      </w:r>
      <w:r w:rsidR="00F10AEE">
        <w:rPr>
          <w:sz w:val="24"/>
          <w:szCs w:val="24"/>
        </w:rPr>
        <w:t xml:space="preserve">10 to </w:t>
      </w:r>
      <w:r w:rsidR="002216BB">
        <w:rPr>
          <w:sz w:val="24"/>
          <w:szCs w:val="24"/>
        </w:rPr>
        <w:t xml:space="preserve">8 thousand </w:t>
      </w:r>
      <w:r w:rsidR="00F10AEE">
        <w:rPr>
          <w:sz w:val="24"/>
          <w:szCs w:val="24"/>
        </w:rPr>
        <w:t>respondent</w:t>
      </w:r>
      <w:r w:rsidR="00740440">
        <w:rPr>
          <w:sz w:val="24"/>
          <w:szCs w:val="24"/>
        </w:rPr>
        <w:t>s</w:t>
      </w:r>
      <w:r w:rsidR="00EC66D7">
        <w:rPr>
          <w:sz w:val="24"/>
          <w:szCs w:val="24"/>
        </w:rPr>
        <w:t xml:space="preserve"> in eac</w:t>
      </w:r>
      <w:r w:rsidR="00B458D2">
        <w:rPr>
          <w:sz w:val="24"/>
          <w:szCs w:val="24"/>
        </w:rPr>
        <w:t>h</w:t>
      </w:r>
      <w:r w:rsidR="006648C1">
        <w:rPr>
          <w:sz w:val="24"/>
          <w:szCs w:val="24"/>
        </w:rPr>
        <w:t xml:space="preserve"> </w:t>
      </w:r>
      <w:r w:rsidR="009236F6">
        <w:rPr>
          <w:sz w:val="24"/>
          <w:szCs w:val="24"/>
        </w:rPr>
        <w:t>year from 2006 to 2009</w:t>
      </w:r>
      <w:r w:rsidR="00EC66D7">
        <w:rPr>
          <w:sz w:val="24"/>
          <w:szCs w:val="24"/>
        </w:rPr>
        <w:t>)</w:t>
      </w:r>
      <w:r w:rsidR="00E46DEF" w:rsidRPr="001C713C">
        <w:rPr>
          <w:sz w:val="24"/>
          <w:szCs w:val="24"/>
        </w:rPr>
        <w:t xml:space="preserve"> </w:t>
      </w:r>
      <w:r w:rsidR="00EC66D7">
        <w:rPr>
          <w:sz w:val="24"/>
          <w:szCs w:val="24"/>
        </w:rPr>
        <w:t xml:space="preserve">extracted from the </w:t>
      </w:r>
      <w:r w:rsidR="00CA2CA0">
        <w:rPr>
          <w:sz w:val="24"/>
          <w:szCs w:val="24"/>
        </w:rPr>
        <w:t>Hungarian Life Course Survey</w:t>
      </w:r>
      <w:r w:rsidR="00EC66D7">
        <w:rPr>
          <w:sz w:val="24"/>
          <w:szCs w:val="24"/>
        </w:rPr>
        <w:t xml:space="preserve"> </w:t>
      </w:r>
      <w:r w:rsidR="00CA2CA0">
        <w:rPr>
          <w:sz w:val="24"/>
          <w:szCs w:val="24"/>
        </w:rPr>
        <w:t>(HLCS)</w:t>
      </w:r>
      <w:r w:rsidR="00DC0A60">
        <w:rPr>
          <w:sz w:val="24"/>
          <w:szCs w:val="24"/>
        </w:rPr>
        <w:t xml:space="preserve"> </w:t>
      </w:r>
      <w:r w:rsidR="00B30157">
        <w:rPr>
          <w:sz w:val="24"/>
          <w:szCs w:val="24"/>
        </w:rPr>
        <w:t xml:space="preserve">of TÁRKI </w:t>
      </w:r>
      <w:r w:rsidR="00DC0A60">
        <w:rPr>
          <w:sz w:val="24"/>
          <w:szCs w:val="24"/>
        </w:rPr>
        <w:t>which</w:t>
      </w:r>
      <w:r w:rsidR="00EC66D7">
        <w:rPr>
          <w:sz w:val="24"/>
          <w:szCs w:val="24"/>
        </w:rPr>
        <w:t xml:space="preserve"> </w:t>
      </w:r>
      <w:r w:rsidR="00E46DEF" w:rsidRPr="001C713C">
        <w:rPr>
          <w:sz w:val="24"/>
          <w:szCs w:val="24"/>
        </w:rPr>
        <w:t>follow</w:t>
      </w:r>
      <w:r w:rsidR="00DC0A60">
        <w:rPr>
          <w:sz w:val="24"/>
          <w:szCs w:val="24"/>
        </w:rPr>
        <w:t>ed</w:t>
      </w:r>
      <w:r w:rsidR="00E46DEF" w:rsidRPr="001C713C">
        <w:rPr>
          <w:sz w:val="24"/>
          <w:szCs w:val="24"/>
        </w:rPr>
        <w:t xml:space="preserve"> a cohort of adolescents between 2006 and 2012</w:t>
      </w:r>
      <w:r w:rsidR="00521162">
        <w:rPr>
          <w:sz w:val="24"/>
          <w:szCs w:val="24"/>
        </w:rPr>
        <w:t>.</w:t>
      </w:r>
      <w:r w:rsidR="00DF4044">
        <w:rPr>
          <w:sz w:val="24"/>
          <w:szCs w:val="24"/>
        </w:rPr>
        <w:t xml:space="preserve"> Such </w:t>
      </w:r>
      <w:r w:rsidR="00740440">
        <w:rPr>
          <w:sz w:val="24"/>
          <w:szCs w:val="24"/>
        </w:rPr>
        <w:t xml:space="preserve">a </w:t>
      </w:r>
      <w:r w:rsidR="00DF4044">
        <w:rPr>
          <w:sz w:val="24"/>
          <w:szCs w:val="24"/>
        </w:rPr>
        <w:t>four</w:t>
      </w:r>
      <w:r w:rsidR="000821B8">
        <w:rPr>
          <w:sz w:val="24"/>
          <w:szCs w:val="24"/>
        </w:rPr>
        <w:t>-</w:t>
      </w:r>
      <w:r w:rsidR="00DF4044">
        <w:rPr>
          <w:sz w:val="24"/>
          <w:szCs w:val="24"/>
        </w:rPr>
        <w:t xml:space="preserve">year </w:t>
      </w:r>
      <w:proofErr w:type="gramStart"/>
      <w:r w:rsidR="00DF4044">
        <w:rPr>
          <w:sz w:val="24"/>
          <w:szCs w:val="24"/>
        </w:rPr>
        <w:t>time period</w:t>
      </w:r>
      <w:proofErr w:type="gramEnd"/>
      <w:r w:rsidR="00DF4044">
        <w:rPr>
          <w:sz w:val="24"/>
          <w:szCs w:val="24"/>
        </w:rPr>
        <w:t xml:space="preserve"> should be able to cover the academic performances ranging from 8</w:t>
      </w:r>
      <w:r w:rsidR="00DF4044" w:rsidRPr="00DF4044">
        <w:rPr>
          <w:sz w:val="24"/>
          <w:szCs w:val="24"/>
          <w:vertAlign w:val="superscript"/>
        </w:rPr>
        <w:t>th</w:t>
      </w:r>
      <w:r w:rsidR="00DF4044">
        <w:rPr>
          <w:sz w:val="24"/>
          <w:szCs w:val="24"/>
        </w:rPr>
        <w:t xml:space="preserve"> and 12</w:t>
      </w:r>
      <w:r w:rsidR="00DF4044" w:rsidRPr="00DF4044">
        <w:rPr>
          <w:sz w:val="24"/>
          <w:szCs w:val="24"/>
          <w:vertAlign w:val="superscript"/>
        </w:rPr>
        <w:t>th</w:t>
      </w:r>
      <w:r w:rsidR="00DF4044">
        <w:rPr>
          <w:sz w:val="24"/>
          <w:szCs w:val="24"/>
        </w:rPr>
        <w:t xml:space="preserve"> grade of secondary school.</w:t>
      </w:r>
    </w:p>
    <w:p w14:paraId="71E0295C" w14:textId="24445FEB" w:rsidR="00C13713" w:rsidRPr="001C713C" w:rsidRDefault="00E6301C" w:rsidP="006E2B80">
      <w:pPr>
        <w:spacing w:line="360" w:lineRule="auto"/>
        <w:ind w:firstLine="397"/>
        <w:jc w:val="both"/>
        <w:rPr>
          <w:sz w:val="24"/>
          <w:szCs w:val="24"/>
        </w:rPr>
      </w:pPr>
      <w:r w:rsidRPr="001C713C">
        <w:rPr>
          <w:sz w:val="24"/>
          <w:szCs w:val="24"/>
        </w:rPr>
        <w:t xml:space="preserve">There are several arguments, why my </w:t>
      </w:r>
      <w:r w:rsidR="006E5ACA" w:rsidRPr="001C713C">
        <w:rPr>
          <w:sz w:val="24"/>
          <w:szCs w:val="24"/>
        </w:rPr>
        <w:t>essay</w:t>
      </w:r>
      <w:r w:rsidRPr="001C713C">
        <w:rPr>
          <w:sz w:val="24"/>
          <w:szCs w:val="24"/>
        </w:rPr>
        <w:t xml:space="preserve"> should</w:t>
      </w:r>
      <w:r w:rsidR="001B3BE0">
        <w:rPr>
          <w:sz w:val="24"/>
          <w:szCs w:val="24"/>
        </w:rPr>
        <w:t xml:space="preserve"> contribute</w:t>
      </w:r>
      <w:r w:rsidRPr="001C713C">
        <w:rPr>
          <w:sz w:val="24"/>
          <w:szCs w:val="24"/>
        </w:rPr>
        <w:t xml:space="preserve"> to the </w:t>
      </w:r>
      <w:r w:rsidR="004C6A98">
        <w:rPr>
          <w:sz w:val="24"/>
          <w:szCs w:val="24"/>
        </w:rPr>
        <w:t xml:space="preserve">existing </w:t>
      </w:r>
      <w:r w:rsidRPr="001C713C">
        <w:rPr>
          <w:sz w:val="24"/>
          <w:szCs w:val="24"/>
        </w:rPr>
        <w:t>pool of knowledge in such</w:t>
      </w:r>
      <w:r w:rsidR="00754D49" w:rsidRPr="001C713C">
        <w:rPr>
          <w:sz w:val="24"/>
          <w:szCs w:val="24"/>
        </w:rPr>
        <w:t xml:space="preserve"> a </w:t>
      </w:r>
      <w:r w:rsidRPr="001C713C">
        <w:rPr>
          <w:sz w:val="24"/>
          <w:szCs w:val="24"/>
        </w:rPr>
        <w:t xml:space="preserve">matter. The dataset at-hand offers the luxury to browse </w:t>
      </w:r>
      <w:r w:rsidR="008B2968" w:rsidRPr="001C713C">
        <w:rPr>
          <w:sz w:val="24"/>
          <w:szCs w:val="24"/>
        </w:rPr>
        <w:t>m</w:t>
      </w:r>
      <w:r w:rsidR="00754D49" w:rsidRPr="001C713C">
        <w:rPr>
          <w:sz w:val="24"/>
          <w:szCs w:val="24"/>
        </w:rPr>
        <w:t>any</w:t>
      </w:r>
      <w:r w:rsidR="008B2968" w:rsidRPr="001C713C">
        <w:rPr>
          <w:sz w:val="24"/>
          <w:szCs w:val="24"/>
        </w:rPr>
        <w:t xml:space="preserve"> more</w:t>
      </w:r>
      <w:r w:rsidRPr="001C713C">
        <w:rPr>
          <w:sz w:val="24"/>
          <w:szCs w:val="24"/>
        </w:rPr>
        <w:t xml:space="preserve"> characteristics of the respondents compared to the so-called </w:t>
      </w:r>
      <w:r w:rsidR="00671857">
        <w:rPr>
          <w:sz w:val="24"/>
          <w:szCs w:val="24"/>
        </w:rPr>
        <w:t>“</w:t>
      </w:r>
      <w:r w:rsidRPr="001C713C">
        <w:rPr>
          <w:sz w:val="24"/>
          <w:szCs w:val="24"/>
        </w:rPr>
        <w:t>competen</w:t>
      </w:r>
      <w:r w:rsidR="008B2968" w:rsidRPr="001C713C">
        <w:rPr>
          <w:sz w:val="24"/>
          <w:szCs w:val="24"/>
        </w:rPr>
        <w:t>ce assessment</w:t>
      </w:r>
      <w:r w:rsidR="00671857">
        <w:rPr>
          <w:sz w:val="24"/>
          <w:szCs w:val="24"/>
        </w:rPr>
        <w:t>”</w:t>
      </w:r>
      <w:r w:rsidR="00D45DF5" w:rsidRPr="001C713C">
        <w:rPr>
          <w:sz w:val="24"/>
          <w:szCs w:val="24"/>
        </w:rPr>
        <w:t xml:space="preserve"> in Hungary</w:t>
      </w:r>
      <w:r w:rsidR="00493545">
        <w:rPr>
          <w:sz w:val="24"/>
          <w:szCs w:val="24"/>
        </w:rPr>
        <w:t>, therefore the issue of heterogeneity is treated</w:t>
      </w:r>
      <w:r w:rsidR="001A6F2C">
        <w:rPr>
          <w:sz w:val="24"/>
          <w:szCs w:val="24"/>
        </w:rPr>
        <w:t xml:space="preserve"> in </w:t>
      </w:r>
      <w:proofErr w:type="gramStart"/>
      <w:r w:rsidR="00740440">
        <w:rPr>
          <w:sz w:val="24"/>
          <w:szCs w:val="24"/>
        </w:rPr>
        <w:t xml:space="preserve">the </w:t>
      </w:r>
      <w:r w:rsidR="001A6F2C">
        <w:rPr>
          <w:sz w:val="24"/>
          <w:szCs w:val="24"/>
        </w:rPr>
        <w:t>majority of</w:t>
      </w:r>
      <w:proofErr w:type="gramEnd"/>
      <w:r w:rsidR="001A6F2C">
        <w:rPr>
          <w:sz w:val="24"/>
          <w:szCs w:val="24"/>
        </w:rPr>
        <w:t xml:space="preserve"> the cases</w:t>
      </w:r>
      <w:r w:rsidR="008B2968" w:rsidRPr="001C713C">
        <w:rPr>
          <w:sz w:val="24"/>
          <w:szCs w:val="24"/>
        </w:rPr>
        <w:t>.</w:t>
      </w:r>
      <w:r w:rsidR="00687681" w:rsidRPr="001C713C">
        <w:rPr>
          <w:sz w:val="24"/>
          <w:szCs w:val="24"/>
        </w:rPr>
        <w:t xml:space="preserve"> </w:t>
      </w:r>
      <w:r w:rsidR="005A17BD">
        <w:rPr>
          <w:sz w:val="24"/>
          <w:szCs w:val="24"/>
        </w:rPr>
        <w:t>Also</w:t>
      </w:r>
      <w:r w:rsidR="00740440">
        <w:rPr>
          <w:sz w:val="24"/>
          <w:szCs w:val="24"/>
        </w:rPr>
        <w:t>,</w:t>
      </w:r>
      <w:r w:rsidR="005A17BD">
        <w:rPr>
          <w:sz w:val="24"/>
          <w:szCs w:val="24"/>
        </w:rPr>
        <w:t xml:space="preserve"> </w:t>
      </w:r>
      <w:r w:rsidR="00687681" w:rsidRPr="001C713C">
        <w:rPr>
          <w:sz w:val="24"/>
          <w:szCs w:val="24"/>
        </w:rPr>
        <w:t xml:space="preserve">we can explain more variances in the measures of performance and control for </w:t>
      </w:r>
      <w:r w:rsidR="008D053D">
        <w:rPr>
          <w:sz w:val="24"/>
          <w:szCs w:val="24"/>
        </w:rPr>
        <w:t>tons of</w:t>
      </w:r>
      <w:r w:rsidR="00687681" w:rsidRPr="001C713C">
        <w:rPr>
          <w:sz w:val="24"/>
          <w:szCs w:val="24"/>
        </w:rPr>
        <w:t xml:space="preserve"> differences</w:t>
      </w:r>
      <w:r w:rsidR="005712E2">
        <w:rPr>
          <w:sz w:val="24"/>
          <w:szCs w:val="24"/>
        </w:rPr>
        <w:t xml:space="preserve"> to arrive at the pure impact</w:t>
      </w:r>
      <w:r w:rsidR="00687681" w:rsidRPr="001C713C">
        <w:rPr>
          <w:sz w:val="24"/>
          <w:szCs w:val="24"/>
        </w:rPr>
        <w:t xml:space="preserve">. </w:t>
      </w:r>
      <w:r w:rsidR="008B2968" w:rsidRPr="001C713C">
        <w:rPr>
          <w:sz w:val="24"/>
          <w:szCs w:val="24"/>
        </w:rPr>
        <w:t xml:space="preserve">Besides, </w:t>
      </w:r>
      <w:r w:rsidR="001404D0" w:rsidRPr="001C713C">
        <w:rPr>
          <w:sz w:val="24"/>
          <w:szCs w:val="24"/>
        </w:rPr>
        <w:t>the competence</w:t>
      </w:r>
      <w:r w:rsidR="008B2968" w:rsidRPr="001C713C">
        <w:rPr>
          <w:sz w:val="24"/>
          <w:szCs w:val="24"/>
        </w:rPr>
        <w:t xml:space="preserve"> assessment is only conducted every t</w:t>
      </w:r>
      <w:r w:rsidR="00754D49" w:rsidRPr="001C713C">
        <w:rPr>
          <w:sz w:val="24"/>
          <w:szCs w:val="24"/>
        </w:rPr>
        <w:t>w</w:t>
      </w:r>
      <w:r w:rsidR="008B2968" w:rsidRPr="001C713C">
        <w:rPr>
          <w:sz w:val="24"/>
          <w:szCs w:val="24"/>
        </w:rPr>
        <w:t>o years from 6</w:t>
      </w:r>
      <w:r w:rsidR="008B2968" w:rsidRPr="001C713C">
        <w:rPr>
          <w:sz w:val="24"/>
          <w:szCs w:val="24"/>
          <w:vertAlign w:val="superscript"/>
        </w:rPr>
        <w:t>th</w:t>
      </w:r>
      <w:r w:rsidR="008B2968" w:rsidRPr="001C713C">
        <w:rPr>
          <w:sz w:val="24"/>
          <w:szCs w:val="24"/>
        </w:rPr>
        <w:t xml:space="preserve"> grade to 10</w:t>
      </w:r>
      <w:r w:rsidR="008B2968" w:rsidRPr="001C713C">
        <w:rPr>
          <w:sz w:val="24"/>
          <w:szCs w:val="24"/>
          <w:vertAlign w:val="superscript"/>
        </w:rPr>
        <w:t>th</w:t>
      </w:r>
      <w:r w:rsidR="008B2968" w:rsidRPr="001C713C">
        <w:rPr>
          <w:sz w:val="24"/>
          <w:szCs w:val="24"/>
        </w:rPr>
        <w:t xml:space="preserve"> grade</w:t>
      </w:r>
      <w:r w:rsidR="001404D0" w:rsidRPr="001C713C">
        <w:rPr>
          <w:sz w:val="24"/>
          <w:szCs w:val="24"/>
        </w:rPr>
        <w:t xml:space="preserve">, whereas </w:t>
      </w:r>
      <w:r w:rsidR="008B2968" w:rsidRPr="001C713C">
        <w:rPr>
          <w:sz w:val="24"/>
          <w:szCs w:val="24"/>
        </w:rPr>
        <w:t xml:space="preserve">the </w:t>
      </w:r>
      <w:r w:rsidR="00391435">
        <w:rPr>
          <w:sz w:val="24"/>
          <w:szCs w:val="24"/>
        </w:rPr>
        <w:t>Hungarian Life Course Survey (HLCS)</w:t>
      </w:r>
      <w:r w:rsidR="008B2968" w:rsidRPr="001C713C">
        <w:rPr>
          <w:sz w:val="24"/>
          <w:szCs w:val="24"/>
        </w:rPr>
        <w:t xml:space="preserve"> dataset has a wider range of observations and a year-to-year assessment</w:t>
      </w:r>
      <w:r w:rsidR="009D1CE7">
        <w:rPr>
          <w:sz w:val="24"/>
          <w:szCs w:val="24"/>
        </w:rPr>
        <w:t xml:space="preserve"> covering </w:t>
      </w:r>
      <w:r w:rsidR="00740440">
        <w:rPr>
          <w:sz w:val="24"/>
          <w:szCs w:val="24"/>
        </w:rPr>
        <w:t xml:space="preserve">the </w:t>
      </w:r>
      <w:r w:rsidR="009D1CE7">
        <w:rPr>
          <w:sz w:val="24"/>
          <w:szCs w:val="24"/>
        </w:rPr>
        <w:t xml:space="preserve">whole span </w:t>
      </w:r>
      <w:r w:rsidR="00AA672F">
        <w:rPr>
          <w:sz w:val="24"/>
          <w:szCs w:val="24"/>
        </w:rPr>
        <w:t>of</w:t>
      </w:r>
      <w:r w:rsidR="009D1CE7">
        <w:rPr>
          <w:sz w:val="24"/>
          <w:szCs w:val="24"/>
        </w:rPr>
        <w:t xml:space="preserve"> secondary education</w:t>
      </w:r>
      <w:r w:rsidR="008B2968" w:rsidRPr="001C713C">
        <w:rPr>
          <w:sz w:val="24"/>
          <w:szCs w:val="24"/>
        </w:rPr>
        <w:t>.</w:t>
      </w:r>
      <w:r w:rsidR="00EB1143" w:rsidRPr="001C713C">
        <w:rPr>
          <w:sz w:val="24"/>
          <w:szCs w:val="24"/>
        </w:rPr>
        <w:t xml:space="preserve"> </w:t>
      </w:r>
      <w:r w:rsidR="00AA672F">
        <w:rPr>
          <w:sz w:val="24"/>
          <w:szCs w:val="24"/>
        </w:rPr>
        <w:t>Additionally, t</w:t>
      </w:r>
      <w:r w:rsidR="00754D49" w:rsidRPr="001C713C">
        <w:rPr>
          <w:sz w:val="24"/>
          <w:szCs w:val="24"/>
        </w:rPr>
        <w:t>he m</w:t>
      </w:r>
      <w:r w:rsidR="00EB1143" w:rsidRPr="001C713C">
        <w:rPr>
          <w:sz w:val="24"/>
          <w:szCs w:val="24"/>
        </w:rPr>
        <w:t xml:space="preserve">ajor </w:t>
      </w:r>
      <w:r w:rsidR="00754D49" w:rsidRPr="001C713C">
        <w:rPr>
          <w:sz w:val="24"/>
          <w:szCs w:val="24"/>
        </w:rPr>
        <w:t>share</w:t>
      </w:r>
      <w:r w:rsidR="00EB1143" w:rsidRPr="001C713C">
        <w:rPr>
          <w:sz w:val="24"/>
          <w:szCs w:val="24"/>
        </w:rPr>
        <w:t xml:space="preserve"> of the papers related to the issue does not </w:t>
      </w:r>
      <w:r w:rsidR="00EB1143" w:rsidRPr="001C713C">
        <w:rPr>
          <w:sz w:val="24"/>
          <w:szCs w:val="24"/>
        </w:rPr>
        <w:lastRenderedPageBreak/>
        <w:t>account for all the intermediary variable</w:t>
      </w:r>
      <w:r w:rsidR="00754D49" w:rsidRPr="001C713C">
        <w:rPr>
          <w:sz w:val="24"/>
          <w:szCs w:val="24"/>
        </w:rPr>
        <w:t>s</w:t>
      </w:r>
      <w:r w:rsidR="00EB1143" w:rsidRPr="001C713C">
        <w:rPr>
          <w:sz w:val="24"/>
          <w:szCs w:val="24"/>
        </w:rPr>
        <w:t xml:space="preserve"> between separation and performance, while my paper will touch upon </w:t>
      </w:r>
      <w:r w:rsidR="00AF3C93">
        <w:rPr>
          <w:sz w:val="24"/>
          <w:szCs w:val="24"/>
        </w:rPr>
        <w:t>most</w:t>
      </w:r>
      <w:r w:rsidR="00EB1143" w:rsidRPr="001C713C">
        <w:rPr>
          <w:sz w:val="24"/>
          <w:szCs w:val="24"/>
        </w:rPr>
        <w:t xml:space="preserve"> </w:t>
      </w:r>
      <w:r w:rsidR="001279B7">
        <w:rPr>
          <w:sz w:val="24"/>
          <w:szCs w:val="24"/>
        </w:rPr>
        <w:t xml:space="preserve">of </w:t>
      </w:r>
      <w:r w:rsidR="00EB1143" w:rsidRPr="001C713C">
        <w:rPr>
          <w:sz w:val="24"/>
          <w:szCs w:val="24"/>
        </w:rPr>
        <w:t xml:space="preserve">the </w:t>
      </w:r>
      <w:r w:rsidR="00E85F44">
        <w:rPr>
          <w:sz w:val="24"/>
          <w:szCs w:val="24"/>
        </w:rPr>
        <w:t>key determinants</w:t>
      </w:r>
      <w:r w:rsidR="00E34B20">
        <w:rPr>
          <w:sz w:val="24"/>
          <w:szCs w:val="24"/>
        </w:rPr>
        <w:t xml:space="preserve"> collected from a diverse pool of studies</w:t>
      </w:r>
      <w:r w:rsidR="00EB1143" w:rsidRPr="001C713C">
        <w:rPr>
          <w:sz w:val="24"/>
          <w:szCs w:val="24"/>
        </w:rPr>
        <w:t xml:space="preserve">. </w:t>
      </w:r>
      <w:r w:rsidR="006D12A1">
        <w:rPr>
          <w:sz w:val="24"/>
          <w:szCs w:val="24"/>
        </w:rPr>
        <w:t>Furthermore,</w:t>
      </w:r>
      <w:r w:rsidR="001C7C49">
        <w:rPr>
          <w:sz w:val="24"/>
          <w:szCs w:val="24"/>
        </w:rPr>
        <w:t xml:space="preserve"> while the VAM will provide a birds’ eye view of the matter,</w:t>
      </w:r>
      <w:r w:rsidR="006D12A1">
        <w:rPr>
          <w:sz w:val="24"/>
          <w:szCs w:val="24"/>
        </w:rPr>
        <w:t xml:space="preserve"> the implemented estimation method of staggered DID offers much more flexibility and causal inferential power than the mere observation of DID coefficient in OLS regressions. </w:t>
      </w:r>
      <w:r w:rsidR="00557447">
        <w:rPr>
          <w:sz w:val="24"/>
          <w:szCs w:val="24"/>
        </w:rPr>
        <w:t>The approach implemented in this essay accounts for all the known caveats of the DID, therefore my results are more</w:t>
      </w:r>
      <w:r w:rsidR="00F17FFB">
        <w:rPr>
          <w:sz w:val="24"/>
          <w:szCs w:val="24"/>
        </w:rPr>
        <w:t xml:space="preserve"> representative</w:t>
      </w:r>
      <w:r w:rsidR="00557447">
        <w:rPr>
          <w:sz w:val="24"/>
          <w:szCs w:val="24"/>
        </w:rPr>
        <w:t xml:space="preserve"> than that of previous literature. </w:t>
      </w:r>
      <w:r w:rsidR="00306408" w:rsidRPr="001C713C">
        <w:rPr>
          <w:sz w:val="24"/>
          <w:szCs w:val="24"/>
        </w:rPr>
        <w:t>Finally, the empirical discussion of such phenomena in Hungary is very limited, due to the lack of literature, thus, I expect to shed light on the issue</w:t>
      </w:r>
      <w:r w:rsidR="00242DC5">
        <w:rPr>
          <w:sz w:val="24"/>
          <w:szCs w:val="24"/>
        </w:rPr>
        <w:t xml:space="preserve"> specifically</w:t>
      </w:r>
      <w:r w:rsidR="00306408" w:rsidRPr="001C713C">
        <w:rPr>
          <w:sz w:val="24"/>
          <w:szCs w:val="24"/>
        </w:rPr>
        <w:t xml:space="preserve"> and encourage parents, teachers, and policymaker</w:t>
      </w:r>
      <w:r w:rsidR="00754D49" w:rsidRPr="001C713C">
        <w:rPr>
          <w:sz w:val="24"/>
          <w:szCs w:val="24"/>
        </w:rPr>
        <w:t>s</w:t>
      </w:r>
      <w:r w:rsidR="00306408" w:rsidRPr="001C713C">
        <w:rPr>
          <w:sz w:val="24"/>
          <w:szCs w:val="24"/>
        </w:rPr>
        <w:t xml:space="preserve"> to consider my findings </w:t>
      </w:r>
      <w:r w:rsidR="0049287B">
        <w:rPr>
          <w:sz w:val="24"/>
          <w:szCs w:val="24"/>
        </w:rPr>
        <w:t>when designing policies to target such issue</w:t>
      </w:r>
      <w:r w:rsidR="00306408" w:rsidRPr="001C713C">
        <w:rPr>
          <w:sz w:val="24"/>
          <w:szCs w:val="24"/>
        </w:rPr>
        <w:t>.</w:t>
      </w:r>
    </w:p>
    <w:p w14:paraId="3B932F54" w14:textId="5D64758F" w:rsidR="0056216B" w:rsidRPr="001C713C" w:rsidRDefault="00566FED" w:rsidP="006E2B80">
      <w:pPr>
        <w:spacing w:line="360" w:lineRule="auto"/>
        <w:ind w:firstLine="397"/>
        <w:jc w:val="both"/>
        <w:rPr>
          <w:sz w:val="24"/>
          <w:szCs w:val="24"/>
        </w:rPr>
      </w:pPr>
      <w:r>
        <w:rPr>
          <w:sz w:val="24"/>
          <w:szCs w:val="24"/>
        </w:rPr>
        <w:t>Th</w:t>
      </w:r>
      <w:r w:rsidR="004410AC">
        <w:rPr>
          <w:sz w:val="24"/>
          <w:szCs w:val="24"/>
        </w:rPr>
        <w:t>is</w:t>
      </w:r>
      <w:r>
        <w:rPr>
          <w:sz w:val="24"/>
          <w:szCs w:val="24"/>
        </w:rPr>
        <w:t xml:space="preserve"> paper can be divided into six main </w:t>
      </w:r>
      <w:r w:rsidR="00EE24B0">
        <w:rPr>
          <w:sz w:val="24"/>
          <w:szCs w:val="24"/>
        </w:rPr>
        <w:t>sections</w:t>
      </w:r>
      <w:r>
        <w:rPr>
          <w:sz w:val="24"/>
          <w:szCs w:val="24"/>
        </w:rPr>
        <w:t xml:space="preserve">. In the </w:t>
      </w:r>
      <w:r w:rsidR="00EE24B0">
        <w:rPr>
          <w:sz w:val="24"/>
          <w:szCs w:val="24"/>
        </w:rPr>
        <w:t>first chapter</w:t>
      </w:r>
      <w:r w:rsidR="00133188" w:rsidRPr="001C713C">
        <w:rPr>
          <w:sz w:val="24"/>
          <w:szCs w:val="24"/>
        </w:rPr>
        <w:t xml:space="preserve">, I will </w:t>
      </w:r>
      <w:r w:rsidR="00807D9D">
        <w:rPr>
          <w:sz w:val="24"/>
          <w:szCs w:val="24"/>
        </w:rPr>
        <w:t>demo</w:t>
      </w:r>
      <w:r w:rsidR="00F97E09">
        <w:rPr>
          <w:sz w:val="24"/>
          <w:szCs w:val="24"/>
        </w:rPr>
        <w:t>n</w:t>
      </w:r>
      <w:r w:rsidR="00807D9D">
        <w:rPr>
          <w:sz w:val="24"/>
          <w:szCs w:val="24"/>
        </w:rPr>
        <w:t>strate</w:t>
      </w:r>
      <w:r w:rsidR="00133188" w:rsidRPr="001C713C">
        <w:rPr>
          <w:sz w:val="24"/>
          <w:szCs w:val="24"/>
        </w:rPr>
        <w:t xml:space="preserve"> a brief demographic overview of the children of parental separation in Hungary</w:t>
      </w:r>
      <w:r>
        <w:rPr>
          <w:sz w:val="24"/>
          <w:szCs w:val="24"/>
        </w:rPr>
        <w:t>. In Chapter 2.,</w:t>
      </w:r>
      <w:r w:rsidR="00133188" w:rsidRPr="001C713C">
        <w:rPr>
          <w:sz w:val="24"/>
          <w:szCs w:val="24"/>
        </w:rPr>
        <w:t xml:space="preserve"> I will summarize </w:t>
      </w:r>
      <w:r w:rsidR="00754D49" w:rsidRPr="001C713C">
        <w:rPr>
          <w:sz w:val="24"/>
          <w:szCs w:val="24"/>
        </w:rPr>
        <w:t>a vast body of</w:t>
      </w:r>
      <w:r w:rsidR="00133188" w:rsidRPr="001C713C">
        <w:rPr>
          <w:sz w:val="24"/>
          <w:szCs w:val="24"/>
        </w:rPr>
        <w:t xml:space="preserve"> relevant literature </w:t>
      </w:r>
      <w:r w:rsidR="00754D49" w:rsidRPr="001C713C">
        <w:rPr>
          <w:sz w:val="24"/>
          <w:szCs w:val="24"/>
        </w:rPr>
        <w:t>that</w:t>
      </w:r>
      <w:r w:rsidR="00133188" w:rsidRPr="001C713C">
        <w:rPr>
          <w:sz w:val="24"/>
          <w:szCs w:val="24"/>
        </w:rPr>
        <w:t xml:space="preserve"> discusses the underlying phenomena between family structure and academic performance</w:t>
      </w:r>
      <w:r w:rsidR="00507854">
        <w:rPr>
          <w:sz w:val="24"/>
          <w:szCs w:val="24"/>
        </w:rPr>
        <w:t xml:space="preserve">, while </w:t>
      </w:r>
      <w:r w:rsidR="00BF5AC7">
        <w:rPr>
          <w:sz w:val="24"/>
          <w:szCs w:val="24"/>
        </w:rPr>
        <w:t>identifying the key contributors to our model</w:t>
      </w:r>
      <w:r w:rsidR="00133188" w:rsidRPr="001C713C">
        <w:rPr>
          <w:sz w:val="24"/>
          <w:szCs w:val="24"/>
        </w:rPr>
        <w:t xml:space="preserve">. </w:t>
      </w:r>
      <w:r>
        <w:rPr>
          <w:sz w:val="24"/>
          <w:szCs w:val="24"/>
        </w:rPr>
        <w:t>Chapter 3.</w:t>
      </w:r>
      <w:r w:rsidR="00133188" w:rsidRPr="001C713C">
        <w:rPr>
          <w:sz w:val="24"/>
          <w:szCs w:val="24"/>
        </w:rPr>
        <w:t xml:space="preserve"> will turn to the empirical approach</w:t>
      </w:r>
      <w:r w:rsidR="000B42C3">
        <w:rPr>
          <w:sz w:val="24"/>
          <w:szCs w:val="24"/>
        </w:rPr>
        <w:t xml:space="preserve"> of </w:t>
      </w:r>
      <w:r w:rsidR="00290B10">
        <w:rPr>
          <w:sz w:val="24"/>
          <w:szCs w:val="24"/>
        </w:rPr>
        <w:t xml:space="preserve">the </w:t>
      </w:r>
      <w:r w:rsidR="000B42C3">
        <w:rPr>
          <w:sz w:val="24"/>
          <w:szCs w:val="24"/>
        </w:rPr>
        <w:t>VAM and Staggered DID</w:t>
      </w:r>
      <w:r w:rsidR="00133188" w:rsidRPr="001C713C">
        <w:rPr>
          <w:sz w:val="24"/>
          <w:szCs w:val="24"/>
        </w:rPr>
        <w:t xml:space="preserve"> which will estimate the effect of family disruption on </w:t>
      </w:r>
      <w:r w:rsidR="00290B10">
        <w:rPr>
          <w:sz w:val="24"/>
          <w:szCs w:val="24"/>
        </w:rPr>
        <w:t xml:space="preserve">GPA, appended with an assessment on </w:t>
      </w:r>
      <w:r w:rsidR="00DE5638">
        <w:rPr>
          <w:sz w:val="24"/>
          <w:szCs w:val="24"/>
        </w:rPr>
        <w:t xml:space="preserve">the </w:t>
      </w:r>
      <w:r w:rsidR="00290B10">
        <w:rPr>
          <w:sz w:val="24"/>
          <w:szCs w:val="24"/>
        </w:rPr>
        <w:t xml:space="preserve">math grades </w:t>
      </w:r>
      <w:r w:rsidR="00DE5638">
        <w:rPr>
          <w:sz w:val="24"/>
          <w:szCs w:val="24"/>
        </w:rPr>
        <w:t xml:space="preserve">based </w:t>
      </w:r>
      <w:r w:rsidR="00290B10">
        <w:rPr>
          <w:sz w:val="24"/>
          <w:szCs w:val="24"/>
        </w:rPr>
        <w:t>on the forward selection methodology</w:t>
      </w:r>
      <w:r w:rsidR="00D235AD">
        <w:rPr>
          <w:sz w:val="24"/>
          <w:szCs w:val="24"/>
        </w:rPr>
        <w:t xml:space="preserve"> </w:t>
      </w:r>
      <w:r w:rsidR="00DE5638">
        <w:rPr>
          <w:sz w:val="24"/>
          <w:szCs w:val="24"/>
        </w:rPr>
        <w:t>and</w:t>
      </w:r>
      <w:r w:rsidR="00D235AD">
        <w:rPr>
          <w:sz w:val="24"/>
          <w:szCs w:val="24"/>
        </w:rPr>
        <w:t xml:space="preserve"> the literature review</w:t>
      </w:r>
      <w:r w:rsidR="00133188" w:rsidRPr="001C713C">
        <w:rPr>
          <w:sz w:val="24"/>
          <w:szCs w:val="24"/>
        </w:rPr>
        <w:t>.</w:t>
      </w:r>
      <w:r w:rsidR="007050F8">
        <w:rPr>
          <w:sz w:val="24"/>
          <w:szCs w:val="24"/>
        </w:rPr>
        <w:t xml:space="preserve"> In Chapter 4,</w:t>
      </w:r>
      <w:r w:rsidR="00133188" w:rsidRPr="001C713C">
        <w:rPr>
          <w:sz w:val="24"/>
          <w:szCs w:val="24"/>
        </w:rPr>
        <w:t xml:space="preserve"> I will discuss the results of</w:t>
      </w:r>
      <w:r w:rsidR="00AB25D3">
        <w:rPr>
          <w:sz w:val="24"/>
          <w:szCs w:val="24"/>
        </w:rPr>
        <w:t xml:space="preserve"> both types of</w:t>
      </w:r>
      <w:r w:rsidR="00133188" w:rsidRPr="001C713C">
        <w:rPr>
          <w:sz w:val="24"/>
          <w:szCs w:val="24"/>
        </w:rPr>
        <w:t xml:space="preserve"> </w:t>
      </w:r>
      <w:proofErr w:type="gramStart"/>
      <w:r w:rsidR="00133188" w:rsidRPr="001C713C">
        <w:rPr>
          <w:sz w:val="24"/>
          <w:szCs w:val="24"/>
        </w:rPr>
        <w:t>estimation</w:t>
      </w:r>
      <w:r w:rsidR="007050F8">
        <w:rPr>
          <w:sz w:val="24"/>
          <w:szCs w:val="24"/>
        </w:rPr>
        <w:t>,</w:t>
      </w:r>
      <w:r w:rsidR="00133188" w:rsidRPr="001C713C">
        <w:rPr>
          <w:sz w:val="24"/>
          <w:szCs w:val="24"/>
        </w:rPr>
        <w:t xml:space="preserve"> and</w:t>
      </w:r>
      <w:proofErr w:type="gramEnd"/>
      <w:r w:rsidR="00133188" w:rsidRPr="001C713C">
        <w:rPr>
          <w:sz w:val="24"/>
          <w:szCs w:val="24"/>
        </w:rPr>
        <w:t xml:space="preserve"> choose the best</w:t>
      </w:r>
      <w:r w:rsidR="00AB25D3">
        <w:rPr>
          <w:sz w:val="24"/>
          <w:szCs w:val="24"/>
        </w:rPr>
        <w:t xml:space="preserve"> </w:t>
      </w:r>
      <w:r w:rsidR="00133188" w:rsidRPr="001C713C">
        <w:rPr>
          <w:sz w:val="24"/>
          <w:szCs w:val="24"/>
        </w:rPr>
        <w:t>model</w:t>
      </w:r>
      <w:r w:rsidR="00AB25D3">
        <w:rPr>
          <w:sz w:val="24"/>
          <w:szCs w:val="24"/>
        </w:rPr>
        <w:t>s</w:t>
      </w:r>
      <w:r w:rsidR="00133188" w:rsidRPr="001C713C">
        <w:rPr>
          <w:sz w:val="24"/>
          <w:szCs w:val="24"/>
        </w:rPr>
        <w:t xml:space="preserve"> for estimation based on </w:t>
      </w:r>
      <w:r w:rsidR="007050F8">
        <w:rPr>
          <w:sz w:val="24"/>
          <w:szCs w:val="24"/>
        </w:rPr>
        <w:t>applicable criteria</w:t>
      </w:r>
      <w:r w:rsidR="00133188" w:rsidRPr="001C713C">
        <w:rPr>
          <w:sz w:val="24"/>
          <w:szCs w:val="24"/>
        </w:rPr>
        <w:t>. Lastly, in the remaining parts,</w:t>
      </w:r>
      <w:r>
        <w:rPr>
          <w:sz w:val="24"/>
          <w:szCs w:val="24"/>
        </w:rPr>
        <w:t xml:space="preserve"> Chapter 5. and 6.,</w:t>
      </w:r>
      <w:r w:rsidR="00133188" w:rsidRPr="001C713C">
        <w:rPr>
          <w:sz w:val="24"/>
          <w:szCs w:val="24"/>
        </w:rPr>
        <w:t xml:space="preserve"> I will introduce the caveats and limitations of this study and reprise the key takeaways</w:t>
      </w:r>
      <w:r w:rsidR="00281B0E">
        <w:rPr>
          <w:sz w:val="24"/>
          <w:szCs w:val="24"/>
        </w:rPr>
        <w:t xml:space="preserve"> of m</w:t>
      </w:r>
      <w:r w:rsidR="00AB25D3">
        <w:rPr>
          <w:sz w:val="24"/>
          <w:szCs w:val="24"/>
        </w:rPr>
        <w:t>y</w:t>
      </w:r>
      <w:r w:rsidR="00281B0E">
        <w:rPr>
          <w:sz w:val="24"/>
          <w:szCs w:val="24"/>
        </w:rPr>
        <w:t xml:space="preserve"> findings</w:t>
      </w:r>
      <w:r w:rsidR="00133188" w:rsidRPr="001C713C">
        <w:rPr>
          <w:sz w:val="24"/>
          <w:szCs w:val="24"/>
        </w:rPr>
        <w:t xml:space="preserve">. </w:t>
      </w:r>
    </w:p>
    <w:p w14:paraId="080EB71A" w14:textId="0A21DD0D" w:rsidR="00133188" w:rsidRPr="001C713C" w:rsidRDefault="00133188" w:rsidP="006E2B80">
      <w:pPr>
        <w:spacing w:line="360" w:lineRule="auto"/>
        <w:ind w:firstLine="397"/>
        <w:jc w:val="both"/>
        <w:rPr>
          <w:sz w:val="24"/>
          <w:szCs w:val="24"/>
        </w:rPr>
      </w:pPr>
      <w:r w:rsidRPr="001C713C">
        <w:rPr>
          <w:sz w:val="24"/>
          <w:szCs w:val="24"/>
        </w:rPr>
        <w:t>Since the formal</w:t>
      </w:r>
      <w:r w:rsidR="00921DD9">
        <w:rPr>
          <w:sz w:val="24"/>
          <w:szCs w:val="24"/>
        </w:rPr>
        <w:t xml:space="preserve"> and data</w:t>
      </w:r>
      <w:r w:rsidRPr="001C713C">
        <w:rPr>
          <w:sz w:val="24"/>
          <w:szCs w:val="24"/>
        </w:rPr>
        <w:t xml:space="preserve"> constraints do not allow me to </w:t>
      </w:r>
      <w:r w:rsidR="00754D49" w:rsidRPr="001C713C">
        <w:rPr>
          <w:sz w:val="24"/>
          <w:szCs w:val="24"/>
        </w:rPr>
        <w:t xml:space="preserve">empirically </w:t>
      </w:r>
      <w:r w:rsidRPr="001C713C">
        <w:rPr>
          <w:sz w:val="24"/>
          <w:szCs w:val="24"/>
        </w:rPr>
        <w:t xml:space="preserve">discuss </w:t>
      </w:r>
      <w:r w:rsidR="00754D49" w:rsidRPr="001C713C">
        <w:rPr>
          <w:sz w:val="24"/>
          <w:szCs w:val="24"/>
        </w:rPr>
        <w:t xml:space="preserve">the </w:t>
      </w:r>
      <w:r w:rsidRPr="001C713C">
        <w:rPr>
          <w:sz w:val="24"/>
          <w:szCs w:val="24"/>
        </w:rPr>
        <w:t xml:space="preserve">issue from every </w:t>
      </w:r>
      <w:r w:rsidR="007D7828">
        <w:rPr>
          <w:sz w:val="24"/>
          <w:szCs w:val="24"/>
        </w:rPr>
        <w:t>aspect</w:t>
      </w:r>
      <w:r w:rsidRPr="001C713C">
        <w:rPr>
          <w:sz w:val="24"/>
          <w:szCs w:val="24"/>
        </w:rPr>
        <w:t xml:space="preserve">, </w:t>
      </w:r>
      <w:r w:rsidR="00754D49" w:rsidRPr="001C713C">
        <w:rPr>
          <w:sz w:val="24"/>
          <w:szCs w:val="24"/>
        </w:rPr>
        <w:t xml:space="preserve">hence, </w:t>
      </w:r>
      <w:r w:rsidRPr="001C713C">
        <w:rPr>
          <w:sz w:val="24"/>
          <w:szCs w:val="24"/>
        </w:rPr>
        <w:t>I will put more emphasis on initial parental separations rather than on remarriage, and other blended</w:t>
      </w:r>
      <w:r w:rsidR="00C740E4">
        <w:rPr>
          <w:sz w:val="24"/>
          <w:szCs w:val="24"/>
        </w:rPr>
        <w:t xml:space="preserve"> and extreme</w:t>
      </w:r>
      <w:r w:rsidRPr="001C713C">
        <w:rPr>
          <w:sz w:val="24"/>
          <w:szCs w:val="24"/>
        </w:rPr>
        <w:t xml:space="preserve"> famil</w:t>
      </w:r>
      <w:r w:rsidR="00740440">
        <w:rPr>
          <w:sz w:val="24"/>
          <w:szCs w:val="24"/>
        </w:rPr>
        <w:t>y</w:t>
      </w:r>
      <w:r w:rsidR="00C740E4">
        <w:rPr>
          <w:sz w:val="24"/>
          <w:szCs w:val="24"/>
        </w:rPr>
        <w:t xml:space="preserve"> types</w:t>
      </w:r>
      <w:r w:rsidRPr="001C713C">
        <w:rPr>
          <w:sz w:val="24"/>
          <w:szCs w:val="24"/>
        </w:rPr>
        <w:t xml:space="preserve">. Stated differently, </w:t>
      </w:r>
      <w:r w:rsidR="00462671">
        <w:rPr>
          <w:sz w:val="24"/>
          <w:szCs w:val="24"/>
        </w:rPr>
        <w:t>o</w:t>
      </w:r>
      <w:r w:rsidRPr="001C713C">
        <w:rPr>
          <w:sz w:val="24"/>
          <w:szCs w:val="24"/>
        </w:rPr>
        <w:t xml:space="preserve">nly the differences between intact and non-intact families will appear at </w:t>
      </w:r>
      <w:r w:rsidR="00754D49" w:rsidRPr="001C713C">
        <w:rPr>
          <w:sz w:val="24"/>
          <w:szCs w:val="24"/>
        </w:rPr>
        <w:t xml:space="preserve">the </w:t>
      </w:r>
      <w:r w:rsidRPr="001C713C">
        <w:rPr>
          <w:sz w:val="24"/>
          <w:szCs w:val="24"/>
        </w:rPr>
        <w:t>literature and empirical level, however</w:t>
      </w:r>
      <w:r w:rsidR="00754D49" w:rsidRPr="001C713C">
        <w:rPr>
          <w:sz w:val="24"/>
          <w:szCs w:val="24"/>
        </w:rPr>
        <w:t>,</w:t>
      </w:r>
      <w:r w:rsidRPr="001C713C">
        <w:rPr>
          <w:sz w:val="24"/>
          <w:szCs w:val="24"/>
        </w:rPr>
        <w:t xml:space="preserve"> the reader should be provided with adequate literature to explore the topic in detail.</w:t>
      </w:r>
      <w:r w:rsidR="00462671">
        <w:rPr>
          <w:sz w:val="24"/>
          <w:szCs w:val="24"/>
        </w:rPr>
        <w:t xml:space="preserve"> Also</w:t>
      </w:r>
      <w:r w:rsidR="00F97E09">
        <w:rPr>
          <w:sz w:val="24"/>
          <w:szCs w:val="24"/>
        </w:rPr>
        <w:t>,</w:t>
      </w:r>
      <w:r w:rsidR="00462671">
        <w:rPr>
          <w:sz w:val="24"/>
          <w:szCs w:val="24"/>
        </w:rPr>
        <w:t xml:space="preserve"> I will distinguish </w:t>
      </w:r>
      <w:r w:rsidR="00433EA6">
        <w:rPr>
          <w:sz w:val="24"/>
          <w:szCs w:val="24"/>
        </w:rPr>
        <w:t>parental divorce</w:t>
      </w:r>
      <w:r w:rsidR="00626CDE">
        <w:rPr>
          <w:sz w:val="24"/>
          <w:szCs w:val="24"/>
        </w:rPr>
        <w:t xml:space="preserve"> (legally)</w:t>
      </w:r>
      <w:r w:rsidR="00462671">
        <w:rPr>
          <w:sz w:val="24"/>
          <w:szCs w:val="24"/>
        </w:rPr>
        <w:t xml:space="preserve"> from separation, therefore, the determinant of treatment will be based on the question </w:t>
      </w:r>
      <w:r w:rsidR="00F97E09">
        <w:rPr>
          <w:sz w:val="24"/>
          <w:szCs w:val="24"/>
        </w:rPr>
        <w:t xml:space="preserve">of </w:t>
      </w:r>
      <w:r w:rsidR="00462671">
        <w:rPr>
          <w:sz w:val="24"/>
          <w:szCs w:val="24"/>
        </w:rPr>
        <w:t xml:space="preserve">whether the child stays in the same household with both of their parents. </w:t>
      </w:r>
    </w:p>
    <w:p w14:paraId="2F778D58" w14:textId="60D5308C" w:rsidR="00DF50D4" w:rsidRPr="001C713C" w:rsidRDefault="0052318F" w:rsidP="005944F8">
      <w:pPr>
        <w:pStyle w:val="Heading2"/>
      </w:pPr>
      <w:bookmarkStart w:id="2" w:name="_Toc64591244"/>
      <w:r>
        <w:lastRenderedPageBreak/>
        <w:t xml:space="preserve">1.2. </w:t>
      </w:r>
      <w:r w:rsidR="00A50689" w:rsidRPr="001C713C">
        <w:t xml:space="preserve"> </w:t>
      </w:r>
      <w:r w:rsidR="00E175A1" w:rsidRPr="001C713C">
        <w:t xml:space="preserve">Demographic </w:t>
      </w:r>
      <w:r w:rsidR="00F65CE3" w:rsidRPr="001C713C">
        <w:t>O</w:t>
      </w:r>
      <w:r w:rsidR="00E175A1" w:rsidRPr="001C713C">
        <w:t xml:space="preserve">verview </w:t>
      </w:r>
      <w:r w:rsidR="00957DAC" w:rsidRPr="001C713C">
        <w:t>of</w:t>
      </w:r>
      <w:r w:rsidR="00E175A1" w:rsidRPr="001C713C">
        <w:t xml:space="preserve"> Hungary</w:t>
      </w:r>
      <w:bookmarkEnd w:id="2"/>
    </w:p>
    <w:p w14:paraId="42FD5385" w14:textId="47CB2CE0" w:rsidR="00E175A1" w:rsidRPr="001C713C" w:rsidRDefault="0052318F" w:rsidP="006E2B80">
      <w:pPr>
        <w:pStyle w:val="Heading3"/>
        <w:rPr>
          <w:rFonts w:asciiTheme="minorHAnsi" w:hAnsiTheme="minorHAnsi" w:cstheme="minorHAnsi"/>
        </w:rPr>
      </w:pPr>
      <w:bookmarkStart w:id="3" w:name="_Toc64591245"/>
      <w:r>
        <w:rPr>
          <w:rFonts w:asciiTheme="minorHAnsi" w:hAnsiTheme="minorHAnsi" w:cstheme="minorHAnsi"/>
        </w:rPr>
        <w:t>1.2.1.</w:t>
      </w:r>
      <w:r w:rsidR="00A50689" w:rsidRPr="001C713C">
        <w:rPr>
          <w:rFonts w:asciiTheme="minorHAnsi" w:hAnsiTheme="minorHAnsi" w:cstheme="minorHAnsi"/>
        </w:rPr>
        <w:t xml:space="preserve"> </w:t>
      </w:r>
      <w:r w:rsidR="00E175A1" w:rsidRPr="001C713C">
        <w:rPr>
          <w:rFonts w:asciiTheme="minorHAnsi" w:hAnsiTheme="minorHAnsi" w:cstheme="minorHAnsi"/>
        </w:rPr>
        <w:t xml:space="preserve">Divorce </w:t>
      </w:r>
      <w:r w:rsidR="00F65CE3" w:rsidRPr="001C713C">
        <w:rPr>
          <w:rFonts w:asciiTheme="minorHAnsi" w:hAnsiTheme="minorHAnsi" w:cstheme="minorHAnsi"/>
        </w:rPr>
        <w:t>R</w:t>
      </w:r>
      <w:r w:rsidR="00E175A1" w:rsidRPr="001C713C">
        <w:rPr>
          <w:rFonts w:asciiTheme="minorHAnsi" w:hAnsiTheme="minorHAnsi" w:cstheme="minorHAnsi"/>
        </w:rPr>
        <w:t>ate</w:t>
      </w:r>
      <w:bookmarkEnd w:id="3"/>
    </w:p>
    <w:p w14:paraId="5ACE4BAD" w14:textId="3BEF932E" w:rsidR="00E175A1" w:rsidRPr="001C713C" w:rsidRDefault="00E175A1" w:rsidP="006E2B80">
      <w:pPr>
        <w:spacing w:line="360" w:lineRule="auto"/>
        <w:ind w:firstLine="397"/>
        <w:jc w:val="both"/>
        <w:rPr>
          <w:rFonts w:cstheme="minorHAnsi"/>
          <w:sz w:val="24"/>
          <w:szCs w:val="24"/>
        </w:rPr>
      </w:pPr>
      <w:r w:rsidRPr="001C713C">
        <w:rPr>
          <w:rFonts w:cstheme="minorHAnsi"/>
          <w:sz w:val="24"/>
          <w:szCs w:val="24"/>
        </w:rPr>
        <w:t xml:space="preserve">In the mid-1970s, the </w:t>
      </w:r>
      <w:r w:rsidR="00397D0D">
        <w:rPr>
          <w:rFonts w:cstheme="minorHAnsi"/>
          <w:sz w:val="24"/>
          <w:szCs w:val="24"/>
        </w:rPr>
        <w:t xml:space="preserve">crude </w:t>
      </w:r>
      <w:r w:rsidRPr="001C713C">
        <w:rPr>
          <w:rFonts w:cstheme="minorHAnsi"/>
          <w:sz w:val="24"/>
          <w:szCs w:val="24"/>
        </w:rPr>
        <w:t>marriage rate</w:t>
      </w:r>
      <w:r w:rsidR="00B72472">
        <w:rPr>
          <w:rFonts w:cstheme="minorHAnsi"/>
          <w:sz w:val="24"/>
          <w:szCs w:val="24"/>
        </w:rPr>
        <w:t xml:space="preserve"> (CMR)</w:t>
      </w:r>
      <w:r w:rsidRPr="001C713C">
        <w:rPr>
          <w:rFonts w:cstheme="minorHAnsi"/>
          <w:sz w:val="24"/>
          <w:szCs w:val="24"/>
        </w:rPr>
        <w:t xml:space="preserve"> </w:t>
      </w:r>
      <w:r w:rsidR="00397D0D">
        <w:rPr>
          <w:rFonts w:cstheme="minorHAnsi"/>
          <w:sz w:val="24"/>
          <w:szCs w:val="24"/>
        </w:rPr>
        <w:t xml:space="preserve">(per 1000 people) </w:t>
      </w:r>
      <w:r w:rsidRPr="001C713C">
        <w:rPr>
          <w:rFonts w:cstheme="minorHAnsi"/>
          <w:sz w:val="24"/>
          <w:szCs w:val="24"/>
        </w:rPr>
        <w:t xml:space="preserve">in Hungary was four times higher than the </w:t>
      </w:r>
      <w:r w:rsidR="00397D0D">
        <w:rPr>
          <w:rFonts w:cstheme="minorHAnsi"/>
          <w:sz w:val="24"/>
          <w:szCs w:val="24"/>
        </w:rPr>
        <w:t xml:space="preserve">crude </w:t>
      </w:r>
      <w:r w:rsidRPr="001C713C">
        <w:rPr>
          <w:rFonts w:cstheme="minorHAnsi"/>
          <w:sz w:val="24"/>
          <w:szCs w:val="24"/>
        </w:rPr>
        <w:t>divorce rate</w:t>
      </w:r>
      <w:r w:rsidR="00B72472">
        <w:rPr>
          <w:rFonts w:cstheme="minorHAnsi"/>
          <w:sz w:val="24"/>
          <w:szCs w:val="24"/>
        </w:rPr>
        <w:t xml:space="preserve"> (CDR)</w:t>
      </w:r>
      <w:r w:rsidRPr="001C713C">
        <w:rPr>
          <w:rFonts w:cstheme="minorHAnsi"/>
          <w:sz w:val="24"/>
          <w:szCs w:val="24"/>
        </w:rPr>
        <w:t xml:space="preserve">. Since then, the number of marriages had been in decline and the divorce rate remained constant around 20-25 thousand per year, so that between 2001 and 2011 the gap between the two rates significantly decreased, as the marriage rate is only 1.7 times higher than the divorce rate. Thanks to the recovery of </w:t>
      </w:r>
      <w:r w:rsidR="00CB7D14" w:rsidRPr="001C713C">
        <w:rPr>
          <w:rFonts w:cstheme="minorHAnsi"/>
          <w:sz w:val="24"/>
          <w:szCs w:val="24"/>
        </w:rPr>
        <w:t xml:space="preserve">the </w:t>
      </w:r>
      <w:r w:rsidRPr="001C713C">
        <w:rPr>
          <w:rFonts w:cstheme="minorHAnsi"/>
          <w:sz w:val="24"/>
          <w:szCs w:val="24"/>
        </w:rPr>
        <w:t>marriage rate due to the better conditions, the ratio between the two rate</w:t>
      </w:r>
      <w:r w:rsidR="00F97E09">
        <w:rPr>
          <w:rFonts w:cstheme="minorHAnsi"/>
          <w:sz w:val="24"/>
          <w:szCs w:val="24"/>
        </w:rPr>
        <w:t>s</w:t>
      </w:r>
      <w:r w:rsidRPr="001C713C">
        <w:rPr>
          <w:rFonts w:cstheme="minorHAnsi"/>
          <w:sz w:val="24"/>
          <w:szCs w:val="24"/>
        </w:rPr>
        <w:t xml:space="preserve"> </w:t>
      </w:r>
      <w:r w:rsidR="00CB7D14" w:rsidRPr="001C713C">
        <w:rPr>
          <w:rFonts w:cstheme="minorHAnsi"/>
          <w:sz w:val="24"/>
          <w:szCs w:val="24"/>
        </w:rPr>
        <w:t>was</w:t>
      </w:r>
      <w:r w:rsidRPr="001C713C">
        <w:rPr>
          <w:rFonts w:cstheme="minorHAnsi"/>
          <w:sz w:val="24"/>
          <w:szCs w:val="24"/>
        </w:rPr>
        <w:t xml:space="preserve"> 2.6 in 2016 </w:t>
      </w:r>
      <w:r w:rsidRPr="001C713C">
        <w:rPr>
          <w:rFonts w:cstheme="minorHAnsi"/>
          <w:sz w:val="24"/>
          <w:szCs w:val="24"/>
        </w:rPr>
        <w:fldChar w:fldCharType="begin" w:fldLock="1"/>
      </w:r>
      <w:r w:rsidRPr="001C713C">
        <w:rPr>
          <w:rFonts w:cstheme="minorHAnsi"/>
          <w:sz w:val="24"/>
          <w:szCs w:val="24"/>
        </w:rPr>
        <w:instrText>ADDIN CSL_CITATION {"citationItems":[{"id":"ITEM-1","itemData":{"ISBN":"9789632354941","author":[{"dropping-particle":"","family":"Központi Statisztikai Hivatal","given":"","non-dropping-particle":"","parse-names":false,"suffix":""}],"id":"ITEM-1","issued":{"date-parts":[["2018"]]},"title":"6. A háztartások és a családok adatai","type":"book"},"uris":["http://www.mendeley.com/documents/?uuid=7a94f6b3-1c02-4240-b33f-24357d668b73"]}],"mendeley":{"formattedCitation":"(Központi Statisztikai Hivatal, 2018)","plainTextFormattedCitation":"(Központi Statisztikai Hivatal, 2018)","previouslyFormattedCitation":"(Központi Statisztikai Hivatal, 2018)"},"properties":{"noteIndex":0},"schema":"https://github.com/citation-style-language/schema/raw/master/csl-citation.json"}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(Központi Statisztikai Hivatal, 2018)</w:t>
      </w:r>
      <w:r w:rsidRPr="001C713C">
        <w:rPr>
          <w:rFonts w:cstheme="minorHAnsi"/>
          <w:sz w:val="24"/>
          <w:szCs w:val="24"/>
        </w:rPr>
        <w:fldChar w:fldCharType="end"/>
      </w:r>
      <w:r w:rsidRPr="001C713C">
        <w:rPr>
          <w:rFonts w:cstheme="minorHAnsi"/>
          <w:sz w:val="24"/>
          <w:szCs w:val="24"/>
        </w:rPr>
        <w:t>.</w:t>
      </w:r>
      <w:r w:rsidR="006D15E8">
        <w:rPr>
          <w:rFonts w:cstheme="minorHAnsi"/>
          <w:sz w:val="24"/>
          <w:szCs w:val="24"/>
        </w:rPr>
        <w:t xml:space="preserve"> The most common length of marriage duration in Hungary and the OECD countries is 20 or more years followed by the group of divorcees after 5 to 9 years </w:t>
      </w:r>
      <w:r w:rsidR="006D15E8">
        <w:rPr>
          <w:rFonts w:cstheme="minorHAnsi"/>
          <w:sz w:val="24"/>
          <w:szCs w:val="24"/>
        </w:rPr>
        <w:fldChar w:fldCharType="begin" w:fldLock="1"/>
      </w:r>
      <w:r w:rsidR="006D15E8">
        <w:rPr>
          <w:rFonts w:cstheme="minorHAnsi"/>
          <w:sz w:val="24"/>
          <w:szCs w:val="24"/>
        </w:rPr>
        <w:instrText>ADDIN CSL_CITATION {"citationItems":[{"id":"ITEM-1","itemData":{"author":[{"dropping-particle":"","family":"OECD","given":"","non-dropping-particle":"","parse-names":false,"suffix":""}],"id":"ITEM-1","issue":"December","issued":{"date-parts":[["2017"]]},"page":"1-5","title":"SF3 . 2 . Family dissolution and children","type":"article-journal"},"uris":["http://www.mendeley.com/documents/?uuid=57dcf042-f2af-4654-9e09-7de418439565"]}],"mendeley":{"formattedCitation":"(OECD, 2017)","plainTextFormattedCitation":"(OECD, 2017)","previouslyFormattedCitation":"(OECD, 2017)"},"properties":{"noteIndex":0},"schema":"https://github.com/citation-style-language/schema/raw/master/csl-citation.json"}</w:instrText>
      </w:r>
      <w:r w:rsidR="006D15E8">
        <w:rPr>
          <w:rFonts w:cstheme="minorHAnsi"/>
          <w:sz w:val="24"/>
          <w:szCs w:val="24"/>
        </w:rPr>
        <w:fldChar w:fldCharType="separate"/>
      </w:r>
      <w:r w:rsidR="006D15E8" w:rsidRPr="006D15E8">
        <w:rPr>
          <w:rFonts w:cstheme="minorHAnsi"/>
          <w:noProof/>
          <w:sz w:val="24"/>
          <w:szCs w:val="24"/>
        </w:rPr>
        <w:t>(OECD, 2017)</w:t>
      </w:r>
      <w:r w:rsidR="006D15E8">
        <w:rPr>
          <w:rFonts w:cstheme="minorHAnsi"/>
          <w:sz w:val="24"/>
          <w:szCs w:val="24"/>
        </w:rPr>
        <w:fldChar w:fldCharType="end"/>
      </w:r>
      <w:r w:rsidR="006D15E8">
        <w:rPr>
          <w:rFonts w:cstheme="minorHAnsi"/>
          <w:sz w:val="24"/>
          <w:szCs w:val="24"/>
        </w:rPr>
        <w:t>.</w:t>
      </w:r>
    </w:p>
    <w:p w14:paraId="6D803320" w14:textId="5A676F84" w:rsidR="005F16B5" w:rsidRPr="001C713C" w:rsidRDefault="005F16B5" w:rsidP="006E2B80">
      <w:pPr>
        <w:pStyle w:val="Heading3"/>
        <w:rPr>
          <w:rFonts w:asciiTheme="minorHAnsi" w:hAnsiTheme="minorHAnsi" w:cstheme="minorHAnsi"/>
        </w:rPr>
      </w:pPr>
      <w:bookmarkStart w:id="4" w:name="_Toc64591246"/>
      <w:r w:rsidRPr="001C713C">
        <w:rPr>
          <w:rFonts w:asciiTheme="minorHAnsi" w:hAnsiTheme="minorHAnsi" w:cstheme="minorHAnsi"/>
        </w:rPr>
        <w:t>1.</w:t>
      </w:r>
      <w:r w:rsidR="00605175">
        <w:rPr>
          <w:rFonts w:asciiTheme="minorHAnsi" w:hAnsiTheme="minorHAnsi" w:cstheme="minorHAnsi"/>
        </w:rPr>
        <w:t>2</w:t>
      </w:r>
      <w:r w:rsidRPr="001C713C">
        <w:rPr>
          <w:rFonts w:asciiTheme="minorHAnsi" w:hAnsiTheme="minorHAnsi" w:cstheme="minorHAnsi"/>
        </w:rPr>
        <w:t>.</w:t>
      </w:r>
      <w:r w:rsidR="00605175">
        <w:rPr>
          <w:rFonts w:asciiTheme="minorHAnsi" w:hAnsiTheme="minorHAnsi" w:cstheme="minorHAnsi"/>
        </w:rPr>
        <w:t>2</w:t>
      </w:r>
      <w:r w:rsidRPr="001C713C">
        <w:rPr>
          <w:rFonts w:asciiTheme="minorHAnsi" w:hAnsiTheme="minorHAnsi" w:cstheme="minorHAnsi"/>
        </w:rPr>
        <w:t>. Children at the Separation</w:t>
      </w:r>
      <w:bookmarkEnd w:id="4"/>
    </w:p>
    <w:p w14:paraId="6A3639A6" w14:textId="77777777" w:rsidR="005F16B5" w:rsidRPr="001C713C" w:rsidRDefault="005F16B5" w:rsidP="006E2B80">
      <w:pPr>
        <w:spacing w:line="360" w:lineRule="auto"/>
        <w:ind w:firstLine="397"/>
        <w:jc w:val="both"/>
        <w:rPr>
          <w:rFonts w:cstheme="minorHAnsi"/>
          <w:sz w:val="24"/>
          <w:szCs w:val="24"/>
        </w:rPr>
      </w:pPr>
      <w:r w:rsidRPr="001C713C">
        <w:rPr>
          <w:rFonts w:cstheme="minorHAnsi"/>
          <w:sz w:val="24"/>
          <w:szCs w:val="24"/>
        </w:rPr>
        <w:t xml:space="preserve">Between 1990 and 2017, the ratio of divorces without underage children increased by nearly 10% (from 36.5% to 46.2%) and decreased among those with one or more underage children. Such an increase in the prior group can be explained by the general decline in fertility and the increase in the proportion of childless families, although it is also conceivable for couples to wait until their children reach adulthood and only then vouch for divorce. It is also supported by the fact that between 1990 and 2017, the average number of divorces and the number of divorces after 20 years of marriage increased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{"citationItems":[{"id":"ITEM-1","itemData":{"author":[{"dropping-particle":"","family":"Központi Statisztikai Hivatal","given":"","non-dropping-particle":"","parse-names":false,"suffix":""}],"container-title":"Statisztikai tükör","id":"ITEM-1","issued":{"date-parts":[["2019"]]},"title":"A válás demográfiai jellemzői","type":"article-journal"},"uris":["http://www.mendeley.com/documents/?uuid=ee165c2e-e2c9-4341-a3bd-6ad16cdeb282"]}],"mendeley":{"formattedCitation":"(Központi Statisztikai Hivatal, 2019)","plainTextFormattedCitation":"(Központi Statisztikai Hivatal, 2019)","previouslyFormattedCitation":"(Központi Statisztikai Hivatal, 2019)"},"properties":{"noteIndex":0},"schema":"https://github.com/citation-style-language/schema/raw/master/csl-citation.json"}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(Központi Statisztikai Hivatal, 2019)</w:t>
      </w:r>
      <w:r w:rsidRPr="001C713C">
        <w:rPr>
          <w:rFonts w:cstheme="minorHAnsi"/>
          <w:sz w:val="24"/>
          <w:szCs w:val="24"/>
        </w:rPr>
        <w:fldChar w:fldCharType="end"/>
      </w:r>
      <w:r w:rsidRPr="001C713C">
        <w:rPr>
          <w:rFonts w:cstheme="minorHAnsi"/>
          <w:sz w:val="24"/>
          <w:szCs w:val="24"/>
        </w:rPr>
        <w:t xml:space="preserve">. </w:t>
      </w:r>
    </w:p>
    <w:p w14:paraId="3D4E8C37" w14:textId="2B41A128" w:rsidR="005F16B5" w:rsidRPr="001C713C" w:rsidRDefault="005F16B5" w:rsidP="006E2B80">
      <w:pPr>
        <w:spacing w:line="360" w:lineRule="auto"/>
        <w:ind w:firstLine="397"/>
        <w:jc w:val="both"/>
        <w:rPr>
          <w:rFonts w:cstheme="minorHAnsi"/>
          <w:sz w:val="24"/>
          <w:szCs w:val="24"/>
        </w:rPr>
      </w:pPr>
      <w:r w:rsidRPr="001C713C">
        <w:rPr>
          <w:rFonts w:cstheme="minorHAnsi"/>
          <w:sz w:val="24"/>
          <w:szCs w:val="24"/>
        </w:rPr>
        <w:t xml:space="preserve">According to the latest micro census in 2016, 18% of children aged 18 or below and 26% of 17-18-year-olds were raised in a single-parent family at that time. The older the age group, the higher the value of the indicator. However, those who have already experienced the breakdown of their parents' relationship, or the loss of one parent, but now may live in blended families corresponds to a higher share. Such characteristic is backed by the fact that 31% of 0-18-year-olds do not live in an intact family, </w:t>
      </w:r>
      <w:proofErr w:type="spellStart"/>
      <w:r w:rsidRPr="001C713C">
        <w:rPr>
          <w:rFonts w:cstheme="minorHAnsi"/>
          <w:sz w:val="24"/>
          <w:szCs w:val="24"/>
        </w:rPr>
        <w:t>i</w:t>
      </w:r>
      <w:proofErr w:type="spellEnd"/>
      <w:r w:rsidRPr="001C713C">
        <w:rPr>
          <w:rFonts w:cstheme="minorHAnsi"/>
          <w:sz w:val="24"/>
          <w:szCs w:val="24"/>
        </w:rPr>
        <w:t xml:space="preserve">. e. where at least one of the children living there does not grow up with both blood parents </w:t>
      </w:r>
      <w:r w:rsidRPr="001C713C">
        <w:rPr>
          <w:rFonts w:cstheme="minorHAnsi"/>
          <w:sz w:val="24"/>
          <w:szCs w:val="24"/>
        </w:rPr>
        <w:fldChar w:fldCharType="begin" w:fldLock="1"/>
      </w:r>
      <w:r w:rsidR="00774FDC" w:rsidRPr="001C713C">
        <w:rPr>
          <w:rFonts w:cstheme="minorHAnsi"/>
          <w:sz w:val="24"/>
          <w:szCs w:val="24"/>
        </w:rPr>
        <w:instrText>ADDIN CSL_CITATION {"citationItems":[{"id":"ITEM-1","itemData":{"DOI":"10.21543/dem.62.1.1","ISSN":"00118249","author":[{"dropping-particle":"","family":"Monostori","given":"Judit","non-dropping-particle":"","parse-names":false,"suffix":""}],"container-title":"Demográfia","id":"ITEM-1","issue":"1","issued":{"date-parts":[["2019"]]},"page":"5-41","title":"Egyszülős családok és politikák Magyarországon és Európában","type":"article-journal","volume":"62"},"uris":["http://www.mendeley.com/documents/?uuid=f5923b9e-8eda-477e-a9fc-ffd84b6e2538"]},{"id":"ITEM-2","itemData":{"ISBN":"9789632354941","author":[{"dropping-particle":"","family":"Központi Statisztikai Hivatal","given":"","non-dropping-particle":"","parse-names":false,"suffix":""}],"id":"ITEM-2","issued":{"date-parts":[["2018"]]},"title":"6. A háztartások és a családok adatai","type":"book"},"uris":["http://www.mendeley.com/documents/?uuid=7a94f6b3-1c02-4240-b33f-24357d668b73"]}],"mendeley":{"formattedCitation":"(Központi Statisztikai Hivatal, 2018; Monostori, 2019)","plainTextFormattedCitation":"(Központi Statisztikai Hivatal, 2018; Monostori, 2019)","previouslyFormattedCitation":"(Központi Statisztikai Hivatal, 2018; Monostori, 2019)"},"properties":{"noteIndex":0},"schema":"https://github.com/citation-style-language/schema/raw/master/csl-citation.json"}</w:instrText>
      </w:r>
      <w:r w:rsidRPr="001C713C">
        <w:rPr>
          <w:rFonts w:cstheme="minorHAnsi"/>
          <w:sz w:val="24"/>
          <w:szCs w:val="24"/>
        </w:rPr>
        <w:fldChar w:fldCharType="separate"/>
      </w:r>
      <w:r w:rsidR="00774FDC" w:rsidRPr="001C713C">
        <w:rPr>
          <w:rFonts w:cstheme="minorHAnsi"/>
          <w:noProof/>
          <w:sz w:val="24"/>
          <w:szCs w:val="24"/>
        </w:rPr>
        <w:t>(Központi Statisztikai Hivatal, 2018; Monostori, 2019)</w:t>
      </w:r>
      <w:r w:rsidRPr="001C713C">
        <w:rPr>
          <w:rFonts w:cstheme="minorHAnsi"/>
          <w:sz w:val="24"/>
          <w:szCs w:val="24"/>
        </w:rPr>
        <w:fldChar w:fldCharType="end"/>
      </w:r>
      <w:r w:rsidRPr="001C713C">
        <w:rPr>
          <w:rFonts w:cstheme="minorHAnsi"/>
          <w:sz w:val="24"/>
          <w:szCs w:val="24"/>
        </w:rPr>
        <w:t>.</w:t>
      </w:r>
    </w:p>
    <w:p w14:paraId="428F9038" w14:textId="56E3DA3F" w:rsidR="005F16B5" w:rsidRPr="001C713C" w:rsidRDefault="005F16B5" w:rsidP="006E2B80">
      <w:pPr>
        <w:spacing w:line="360" w:lineRule="auto"/>
        <w:ind w:firstLine="397"/>
        <w:jc w:val="both"/>
        <w:rPr>
          <w:rFonts w:cstheme="minorHAnsi"/>
          <w:sz w:val="24"/>
          <w:szCs w:val="24"/>
        </w:rPr>
      </w:pPr>
      <w:r w:rsidRPr="001C713C">
        <w:rPr>
          <w:rFonts w:cstheme="minorHAnsi"/>
          <w:sz w:val="24"/>
          <w:szCs w:val="24"/>
        </w:rPr>
        <w:t xml:space="preserve">In terms of divorces associated with the number of “common” children, the most significant change was in the case of divorces with one underage child, as their proportion decreased from 36 to 30%. The decrease in the number of divorces with two underage </w:t>
      </w:r>
      <w:r w:rsidRPr="001C713C">
        <w:rPr>
          <w:rFonts w:cstheme="minorHAnsi"/>
          <w:sz w:val="24"/>
          <w:szCs w:val="24"/>
        </w:rPr>
        <w:lastRenderedPageBreak/>
        <w:t>children was less expressive (from 22% to 19%). Howbeit, the divorce rate for three or more underage children increased until the second half of the 2000s, and in the last ten years, it decreased significantly, by almost 30%, until it accounted for 4.9% of all divorces in 2017.</w:t>
      </w:r>
      <w:r w:rsidR="006D15E8">
        <w:rPr>
          <w:rFonts w:cstheme="minorHAnsi"/>
          <w:sz w:val="24"/>
          <w:szCs w:val="24"/>
        </w:rPr>
        <w:t xml:space="preserve"> Such patter</w:t>
      </w:r>
      <w:r w:rsidR="00F97E09">
        <w:rPr>
          <w:rFonts w:cstheme="minorHAnsi"/>
          <w:sz w:val="24"/>
          <w:szCs w:val="24"/>
        </w:rPr>
        <w:t>n</w:t>
      </w:r>
      <w:r w:rsidR="006D15E8">
        <w:rPr>
          <w:rFonts w:cstheme="minorHAnsi"/>
          <w:sz w:val="24"/>
          <w:szCs w:val="24"/>
        </w:rPr>
        <w:t xml:space="preserve">s in the number of involved children are also present in the OECD averages </w:t>
      </w:r>
      <w:r w:rsidR="006D15E8">
        <w:rPr>
          <w:rFonts w:cstheme="minorHAnsi"/>
          <w:sz w:val="24"/>
          <w:szCs w:val="24"/>
        </w:rPr>
        <w:fldChar w:fldCharType="begin" w:fldLock="1"/>
      </w:r>
      <w:r w:rsidR="00EC5213">
        <w:rPr>
          <w:rFonts w:cstheme="minorHAnsi"/>
          <w:sz w:val="24"/>
          <w:szCs w:val="24"/>
        </w:rPr>
        <w:instrText>ADDIN CSL_CITATION {"citationItems":[{"id":"ITEM-1","itemData":{"author":[{"dropping-particle":"","family":"OECD","given":"","non-dropping-particle":"","parse-names":false,"suffix":""}],"id":"ITEM-1","issue":"December","issued":{"date-parts":[["2017"]]},"page":"1-5","title":"SF3 . 2 . Family dissolution and children","type":"article-journal"},"uris":["http://www.mendeley.com/documents/?uuid=57dcf042-f2af-4654-9e09-7de418439565"]},{"id":"ITEM-2","itemData":{"author":[{"dropping-particle":"","family":"Központi Statisztikai Hivatal","given":"","non-dropping-particle":"","parse-names":false,"suffix":""}],"container-title":"Statisztikai tükör","id":"ITEM-2","issued":{"date-parts":[["2019"]]},"title":"A válás demográfiai jellemzői","type":"article-journal"},"uris":["http://www.mendeley.com/documents/?uuid=ee165c2e-e2c9-4341-a3bd-6ad16cdeb282"]}],"mendeley":{"formattedCitation":"(Központi Statisztikai Hivatal, 2019; OECD, 2017)","plainTextFormattedCitation":"(Központi Statisztikai Hivatal, 2019; OECD, 2017)","previouslyFormattedCitation":"(Központi Statisztikai Hivatal, 2019; OECD, 2017)"},"properties":{"noteIndex":0},"schema":"https://github.com/citation-style-language/schema/raw/master/csl-citation.json"}</w:instrText>
      </w:r>
      <w:r w:rsidR="006D15E8">
        <w:rPr>
          <w:rFonts w:cstheme="minorHAnsi"/>
          <w:sz w:val="24"/>
          <w:szCs w:val="24"/>
        </w:rPr>
        <w:fldChar w:fldCharType="separate"/>
      </w:r>
      <w:r w:rsidR="006D15E8" w:rsidRPr="006D15E8">
        <w:rPr>
          <w:rFonts w:cstheme="minorHAnsi"/>
          <w:noProof/>
          <w:sz w:val="24"/>
          <w:szCs w:val="24"/>
        </w:rPr>
        <w:t>(Központi Statisztikai Hivatal, 2019; OECD, 2017)</w:t>
      </w:r>
      <w:r w:rsidR="006D15E8">
        <w:rPr>
          <w:rFonts w:cstheme="minorHAnsi"/>
          <w:sz w:val="24"/>
          <w:szCs w:val="24"/>
        </w:rPr>
        <w:fldChar w:fldCharType="end"/>
      </w:r>
      <w:r w:rsidR="006D15E8">
        <w:rPr>
          <w:rFonts w:cstheme="minorHAnsi"/>
          <w:sz w:val="24"/>
          <w:szCs w:val="24"/>
        </w:rPr>
        <w:t>.</w:t>
      </w:r>
      <w:r w:rsidRPr="001C713C">
        <w:rPr>
          <w:rFonts w:cstheme="minorHAnsi"/>
          <w:sz w:val="24"/>
          <w:szCs w:val="24"/>
        </w:rPr>
        <w:t xml:space="preserve"> To conclude, divorces in 2017 imposed negative effects on approximately 15.5 thousand children, compared to about 24.5 thousand ten years earlier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{"citationItems":[{"id":"ITEM-1","itemData":{"author":[{"dropping-particle":"","family":"Központi Statisztikai Hivatal","given":"","non-dropping-particle":"","parse-names":false,"suffix":""}],"container-title":"Statisztikai tükör","id":"ITEM-1","issued":{"date-parts":[["2019"]]},"title":"A válás demográfiai jellemzői","type":"article-journal"},"uris":["http://www.mendeley.com/documents/?uuid=ee165c2e-e2c9-4341-a3bd-6ad16cdeb282"]}],"mendeley":{"formattedCitation":"(Központi Statisztikai Hivatal, 2019)","plainTextFormattedCitation":"(Központi Statisztikai Hivatal, 2019)","previouslyFormattedCitation":"(Központi Statisztikai Hivatal, 2019)"},"properties":{"noteIndex":0},"schema":"https://github.com/citation-style-language/schema/raw/master/csl-citation.json"}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(Központi Statisztikai Hivatal, 2019)</w:t>
      </w:r>
      <w:r w:rsidRPr="001C713C">
        <w:rPr>
          <w:rFonts w:cstheme="minorHAnsi"/>
          <w:sz w:val="24"/>
          <w:szCs w:val="24"/>
        </w:rPr>
        <w:fldChar w:fldCharType="end"/>
      </w:r>
      <w:r w:rsidRPr="001C713C">
        <w:rPr>
          <w:rFonts w:cstheme="minorHAnsi"/>
          <w:sz w:val="24"/>
          <w:szCs w:val="24"/>
        </w:rPr>
        <w:t>.</w:t>
      </w:r>
    </w:p>
    <w:p w14:paraId="6F6CA87C" w14:textId="5982B9DC" w:rsidR="00E175A1" w:rsidRPr="001C713C" w:rsidRDefault="00605175" w:rsidP="006E2B80">
      <w:pPr>
        <w:pStyle w:val="Heading3"/>
        <w:jc w:val="both"/>
        <w:rPr>
          <w:rFonts w:asciiTheme="minorHAnsi" w:hAnsiTheme="minorHAnsi" w:cstheme="minorHAnsi"/>
        </w:rPr>
      </w:pPr>
      <w:bookmarkStart w:id="5" w:name="_Toc64591247"/>
      <w:r>
        <w:rPr>
          <w:rFonts w:asciiTheme="minorHAnsi" w:hAnsiTheme="minorHAnsi" w:cstheme="minorHAnsi"/>
        </w:rPr>
        <w:t>1.2.3.</w:t>
      </w:r>
      <w:r w:rsidR="00A50689" w:rsidRPr="001C713C">
        <w:rPr>
          <w:rFonts w:asciiTheme="minorHAnsi" w:hAnsiTheme="minorHAnsi" w:cstheme="minorHAnsi"/>
        </w:rPr>
        <w:t xml:space="preserve"> </w:t>
      </w:r>
      <w:r w:rsidR="00E175A1" w:rsidRPr="001C713C">
        <w:rPr>
          <w:rFonts w:asciiTheme="minorHAnsi" w:hAnsiTheme="minorHAnsi" w:cstheme="minorHAnsi"/>
        </w:rPr>
        <w:t>Single-</w:t>
      </w:r>
      <w:r w:rsidR="00F65CE3" w:rsidRPr="001C713C">
        <w:rPr>
          <w:rFonts w:asciiTheme="minorHAnsi" w:hAnsiTheme="minorHAnsi" w:cstheme="minorHAnsi"/>
        </w:rPr>
        <w:t>P</w:t>
      </w:r>
      <w:r w:rsidR="00E175A1" w:rsidRPr="001C713C">
        <w:rPr>
          <w:rFonts w:asciiTheme="minorHAnsi" w:hAnsiTheme="minorHAnsi" w:cstheme="minorHAnsi"/>
        </w:rPr>
        <w:t xml:space="preserve">arent </w:t>
      </w:r>
      <w:r w:rsidR="00F65CE3" w:rsidRPr="001C713C">
        <w:rPr>
          <w:rFonts w:asciiTheme="minorHAnsi" w:hAnsiTheme="minorHAnsi" w:cstheme="minorHAnsi"/>
        </w:rPr>
        <w:t>F</w:t>
      </w:r>
      <w:r w:rsidR="00E175A1" w:rsidRPr="001C713C">
        <w:rPr>
          <w:rFonts w:asciiTheme="minorHAnsi" w:hAnsiTheme="minorHAnsi" w:cstheme="minorHAnsi"/>
        </w:rPr>
        <w:t>amilies</w:t>
      </w:r>
      <w:bookmarkEnd w:id="5"/>
    </w:p>
    <w:p w14:paraId="600263C2" w14:textId="1A1AD702" w:rsidR="003D65ED" w:rsidRPr="001C713C" w:rsidRDefault="001B1FBA" w:rsidP="006E2B80">
      <w:pPr>
        <w:spacing w:line="360" w:lineRule="auto"/>
        <w:ind w:firstLine="397"/>
        <w:jc w:val="both"/>
        <w:rPr>
          <w:rFonts w:cstheme="minorHAnsi"/>
          <w:sz w:val="24"/>
          <w:szCs w:val="24"/>
        </w:rPr>
      </w:pPr>
      <w:r w:rsidRPr="001C713C">
        <w:rPr>
          <w:rFonts w:cstheme="minorHAnsi"/>
          <w:sz w:val="24"/>
          <w:szCs w:val="24"/>
        </w:rPr>
        <w:t>In Hungary, most of the single-parent families stem from eit</w:t>
      </w:r>
      <w:r w:rsidR="00B0644F" w:rsidRPr="001C713C">
        <w:rPr>
          <w:rFonts w:cstheme="minorHAnsi"/>
          <w:sz w:val="24"/>
          <w:szCs w:val="24"/>
        </w:rPr>
        <w:t>her the death of a parent</w:t>
      </w:r>
      <w:r w:rsidR="00963B59" w:rsidRPr="001C713C">
        <w:rPr>
          <w:rFonts w:cstheme="minorHAnsi"/>
          <w:sz w:val="24"/>
          <w:szCs w:val="24"/>
        </w:rPr>
        <w:t xml:space="preserve"> (widowhood)</w:t>
      </w:r>
      <w:r w:rsidR="00B0644F" w:rsidRPr="001C713C">
        <w:rPr>
          <w:rFonts w:cstheme="minorHAnsi"/>
          <w:sz w:val="24"/>
          <w:szCs w:val="24"/>
        </w:rPr>
        <w:t xml:space="preserve"> or divorce. Within the groups of families, the ratio of </w:t>
      </w:r>
      <w:r w:rsidR="00090849">
        <w:rPr>
          <w:rFonts w:cstheme="minorHAnsi"/>
          <w:sz w:val="24"/>
          <w:szCs w:val="24"/>
        </w:rPr>
        <w:t>such</w:t>
      </w:r>
      <w:r w:rsidR="000C44CF" w:rsidRPr="001C713C">
        <w:rPr>
          <w:rFonts w:cstheme="minorHAnsi"/>
          <w:sz w:val="24"/>
          <w:szCs w:val="24"/>
        </w:rPr>
        <w:t xml:space="preserve"> type</w:t>
      </w:r>
      <w:r w:rsidR="000A50B2" w:rsidRPr="001C713C">
        <w:rPr>
          <w:rFonts w:cstheme="minorHAnsi"/>
          <w:sz w:val="24"/>
          <w:szCs w:val="24"/>
        </w:rPr>
        <w:t>s</w:t>
      </w:r>
      <w:r w:rsidR="000C44CF" w:rsidRPr="001C713C">
        <w:rPr>
          <w:rFonts w:cstheme="minorHAnsi"/>
          <w:sz w:val="24"/>
          <w:szCs w:val="24"/>
        </w:rPr>
        <w:t xml:space="preserve"> of families</w:t>
      </w:r>
      <w:r w:rsidR="00B0644F" w:rsidRPr="001C713C">
        <w:rPr>
          <w:rFonts w:cstheme="minorHAnsi"/>
          <w:sz w:val="24"/>
          <w:szCs w:val="24"/>
        </w:rPr>
        <w:t xml:space="preserve"> was 10% until 1980</w:t>
      </w:r>
      <w:r w:rsidR="006056E2" w:rsidRPr="001C713C">
        <w:rPr>
          <w:rFonts w:cstheme="minorHAnsi"/>
          <w:sz w:val="24"/>
          <w:szCs w:val="24"/>
        </w:rPr>
        <w:t>.</w:t>
      </w:r>
      <w:r w:rsidR="00B0644F" w:rsidRPr="001C713C">
        <w:rPr>
          <w:rFonts w:cstheme="minorHAnsi"/>
          <w:sz w:val="24"/>
          <w:szCs w:val="24"/>
        </w:rPr>
        <w:t xml:space="preserve"> </w:t>
      </w:r>
      <w:r w:rsidR="006056E2" w:rsidRPr="001C713C">
        <w:rPr>
          <w:rFonts w:cstheme="minorHAnsi"/>
          <w:sz w:val="24"/>
          <w:szCs w:val="24"/>
        </w:rPr>
        <w:t xml:space="preserve">The proportion increased from 16% in 1990 to 20% two decades later, </w:t>
      </w:r>
      <w:r w:rsidR="00B0644F" w:rsidRPr="001C713C">
        <w:rPr>
          <w:rFonts w:cstheme="minorHAnsi"/>
          <w:sz w:val="24"/>
          <w:szCs w:val="24"/>
        </w:rPr>
        <w:t>then</w:t>
      </w:r>
      <w:r w:rsidR="006056E2" w:rsidRPr="001C713C">
        <w:rPr>
          <w:rFonts w:cstheme="minorHAnsi"/>
          <w:sz w:val="24"/>
          <w:szCs w:val="24"/>
        </w:rPr>
        <w:t xml:space="preserve"> it corrected to a level where</w:t>
      </w:r>
      <w:r w:rsidR="00B0644F" w:rsidRPr="001C713C">
        <w:rPr>
          <w:rFonts w:cstheme="minorHAnsi"/>
          <w:sz w:val="24"/>
          <w:szCs w:val="24"/>
        </w:rPr>
        <w:t xml:space="preserve"> nearly every fifth, </w:t>
      </w:r>
      <w:r w:rsidR="00963B59" w:rsidRPr="001C713C">
        <w:rPr>
          <w:rFonts w:cstheme="minorHAnsi"/>
          <w:sz w:val="24"/>
          <w:szCs w:val="24"/>
        </w:rPr>
        <w:t xml:space="preserve">as </w:t>
      </w:r>
      <w:r w:rsidR="00B0644F" w:rsidRPr="001C713C">
        <w:rPr>
          <w:rFonts w:cstheme="minorHAnsi"/>
          <w:sz w:val="24"/>
          <w:szCs w:val="24"/>
        </w:rPr>
        <w:t>18</w:t>
      </w:r>
      <w:r w:rsidR="00963B59" w:rsidRPr="001C713C">
        <w:rPr>
          <w:rFonts w:cstheme="minorHAnsi"/>
          <w:sz w:val="24"/>
          <w:szCs w:val="24"/>
        </w:rPr>
        <w:t>.3</w:t>
      </w:r>
      <w:r w:rsidR="00B0644F" w:rsidRPr="001C713C">
        <w:rPr>
          <w:rFonts w:cstheme="minorHAnsi"/>
          <w:sz w:val="24"/>
          <w:szCs w:val="24"/>
        </w:rPr>
        <w:t>% of the families were single-parent families</w:t>
      </w:r>
      <w:r w:rsidR="00963B59" w:rsidRPr="001C713C">
        <w:rPr>
          <w:rFonts w:cstheme="minorHAnsi"/>
          <w:sz w:val="24"/>
          <w:szCs w:val="24"/>
        </w:rPr>
        <w:t xml:space="preserve"> in 2016</w:t>
      </w:r>
      <w:r w:rsidR="00926622" w:rsidRPr="001C713C">
        <w:rPr>
          <w:rFonts w:cstheme="minorHAnsi"/>
          <w:sz w:val="24"/>
          <w:szCs w:val="24"/>
        </w:rPr>
        <w:t xml:space="preserve"> </w:t>
      </w:r>
      <w:r w:rsidR="00926622" w:rsidRPr="001C713C">
        <w:rPr>
          <w:rFonts w:cstheme="minorHAnsi"/>
          <w:sz w:val="24"/>
          <w:szCs w:val="24"/>
        </w:rPr>
        <w:fldChar w:fldCharType="begin" w:fldLock="1"/>
      </w:r>
      <w:r w:rsidR="00213CB9" w:rsidRPr="001C713C">
        <w:rPr>
          <w:rFonts w:cstheme="minorHAnsi"/>
          <w:sz w:val="24"/>
          <w:szCs w:val="24"/>
        </w:rPr>
        <w:instrText>ADDIN CSL_CITATION {"citationItems":[{"id":"ITEM-1","itemData":{"ISBN":"9789632354941","author":[{"dropping-particle":"","family":"Központi Statisztikai Hivatal","given":"","non-dropping-particle":"","parse-names":false,"suffix":""}],"id":"ITEM-1","issued":{"date-parts":[["2018"]]},"title":"6. A háztartások és a családok adatai","type":"book"},"uris":["http://www.mendeley.com/documents/?uuid=7a94f6b3-1c02-4240-b33f-24357d668b73"]}],"mendeley":{"formattedCitation":"(Központi Statisztikai Hivatal, 2018)","plainTextFormattedCitation":"(Központi Statisztikai Hivatal, 2018)","previouslyFormattedCitation":"(Központi Statisztikai Hivatal, 2018)"},"properties":{"noteIndex":0},"schema":"https://github.com/citation-style-language/schema/raw/master/csl-citation.json"}</w:instrText>
      </w:r>
      <w:r w:rsidR="00926622" w:rsidRPr="001C713C">
        <w:rPr>
          <w:rFonts w:cstheme="minorHAnsi"/>
          <w:sz w:val="24"/>
          <w:szCs w:val="24"/>
        </w:rPr>
        <w:fldChar w:fldCharType="separate"/>
      </w:r>
      <w:r w:rsidR="00926622" w:rsidRPr="001C713C">
        <w:rPr>
          <w:rFonts w:cstheme="minorHAnsi"/>
          <w:noProof/>
          <w:sz w:val="24"/>
          <w:szCs w:val="24"/>
        </w:rPr>
        <w:t>(Központi Statisztikai Hivatal, 2018)</w:t>
      </w:r>
      <w:r w:rsidR="00926622" w:rsidRPr="001C713C">
        <w:rPr>
          <w:rFonts w:cstheme="minorHAnsi"/>
          <w:sz w:val="24"/>
          <w:szCs w:val="24"/>
        </w:rPr>
        <w:fldChar w:fldCharType="end"/>
      </w:r>
      <w:r w:rsidR="00B0644F" w:rsidRPr="001C713C">
        <w:rPr>
          <w:rFonts w:cstheme="minorHAnsi"/>
          <w:sz w:val="24"/>
          <w:szCs w:val="24"/>
        </w:rPr>
        <w:t>.</w:t>
      </w:r>
      <w:r w:rsidR="00963B59" w:rsidRPr="001C713C">
        <w:rPr>
          <w:rFonts w:cstheme="minorHAnsi"/>
          <w:sz w:val="24"/>
          <w:szCs w:val="24"/>
        </w:rPr>
        <w:t xml:space="preserve"> </w:t>
      </w:r>
      <w:r w:rsidR="00090849">
        <w:rPr>
          <w:rFonts w:cstheme="minorHAnsi"/>
          <w:sz w:val="24"/>
          <w:szCs w:val="24"/>
        </w:rPr>
        <w:t>In comparison, the share of single-parent househol</w:t>
      </w:r>
      <w:r w:rsidR="00F97E09">
        <w:rPr>
          <w:rFonts w:cstheme="minorHAnsi"/>
          <w:sz w:val="24"/>
          <w:szCs w:val="24"/>
        </w:rPr>
        <w:t>d</w:t>
      </w:r>
      <w:r w:rsidR="00090849">
        <w:rPr>
          <w:rFonts w:cstheme="minorHAnsi"/>
          <w:sz w:val="24"/>
          <w:szCs w:val="24"/>
        </w:rPr>
        <w:t xml:space="preserve">s in the OECD countries ranges between 5-10% </w:t>
      </w:r>
      <w:r w:rsidR="00090849">
        <w:rPr>
          <w:rFonts w:cstheme="minorHAnsi"/>
          <w:sz w:val="24"/>
          <w:szCs w:val="24"/>
        </w:rPr>
        <w:fldChar w:fldCharType="begin" w:fldLock="1"/>
      </w:r>
      <w:r w:rsidR="006D15E8">
        <w:rPr>
          <w:rFonts w:cstheme="minorHAnsi"/>
          <w:sz w:val="24"/>
          <w:szCs w:val="24"/>
        </w:rPr>
        <w:instrText>ADDIN CSL_CITATION {"citationItems":[{"id":"ITEM-1","itemData":{"abstract":"http://www.oecd.org/els/family/SF_1_1_Family_size_and_composition.pdf","author":[{"dropping-particle":"","family":"OECD","given":"","non-dropping-particle":"","parse-names":false,"suffix":""}],"container-title":"OECD Family Database","id":"ITEM-1","issued":{"date-parts":[["2016"]]},"page":"6-12","title":"Family Size and Composition","type":"article-journal"},"uris":["http://www.mendeley.com/documents/?uuid=2239d327-cf02-44a1-bed1-3aaa6785f511"]}],"mendeley":{"formattedCitation":"(OECD, 2016)","plainTextFormattedCitation":"(OECD, 2016)","previouslyFormattedCitation":"(OECD, 2016)"},"properties":{"noteIndex":0},"schema":"https://github.com/citation-style-language/schema/raw/master/csl-citation.json"}</w:instrText>
      </w:r>
      <w:r w:rsidR="00090849">
        <w:rPr>
          <w:rFonts w:cstheme="minorHAnsi"/>
          <w:sz w:val="24"/>
          <w:szCs w:val="24"/>
        </w:rPr>
        <w:fldChar w:fldCharType="separate"/>
      </w:r>
      <w:r w:rsidR="00090849" w:rsidRPr="00090849">
        <w:rPr>
          <w:rFonts w:cstheme="minorHAnsi"/>
          <w:noProof/>
          <w:sz w:val="24"/>
          <w:szCs w:val="24"/>
        </w:rPr>
        <w:t>(OECD, 2016)</w:t>
      </w:r>
      <w:r w:rsidR="00090849">
        <w:rPr>
          <w:rFonts w:cstheme="minorHAnsi"/>
          <w:sz w:val="24"/>
          <w:szCs w:val="24"/>
        </w:rPr>
        <w:fldChar w:fldCharType="end"/>
      </w:r>
      <w:r w:rsidR="00090849">
        <w:rPr>
          <w:rFonts w:cstheme="minorHAnsi"/>
          <w:sz w:val="24"/>
          <w:szCs w:val="24"/>
        </w:rPr>
        <w:t xml:space="preserve">. </w:t>
      </w:r>
    </w:p>
    <w:p w14:paraId="3A526D1F" w14:textId="0317DC02" w:rsidR="00774FDC" w:rsidRPr="001C713C" w:rsidRDefault="00A8787C" w:rsidP="006E2B80">
      <w:pPr>
        <w:spacing w:line="360" w:lineRule="auto"/>
        <w:ind w:firstLine="397"/>
        <w:jc w:val="both"/>
        <w:rPr>
          <w:rFonts w:cstheme="minorHAnsi"/>
          <w:sz w:val="24"/>
          <w:szCs w:val="24"/>
        </w:rPr>
      </w:pPr>
      <w:r w:rsidRPr="001C713C">
        <w:rPr>
          <w:rFonts w:cstheme="minorHAnsi"/>
          <w:sz w:val="24"/>
          <w:szCs w:val="24"/>
        </w:rPr>
        <w:t xml:space="preserve">According to the </w:t>
      </w:r>
      <w:r w:rsidR="000C44CF" w:rsidRPr="001C713C">
        <w:rPr>
          <w:rFonts w:cstheme="minorHAnsi"/>
          <w:sz w:val="24"/>
          <w:szCs w:val="24"/>
        </w:rPr>
        <w:t xml:space="preserve">population census in 2011, </w:t>
      </w:r>
      <w:r w:rsidRPr="001C713C">
        <w:rPr>
          <w:rFonts w:cstheme="minorHAnsi"/>
          <w:sz w:val="24"/>
          <w:szCs w:val="24"/>
        </w:rPr>
        <w:t>1.315 million parents and children were living in single-parent families. Among th</w:t>
      </w:r>
      <w:r w:rsidR="000C44CF" w:rsidRPr="001C713C">
        <w:rPr>
          <w:rFonts w:cstheme="minorHAnsi"/>
          <w:sz w:val="24"/>
          <w:szCs w:val="24"/>
        </w:rPr>
        <w:t>o</w:t>
      </w:r>
      <w:r w:rsidRPr="001C713C">
        <w:rPr>
          <w:rFonts w:cstheme="minorHAnsi"/>
          <w:sz w:val="24"/>
          <w:szCs w:val="24"/>
        </w:rPr>
        <w:t xml:space="preserve">se families, the children were often brought up and nurtured by the mother as the share of single-mother children's families was close to 86%, and single-mother families with children aged under 15 constituted 91% </w:t>
      </w:r>
      <w:r w:rsidRPr="001C713C">
        <w:rPr>
          <w:rFonts w:cstheme="minorHAnsi"/>
          <w:sz w:val="24"/>
          <w:szCs w:val="24"/>
        </w:rPr>
        <w:fldChar w:fldCharType="begin" w:fldLock="1"/>
      </w:r>
      <w:r w:rsidR="00915D4D" w:rsidRPr="001C713C">
        <w:rPr>
          <w:rFonts w:cstheme="minorHAnsi"/>
          <w:sz w:val="24"/>
          <w:szCs w:val="24"/>
        </w:rPr>
        <w:instrText>ADDIN CSL_CITATION {"citationItems":[{"id":"ITEM-1","itemData":{"author":[{"dropping-particle":"","family":"Monostori","given":"Judit","non-dropping-particle":"","parse-names":false,"suffix":""},{"dropping-particle":"","family":"Murinkó","given":"Lívia","non-dropping-particle":"","parse-names":false,"suffix":""}],"container-title":"Encyclopedia of Sociology. Volume 2","id":"ITEM-1","issued":{"date-parts":[["2015"]]},"page":"151-168","title":"Family and Household Structure","type":"article-journal"},"uris":["http://www.mendeley.com/documents/?uuid=bed18fdd-a4dc-41ed-948d-b018a62bdb10"]},{"id":"ITEM-2","itemData":{"ISBN":"9789632354941","author":[{"dropping-particle":"","family":"Központi Statisztikai Hivatal","given":"","non-dropping-particle":"","parse-names":false,"suffix":""}],"id":"ITEM-2","issued":{"date-parts":[["2018"]]},"title":"6. A háztartások és a családok adatai","type":"book"},"uris":["http://www.mendeley.com/documents/?uuid=7a94f6b3-1c02-4240-b33f-24357d668b73"]}],"mendeley":{"formattedCitation":"(Központi Statisztikai Hivatal, 2018; Monostori &amp; Murinkó, 2015)","plainTextFormattedCitation":"(Központi Statisztikai Hivatal, 2018; Monostori &amp; Murinkó, 2015)","previouslyFormattedCitation":"(Központi Statisztikai Hivatal, 2018; Monostori &amp; Murinkó, 2015)"},"properties":{"noteIndex":0},"schema":"https://github.com/citation-style-language/schema/raw/master/csl-citation.json"}</w:instrText>
      </w:r>
      <w:r w:rsidRPr="001C713C">
        <w:rPr>
          <w:rFonts w:cstheme="minorHAnsi"/>
          <w:sz w:val="24"/>
          <w:szCs w:val="24"/>
        </w:rPr>
        <w:fldChar w:fldCharType="separate"/>
      </w:r>
      <w:r w:rsidR="00774FDC" w:rsidRPr="001C713C">
        <w:rPr>
          <w:rFonts w:cstheme="minorHAnsi"/>
          <w:noProof/>
          <w:sz w:val="24"/>
          <w:szCs w:val="24"/>
        </w:rPr>
        <w:t>(Központi Statisztikai Hivatal, 2018; Monostori &amp; Murinkó, 2015)</w:t>
      </w:r>
      <w:r w:rsidRPr="001C713C">
        <w:rPr>
          <w:rFonts w:cstheme="minorHAnsi"/>
          <w:sz w:val="24"/>
          <w:szCs w:val="24"/>
        </w:rPr>
        <w:fldChar w:fldCharType="end"/>
      </w:r>
      <w:r w:rsidRPr="001C713C">
        <w:rPr>
          <w:rFonts w:cstheme="minorHAnsi"/>
          <w:sz w:val="24"/>
          <w:szCs w:val="24"/>
        </w:rPr>
        <w:t xml:space="preserve">. </w:t>
      </w:r>
    </w:p>
    <w:p w14:paraId="56D8F638" w14:textId="0BEE7D2F" w:rsidR="00A8787C" w:rsidRPr="001C713C" w:rsidRDefault="00E175A1" w:rsidP="006E2B80">
      <w:pPr>
        <w:spacing w:line="360" w:lineRule="auto"/>
        <w:ind w:firstLine="397"/>
        <w:jc w:val="both"/>
        <w:rPr>
          <w:rFonts w:cstheme="minorHAnsi"/>
          <w:sz w:val="24"/>
          <w:szCs w:val="24"/>
        </w:rPr>
      </w:pPr>
      <w:r w:rsidRPr="001C713C">
        <w:rPr>
          <w:rFonts w:cstheme="minorHAnsi"/>
          <w:sz w:val="24"/>
          <w:szCs w:val="24"/>
        </w:rPr>
        <w:t>In 2016</w:t>
      </w:r>
      <w:r w:rsidR="000C44CF" w:rsidRPr="001C713C">
        <w:rPr>
          <w:rFonts w:cstheme="minorHAnsi"/>
          <w:sz w:val="24"/>
          <w:szCs w:val="24"/>
        </w:rPr>
        <w:t>,</w:t>
      </w:r>
      <w:r w:rsidRPr="001C713C">
        <w:rPr>
          <w:rFonts w:cstheme="minorHAnsi"/>
          <w:sz w:val="24"/>
          <w:szCs w:val="24"/>
        </w:rPr>
        <w:t xml:space="preserve"> the number of families with two</w:t>
      </w:r>
      <w:r w:rsidR="00CB7D14" w:rsidRPr="001C713C">
        <w:rPr>
          <w:rFonts w:cstheme="minorHAnsi"/>
          <w:sz w:val="24"/>
          <w:szCs w:val="24"/>
        </w:rPr>
        <w:t xml:space="preserve"> </w:t>
      </w:r>
      <w:r w:rsidRPr="001C713C">
        <w:rPr>
          <w:rFonts w:cstheme="minorHAnsi"/>
          <w:sz w:val="24"/>
          <w:szCs w:val="24"/>
        </w:rPr>
        <w:t>married parents ha</w:t>
      </w:r>
      <w:r w:rsidR="00CB7D14" w:rsidRPr="001C713C">
        <w:rPr>
          <w:rFonts w:cstheme="minorHAnsi"/>
          <w:sz w:val="24"/>
          <w:szCs w:val="24"/>
        </w:rPr>
        <w:t>s</w:t>
      </w:r>
      <w:r w:rsidRPr="001C713C">
        <w:rPr>
          <w:rFonts w:cstheme="minorHAnsi"/>
          <w:sz w:val="24"/>
          <w:szCs w:val="24"/>
        </w:rPr>
        <w:t xml:space="preserve"> been 1.757 million which accounts for 64% of the whole family population, while the number of single-parent families ha</w:t>
      </w:r>
      <w:r w:rsidR="00CB7D14" w:rsidRPr="001C713C">
        <w:rPr>
          <w:rFonts w:cstheme="minorHAnsi"/>
          <w:sz w:val="24"/>
          <w:szCs w:val="24"/>
        </w:rPr>
        <w:t>s</w:t>
      </w:r>
      <w:r w:rsidRPr="001C713C">
        <w:rPr>
          <w:rFonts w:cstheme="minorHAnsi"/>
          <w:sz w:val="24"/>
          <w:szCs w:val="24"/>
        </w:rPr>
        <w:t xml:space="preserve"> stopped increasing in 2011 and</w:t>
      </w:r>
      <w:r w:rsidR="006056E2" w:rsidRPr="001C713C">
        <w:rPr>
          <w:rFonts w:cstheme="minorHAnsi"/>
          <w:sz w:val="24"/>
          <w:szCs w:val="24"/>
        </w:rPr>
        <w:t xml:space="preserve"> then</w:t>
      </w:r>
      <w:r w:rsidRPr="001C713C">
        <w:rPr>
          <w:rFonts w:cstheme="minorHAnsi"/>
          <w:sz w:val="24"/>
          <w:szCs w:val="24"/>
        </w:rPr>
        <w:t xml:space="preserve"> increased by 34 </w:t>
      </w:r>
      <w:r w:rsidR="006056E2" w:rsidRPr="001C713C">
        <w:rPr>
          <w:rFonts w:cstheme="minorHAnsi"/>
          <w:sz w:val="24"/>
          <w:szCs w:val="24"/>
        </w:rPr>
        <w:t>t</w:t>
      </w:r>
      <w:r w:rsidRPr="001C713C">
        <w:rPr>
          <w:rFonts w:cstheme="minorHAnsi"/>
          <w:sz w:val="24"/>
          <w:szCs w:val="24"/>
        </w:rPr>
        <w:t>housand throughout the five years until 503 thousand families. Within the groups of families with children, 56% of the families were based on marriage, and 30% of them were single</w:t>
      </w:r>
      <w:r w:rsidR="00CB7D14" w:rsidRPr="001C713C">
        <w:rPr>
          <w:rFonts w:cstheme="minorHAnsi"/>
          <w:sz w:val="24"/>
          <w:szCs w:val="24"/>
        </w:rPr>
        <w:t xml:space="preserve"> </w:t>
      </w:r>
      <w:r w:rsidRPr="001C713C">
        <w:rPr>
          <w:rFonts w:cstheme="minorHAnsi"/>
          <w:sz w:val="24"/>
          <w:szCs w:val="24"/>
        </w:rPr>
        <w:t>mother or father families</w:t>
      </w:r>
      <w:r w:rsidR="00A8787C" w:rsidRPr="001C713C">
        <w:rPr>
          <w:rFonts w:cstheme="minorHAnsi"/>
          <w:sz w:val="24"/>
          <w:szCs w:val="24"/>
        </w:rPr>
        <w:t xml:space="preserve">. Such </w:t>
      </w:r>
      <w:r w:rsidR="00F97E09">
        <w:rPr>
          <w:rFonts w:cstheme="minorHAnsi"/>
          <w:sz w:val="24"/>
          <w:szCs w:val="24"/>
        </w:rPr>
        <w:t xml:space="preserve">an </w:t>
      </w:r>
      <w:r w:rsidR="00A8787C" w:rsidRPr="001C713C">
        <w:rPr>
          <w:rFonts w:cstheme="minorHAnsi"/>
          <w:sz w:val="24"/>
          <w:szCs w:val="24"/>
        </w:rPr>
        <w:t>increase was due to the high number of divorces, the instability of cohabiting unions, and the postponement of adolescents moving out of the parental home.</w:t>
      </w:r>
      <w:r w:rsidRPr="001C713C">
        <w:rPr>
          <w:rFonts w:cstheme="minorHAnsi"/>
          <w:sz w:val="24"/>
          <w:szCs w:val="24"/>
        </w:rPr>
        <w:t xml:space="preserve"> </w:t>
      </w:r>
      <w:r w:rsidR="00404CD5" w:rsidRPr="001C713C">
        <w:rPr>
          <w:rFonts w:cstheme="minorHAnsi"/>
          <w:sz w:val="24"/>
          <w:szCs w:val="24"/>
        </w:rPr>
        <w:t xml:space="preserve">Only in every seventh single-parent family, the father was living with their children. In 2016, 35% of the families were consisting of married couples with children. Such a ratio has been decreasing since 2001, as it was 45% and 38% in 2011. </w:t>
      </w:r>
      <w:r w:rsidRPr="001C713C">
        <w:rPr>
          <w:rFonts w:cstheme="minorHAnsi"/>
          <w:sz w:val="24"/>
          <w:szCs w:val="24"/>
        </w:rPr>
        <w:fldChar w:fldCharType="begin" w:fldLock="1"/>
      </w:r>
      <w:r w:rsidR="00CF1F21" w:rsidRPr="001C713C">
        <w:rPr>
          <w:rFonts w:cstheme="minorHAnsi"/>
          <w:sz w:val="24"/>
          <w:szCs w:val="24"/>
        </w:rPr>
        <w:instrText>ADDIN CSL_CITATION {"citationItems":[{"id":"ITEM-1","itemData":{"author":[{"dropping-particle":"","family":"Központi Statisztikai Hivatal","given":"","non-dropping-particle":"","parse-names":false,"suffix":""}],"container-title":"Statisztikai tükör","id":"ITEM-1","issued":{"date-parts":[["2019"]]},"title":"A válás demográfiai jellemzői","type":"article-journal"},"uris":["http://www.mendeley.com/documents/?uuid=ee165c2e-e2c9-4341-a3bd-6ad16cdeb282"]},{"id":"ITEM-2","itemData":{"author":[{"dropping-particle":"","family":"Judit","given":"Monostori","non-dropping-particle":"","parse-names":false,"suffix":""},{"dropping-particle":"","family":"Lívia","given":"Murinkó","non-dropping-particle":"","parse-names":false,"suffix":""}],"id":"ITEM-2","issued":{"date-parts":[["2015"]]},"page":"153-170","title":"Család- és háztartásszerkezet","type":"article-journal"},"uris":["http://www.mendeley.com/documents/?uuid=2172ce04-eba6-494a-b708-f7904df5b36a"]},{"id":"ITEM-3","itemData":{"ISBN":"9789632354941","author":[{"dropping-particle":"","family":"Központi Statisztikai Hivatal","given":"","non-dropping-particle":"","parse-names":false,"suffix":""}],"id":"ITEM-3","issued":{"date-parts":[["2018"]]},"title":"6. A háztartások és a családok adatai","type":"book"},"uris":["http://www.mendeley.com/documents/?uuid=7a94f6b3-1c02-4240-b33f-24357d668b73"]}],"mendeley":{"formattedCitation":"(Judit &amp; Lívia, 2015; Központi Statisztikai Hivatal, 2018, 2019)","plainTextFormattedCitation":"(Judit &amp; Lívia, 2015; Központi Statisztikai Hivatal, 2018, 2019)","previouslyFormattedCitation":"(Judit &amp; Lívia, 2015; Központi Statisztikai Hivatal, 2018, 2019)"},"properties":{"noteIndex":0},"schema":"https://github.com/citation-style-language/schema/raw/master/csl-citation.json"}</w:instrText>
      </w:r>
      <w:r w:rsidRPr="001C713C">
        <w:rPr>
          <w:rFonts w:cstheme="minorHAnsi"/>
          <w:sz w:val="24"/>
          <w:szCs w:val="24"/>
        </w:rPr>
        <w:fldChar w:fldCharType="separate"/>
      </w:r>
      <w:r w:rsidR="00404CD5" w:rsidRPr="001C713C">
        <w:rPr>
          <w:rFonts w:cstheme="minorHAnsi"/>
          <w:noProof/>
          <w:sz w:val="24"/>
          <w:szCs w:val="24"/>
        </w:rPr>
        <w:t>(Judit &amp; Lívia, 2015; Központi Statisztikai Hivatal, 2018, 2019)</w:t>
      </w:r>
      <w:r w:rsidRPr="001C713C">
        <w:rPr>
          <w:rFonts w:cstheme="minorHAnsi"/>
          <w:sz w:val="24"/>
          <w:szCs w:val="24"/>
        </w:rPr>
        <w:fldChar w:fldCharType="end"/>
      </w:r>
      <w:r w:rsidRPr="001C713C">
        <w:rPr>
          <w:rFonts w:cstheme="minorHAnsi"/>
          <w:sz w:val="24"/>
          <w:szCs w:val="24"/>
        </w:rPr>
        <w:t xml:space="preserve">. </w:t>
      </w:r>
    </w:p>
    <w:p w14:paraId="5D737AA0" w14:textId="04CBE166" w:rsidR="00835641" w:rsidRPr="001C713C" w:rsidRDefault="00963B59" w:rsidP="006E2B80">
      <w:pPr>
        <w:spacing w:line="360" w:lineRule="auto"/>
        <w:ind w:firstLine="397"/>
        <w:jc w:val="both"/>
        <w:rPr>
          <w:rFonts w:cstheme="minorHAnsi"/>
          <w:sz w:val="24"/>
          <w:szCs w:val="24"/>
        </w:rPr>
      </w:pPr>
      <w:r w:rsidRPr="001C713C">
        <w:rPr>
          <w:rFonts w:cstheme="minorHAnsi"/>
          <w:sz w:val="24"/>
          <w:szCs w:val="24"/>
        </w:rPr>
        <w:lastRenderedPageBreak/>
        <w:t>As in the prior surveys, the territorial characteristics of the family structure remained intact</w:t>
      </w:r>
      <w:r w:rsidR="000C44CF" w:rsidRPr="001C713C">
        <w:rPr>
          <w:rFonts w:cstheme="minorHAnsi"/>
          <w:sz w:val="24"/>
          <w:szCs w:val="24"/>
        </w:rPr>
        <w:t xml:space="preserve"> throughout the years</w:t>
      </w:r>
      <w:r w:rsidRPr="001C713C">
        <w:rPr>
          <w:rFonts w:cstheme="minorHAnsi"/>
          <w:sz w:val="24"/>
          <w:szCs w:val="24"/>
        </w:rPr>
        <w:t xml:space="preserve"> as the ratio of single-parent families was the highest in Budapest, accounting for 20% of the families. If we observe the ratio for each settlement status, we can notice that the weaker the </w:t>
      </w:r>
      <w:r w:rsidR="000C44CF" w:rsidRPr="001C713C">
        <w:rPr>
          <w:rFonts w:cstheme="minorHAnsi"/>
          <w:sz w:val="24"/>
          <w:szCs w:val="24"/>
        </w:rPr>
        <w:t xml:space="preserve">territorial </w:t>
      </w:r>
      <w:r w:rsidRPr="001C713C">
        <w:rPr>
          <w:rFonts w:cstheme="minorHAnsi"/>
          <w:sz w:val="24"/>
          <w:szCs w:val="24"/>
        </w:rPr>
        <w:t>status, the smaller the share of single-parent families</w:t>
      </w:r>
      <w:r w:rsidR="00A8787C" w:rsidRPr="001C713C">
        <w:rPr>
          <w:rFonts w:cstheme="minorHAnsi"/>
          <w:sz w:val="24"/>
          <w:szCs w:val="24"/>
        </w:rPr>
        <w:t>.</w:t>
      </w:r>
      <w:r w:rsidRPr="001C713C">
        <w:rPr>
          <w:rFonts w:cstheme="minorHAnsi"/>
          <w:sz w:val="24"/>
          <w:szCs w:val="24"/>
        </w:rPr>
        <w:t xml:space="preserve"> </w:t>
      </w:r>
      <w:r w:rsidRPr="001C713C">
        <w:rPr>
          <w:rFonts w:cstheme="minorHAnsi"/>
          <w:sz w:val="24"/>
          <w:szCs w:val="24"/>
        </w:rPr>
        <w:fldChar w:fldCharType="begin" w:fldLock="1"/>
      </w:r>
      <w:r w:rsidRPr="001C713C">
        <w:rPr>
          <w:rFonts w:cstheme="minorHAnsi"/>
          <w:sz w:val="24"/>
          <w:szCs w:val="24"/>
        </w:rPr>
        <w:instrText>ADDIN CSL_CITATION {"citationItems":[{"id":"ITEM-1","itemData":{"ISBN":"9789632354941","author":[{"dropping-particle":"","family":"Központi Statisztikai Hivatal","given":"","non-dropping-particle":"","parse-names":false,"suffix":""}],"id":"ITEM-1","issued":{"date-parts":[["2018"]]},"title":"6. A háztartások és a családok adatai","type":"book"},"uris":["http://www.mendeley.com/documents/?uuid=7a94f6b3-1c02-4240-b33f-24357d668b73"]}],"mendeley":{"formattedCitation":"(Központi Statisztikai Hivatal, 2018)","plainTextFormattedCitation":"(Központi Statisztikai Hivatal, 2018)","previouslyFormattedCitation":"(Központi Statisztikai Hivatal, 2018)"},"properties":{"noteIndex":0},"schema":"https://github.com/citation-style-language/schema/raw/master/csl-citation.json"}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(Központi Statisztikai Hivatal, 2018)</w:t>
      </w:r>
      <w:r w:rsidRPr="001C713C">
        <w:rPr>
          <w:rFonts w:cstheme="minorHAnsi"/>
          <w:sz w:val="24"/>
          <w:szCs w:val="24"/>
        </w:rPr>
        <w:fldChar w:fldCharType="end"/>
      </w:r>
      <w:r w:rsidRPr="001C713C">
        <w:rPr>
          <w:rFonts w:cstheme="minorHAnsi"/>
          <w:sz w:val="24"/>
          <w:szCs w:val="24"/>
        </w:rPr>
        <w:t>.</w:t>
      </w:r>
    </w:p>
    <w:p w14:paraId="44C01963" w14:textId="1B31056B" w:rsidR="00E175A1" w:rsidRPr="001C713C" w:rsidRDefault="00A50689" w:rsidP="006E2B80">
      <w:pPr>
        <w:pStyle w:val="Heading3"/>
        <w:rPr>
          <w:rFonts w:asciiTheme="minorHAnsi" w:hAnsiTheme="minorHAnsi" w:cstheme="minorHAnsi"/>
        </w:rPr>
      </w:pPr>
      <w:bookmarkStart w:id="6" w:name="_Toc64591248"/>
      <w:r w:rsidRPr="001C713C">
        <w:rPr>
          <w:rFonts w:asciiTheme="minorHAnsi" w:hAnsiTheme="minorHAnsi" w:cstheme="minorHAnsi"/>
        </w:rPr>
        <w:t>1.</w:t>
      </w:r>
      <w:r w:rsidR="008475EE">
        <w:rPr>
          <w:rFonts w:asciiTheme="minorHAnsi" w:hAnsiTheme="minorHAnsi" w:cstheme="minorHAnsi"/>
        </w:rPr>
        <w:t>2</w:t>
      </w:r>
      <w:r w:rsidRPr="001C713C">
        <w:rPr>
          <w:rFonts w:asciiTheme="minorHAnsi" w:hAnsiTheme="minorHAnsi" w:cstheme="minorHAnsi"/>
        </w:rPr>
        <w:t>.</w:t>
      </w:r>
      <w:r w:rsidR="008475EE">
        <w:rPr>
          <w:rFonts w:asciiTheme="minorHAnsi" w:hAnsiTheme="minorHAnsi" w:cstheme="minorHAnsi"/>
        </w:rPr>
        <w:t>4</w:t>
      </w:r>
      <w:r w:rsidRPr="001C713C">
        <w:rPr>
          <w:rFonts w:asciiTheme="minorHAnsi" w:hAnsiTheme="minorHAnsi" w:cstheme="minorHAnsi"/>
        </w:rPr>
        <w:t xml:space="preserve">. </w:t>
      </w:r>
      <w:r w:rsidR="00E175A1" w:rsidRPr="001C713C">
        <w:rPr>
          <w:rFonts w:asciiTheme="minorHAnsi" w:hAnsiTheme="minorHAnsi" w:cstheme="minorHAnsi"/>
        </w:rPr>
        <w:t>Remarr</w:t>
      </w:r>
      <w:r w:rsidR="00A11A77" w:rsidRPr="001C713C">
        <w:rPr>
          <w:rFonts w:asciiTheme="minorHAnsi" w:hAnsiTheme="minorHAnsi" w:cstheme="minorHAnsi"/>
        </w:rPr>
        <w:t>iage</w:t>
      </w:r>
      <w:bookmarkEnd w:id="6"/>
    </w:p>
    <w:p w14:paraId="3CD9C9F6" w14:textId="3258EA98" w:rsidR="00C13713" w:rsidRPr="001C713C" w:rsidRDefault="00AF35B9" w:rsidP="006E2B80">
      <w:pPr>
        <w:spacing w:line="360" w:lineRule="auto"/>
        <w:ind w:firstLine="397"/>
        <w:jc w:val="both"/>
        <w:rPr>
          <w:rFonts w:cstheme="minorHAnsi"/>
          <w:sz w:val="24"/>
          <w:szCs w:val="24"/>
        </w:rPr>
      </w:pPr>
      <w:r w:rsidRPr="001C713C">
        <w:rPr>
          <w:rFonts w:cstheme="minorHAnsi"/>
          <w:sz w:val="24"/>
          <w:szCs w:val="24"/>
        </w:rPr>
        <w:t xml:space="preserve">Between 1990 and 2017, </w:t>
      </w:r>
      <w:r w:rsidR="00CB7D14" w:rsidRPr="001C713C">
        <w:rPr>
          <w:rFonts w:cstheme="minorHAnsi"/>
          <w:sz w:val="24"/>
          <w:szCs w:val="24"/>
        </w:rPr>
        <w:t xml:space="preserve">in </w:t>
      </w:r>
      <w:proofErr w:type="gramStart"/>
      <w:r w:rsidRPr="001C713C">
        <w:rPr>
          <w:rFonts w:cstheme="minorHAnsi"/>
          <w:sz w:val="24"/>
          <w:szCs w:val="24"/>
        </w:rPr>
        <w:t>the vast majority of</w:t>
      </w:r>
      <w:proofErr w:type="gramEnd"/>
      <w:r w:rsidRPr="001C713C">
        <w:rPr>
          <w:rFonts w:cstheme="minorHAnsi"/>
          <w:sz w:val="24"/>
          <w:szCs w:val="24"/>
        </w:rPr>
        <w:t xml:space="preserve"> divorces (84%)</w:t>
      </w:r>
      <w:r w:rsidR="00A8787C" w:rsidRPr="001C713C">
        <w:rPr>
          <w:rFonts w:cstheme="minorHAnsi"/>
          <w:sz w:val="24"/>
          <w:szCs w:val="24"/>
        </w:rPr>
        <w:t>,</w:t>
      </w:r>
      <w:r w:rsidRPr="001C713C">
        <w:rPr>
          <w:rFonts w:cstheme="minorHAnsi"/>
          <w:sz w:val="24"/>
          <w:szCs w:val="24"/>
        </w:rPr>
        <w:t xml:space="preserve"> the parties divorced their first marriage, </w:t>
      </w:r>
      <w:r w:rsidR="00A966F9" w:rsidRPr="001C713C">
        <w:rPr>
          <w:rFonts w:cstheme="minorHAnsi"/>
          <w:sz w:val="24"/>
          <w:szCs w:val="24"/>
        </w:rPr>
        <w:t>i.e.,</w:t>
      </w:r>
      <w:r w:rsidRPr="001C713C">
        <w:rPr>
          <w:rFonts w:cstheme="minorHAnsi"/>
          <w:sz w:val="24"/>
          <w:szCs w:val="24"/>
        </w:rPr>
        <w:t xml:space="preserve"> they were single or unmarried before they got married. However, the proportion of unmarried men is lower each year than that of unmarried women. This is explained by the </w:t>
      </w:r>
      <w:r w:rsidR="007A75A3" w:rsidRPr="001C713C">
        <w:rPr>
          <w:rFonts w:cstheme="minorHAnsi"/>
          <w:sz w:val="24"/>
          <w:szCs w:val="24"/>
        </w:rPr>
        <w:t>share</w:t>
      </w:r>
      <w:r w:rsidRPr="001C713C">
        <w:rPr>
          <w:rFonts w:cstheme="minorHAnsi"/>
          <w:sz w:val="24"/>
          <w:szCs w:val="24"/>
        </w:rPr>
        <w:t xml:space="preserve"> of previously divorced marital status</w:t>
      </w:r>
      <w:r w:rsidR="007A75A3" w:rsidRPr="001C713C">
        <w:rPr>
          <w:rFonts w:cstheme="minorHAnsi"/>
          <w:sz w:val="24"/>
          <w:szCs w:val="24"/>
        </w:rPr>
        <w:t xml:space="preserve"> as they</w:t>
      </w:r>
      <w:r w:rsidRPr="001C713C">
        <w:rPr>
          <w:rFonts w:cstheme="minorHAnsi"/>
          <w:sz w:val="24"/>
          <w:szCs w:val="24"/>
        </w:rPr>
        <w:t xml:space="preserve"> remarried and divorced again. </w:t>
      </w:r>
      <w:r w:rsidR="00A8787C" w:rsidRPr="001C713C">
        <w:rPr>
          <w:rFonts w:cstheme="minorHAnsi"/>
          <w:sz w:val="24"/>
          <w:szCs w:val="24"/>
        </w:rPr>
        <w:t xml:space="preserve">Figuratively speaking, </w:t>
      </w:r>
      <w:r w:rsidRPr="001C713C">
        <w:rPr>
          <w:rFonts w:cstheme="minorHAnsi"/>
          <w:sz w:val="24"/>
          <w:szCs w:val="24"/>
        </w:rPr>
        <w:t>14 to 17%</w:t>
      </w:r>
      <w:r w:rsidR="007A75A3" w:rsidRPr="001C713C">
        <w:rPr>
          <w:rFonts w:cstheme="minorHAnsi"/>
          <w:sz w:val="24"/>
          <w:szCs w:val="24"/>
        </w:rPr>
        <w:t xml:space="preserve"> of the women and</w:t>
      </w:r>
      <w:r w:rsidRPr="001C713C">
        <w:rPr>
          <w:rFonts w:cstheme="minorHAnsi"/>
          <w:sz w:val="24"/>
          <w:szCs w:val="24"/>
        </w:rPr>
        <w:t xml:space="preserve"> 15 to 18% </w:t>
      </w:r>
      <w:r w:rsidR="007A75A3" w:rsidRPr="001C713C">
        <w:rPr>
          <w:rFonts w:cstheme="minorHAnsi"/>
          <w:sz w:val="24"/>
          <w:szCs w:val="24"/>
        </w:rPr>
        <w:t xml:space="preserve">of </w:t>
      </w:r>
      <w:r w:rsidRPr="001C713C">
        <w:rPr>
          <w:rFonts w:cstheme="minorHAnsi"/>
          <w:sz w:val="24"/>
          <w:szCs w:val="24"/>
        </w:rPr>
        <w:t xml:space="preserve">men </w:t>
      </w:r>
      <w:r w:rsidR="007A75A3" w:rsidRPr="001C713C">
        <w:rPr>
          <w:rFonts w:cstheme="minorHAnsi"/>
          <w:sz w:val="24"/>
          <w:szCs w:val="24"/>
        </w:rPr>
        <w:t xml:space="preserve">were divorced previously </w:t>
      </w:r>
      <w:r w:rsidRPr="001C713C">
        <w:rPr>
          <w:rFonts w:cstheme="minorHAnsi"/>
          <w:sz w:val="24"/>
          <w:szCs w:val="24"/>
        </w:rPr>
        <w:t xml:space="preserve">in the years studied. </w:t>
      </w:r>
      <w:r w:rsidR="00A8787C" w:rsidRPr="001C713C">
        <w:rPr>
          <w:rFonts w:cstheme="minorHAnsi"/>
          <w:sz w:val="24"/>
          <w:szCs w:val="24"/>
        </w:rPr>
        <w:t>Such ratio has</w:t>
      </w:r>
      <w:r w:rsidRPr="001C713C">
        <w:rPr>
          <w:rFonts w:cstheme="minorHAnsi"/>
          <w:sz w:val="24"/>
          <w:szCs w:val="24"/>
        </w:rPr>
        <w:t xml:space="preserve"> decreased compared to 1990, but since the turn of the millennium, the </w:t>
      </w:r>
      <w:r w:rsidR="0028703A" w:rsidRPr="001C713C">
        <w:rPr>
          <w:rFonts w:cstheme="minorHAnsi"/>
          <w:sz w:val="24"/>
          <w:szCs w:val="24"/>
        </w:rPr>
        <w:t>share</w:t>
      </w:r>
      <w:r w:rsidRPr="001C713C">
        <w:rPr>
          <w:rFonts w:cstheme="minorHAnsi"/>
          <w:sz w:val="24"/>
          <w:szCs w:val="24"/>
        </w:rPr>
        <w:t xml:space="preserve"> of divorces </w:t>
      </w:r>
      <w:r w:rsidR="007A75A3" w:rsidRPr="001C713C">
        <w:rPr>
          <w:rFonts w:cstheme="minorHAnsi"/>
          <w:sz w:val="24"/>
          <w:szCs w:val="24"/>
        </w:rPr>
        <w:t>where one of the part</w:t>
      </w:r>
      <w:r w:rsidR="00CB7D14" w:rsidRPr="001C713C">
        <w:rPr>
          <w:rFonts w:cstheme="minorHAnsi"/>
          <w:sz w:val="24"/>
          <w:szCs w:val="24"/>
        </w:rPr>
        <w:t>ies</w:t>
      </w:r>
      <w:r w:rsidR="007A75A3" w:rsidRPr="001C713C">
        <w:rPr>
          <w:rFonts w:cstheme="minorHAnsi"/>
          <w:sz w:val="24"/>
          <w:szCs w:val="24"/>
        </w:rPr>
        <w:t xml:space="preserve"> has already divorced once </w:t>
      </w:r>
      <w:r w:rsidRPr="001C713C">
        <w:rPr>
          <w:rFonts w:cstheme="minorHAnsi"/>
          <w:sz w:val="24"/>
          <w:szCs w:val="24"/>
        </w:rPr>
        <w:t xml:space="preserve">has increased in 2017. Among men, these rates were higher than for women in each of the years studied, so it can be </w:t>
      </w:r>
      <w:r w:rsidR="006A5F28" w:rsidRPr="001C713C">
        <w:rPr>
          <w:rFonts w:cstheme="minorHAnsi"/>
          <w:sz w:val="24"/>
          <w:szCs w:val="24"/>
        </w:rPr>
        <w:t>concluded</w:t>
      </w:r>
      <w:r w:rsidRPr="001C713C">
        <w:rPr>
          <w:rFonts w:cstheme="minorHAnsi"/>
          <w:sz w:val="24"/>
          <w:szCs w:val="24"/>
        </w:rPr>
        <w:t xml:space="preserve"> that men remarry more often,</w:t>
      </w:r>
      <w:r w:rsidR="007A75A3" w:rsidRPr="001C713C">
        <w:rPr>
          <w:rFonts w:cstheme="minorHAnsi"/>
          <w:sz w:val="24"/>
          <w:szCs w:val="24"/>
        </w:rPr>
        <w:t xml:space="preserve"> but also </w:t>
      </w:r>
      <w:r w:rsidRPr="001C713C">
        <w:rPr>
          <w:rFonts w:cstheme="minorHAnsi"/>
          <w:sz w:val="24"/>
          <w:szCs w:val="24"/>
        </w:rPr>
        <w:t>divorce more times than women</w:t>
      </w:r>
      <w:r w:rsidR="007A75A3" w:rsidRPr="001C713C">
        <w:rPr>
          <w:rFonts w:cstheme="minorHAnsi"/>
          <w:sz w:val="24"/>
          <w:szCs w:val="24"/>
        </w:rPr>
        <w:t xml:space="preserve">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{"citationItems":[{"id":"ITEM-1","itemData":{"author":[{"dropping-particle":"","family":"Központi Statisztikai Hivatal","given":"","non-dropping-particle":"","parse-names":false,"suffix":""}],"container-title":"Statisztikai tükör","id":"ITEM-1","issued":{"date-parts":[["2019"]]},"title":"A válás demográfiai jellemzői","type":"article-journal"},"uris":["http://www.mendeley.com/documents/?uuid=ee165c2e-e2c9-4341-a3bd-6ad16cdeb282"]}],"mendeley":{"formattedCitation":"(Központi Statisztikai Hivatal, 2019)","plainTextFormattedCitation":"(Központi Statisztikai Hivatal, 2019)","previouslyFormattedCitation":"(Központi Statisztikai Hivatal, 2019)"},"properties":{"noteIndex":0},"schema":"https://github.com/citation-style-language/schema/raw/master/csl-citation.json"}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(Központi Statisztikai Hivatal, 2019)</w:t>
      </w:r>
      <w:r w:rsidRPr="001C713C">
        <w:rPr>
          <w:rFonts w:cstheme="minorHAnsi"/>
          <w:sz w:val="24"/>
          <w:szCs w:val="24"/>
        </w:rPr>
        <w:fldChar w:fldCharType="end"/>
      </w:r>
      <w:r w:rsidRPr="001C713C">
        <w:rPr>
          <w:rFonts w:cstheme="minorHAnsi"/>
          <w:sz w:val="24"/>
          <w:szCs w:val="24"/>
        </w:rPr>
        <w:t>.</w:t>
      </w:r>
    </w:p>
    <w:p w14:paraId="4E86C5AB" w14:textId="65593B62" w:rsidR="00B65A0C" w:rsidRPr="001C713C" w:rsidRDefault="001C713C" w:rsidP="006E2B80">
      <w:pPr>
        <w:pStyle w:val="Heading1"/>
      </w:pPr>
      <w:bookmarkStart w:id="7" w:name="_Toc64591249"/>
      <w:r>
        <w:t xml:space="preserve">Chapter 2. </w:t>
      </w:r>
      <w:r w:rsidR="001616BA">
        <w:t xml:space="preserve">- </w:t>
      </w:r>
      <w:r w:rsidR="00A27D71" w:rsidRPr="001C713C">
        <w:t xml:space="preserve">Literature </w:t>
      </w:r>
      <w:r w:rsidR="001616BA">
        <w:t>R</w:t>
      </w:r>
      <w:r w:rsidR="00A27D71" w:rsidRPr="001C713C">
        <w:t>eview</w:t>
      </w:r>
      <w:bookmarkEnd w:id="7"/>
    </w:p>
    <w:p w14:paraId="0B8EF524" w14:textId="6D25E1E8" w:rsidR="00DF50D4" w:rsidRPr="001C713C" w:rsidRDefault="00595329" w:rsidP="005944F8">
      <w:pPr>
        <w:pStyle w:val="Heading2"/>
      </w:pPr>
      <w:bookmarkStart w:id="8" w:name="_Toc64591250"/>
      <w:r>
        <w:t>2.1.</w:t>
      </w:r>
      <w:r w:rsidR="00B7204D" w:rsidRPr="001C713C">
        <w:t xml:space="preserve"> </w:t>
      </w:r>
      <w:r w:rsidR="00F65CE3" w:rsidRPr="001C713C">
        <w:t>Independent Variables</w:t>
      </w:r>
      <w:bookmarkEnd w:id="8"/>
    </w:p>
    <w:p w14:paraId="00A951DB" w14:textId="6F9D19E5" w:rsidR="00D95B57" w:rsidRPr="001C713C" w:rsidRDefault="00595329" w:rsidP="006E2B80">
      <w:pPr>
        <w:pStyle w:val="Heading3"/>
        <w:rPr>
          <w:rFonts w:asciiTheme="minorHAnsi" w:hAnsiTheme="minorHAnsi" w:cstheme="minorHAnsi"/>
        </w:rPr>
      </w:pPr>
      <w:bookmarkStart w:id="9" w:name="_Toc64591251"/>
      <w:r>
        <w:rPr>
          <w:rFonts w:asciiTheme="minorHAnsi" w:hAnsiTheme="minorHAnsi" w:cstheme="minorHAnsi"/>
        </w:rPr>
        <w:t>2.1.1.</w:t>
      </w:r>
      <w:r w:rsidR="00D95B57" w:rsidRPr="001C713C">
        <w:rPr>
          <w:rFonts w:asciiTheme="minorHAnsi" w:hAnsiTheme="minorHAnsi" w:cstheme="minorHAnsi"/>
        </w:rPr>
        <w:t xml:space="preserve"> </w:t>
      </w:r>
      <w:r w:rsidR="00C221F3" w:rsidRPr="001C713C">
        <w:rPr>
          <w:rFonts w:asciiTheme="minorHAnsi" w:hAnsiTheme="minorHAnsi" w:cstheme="minorHAnsi"/>
        </w:rPr>
        <w:t>Single-Parent Families</w:t>
      </w:r>
      <w:bookmarkEnd w:id="9"/>
    </w:p>
    <w:p w14:paraId="7AB5FE8B" w14:textId="37C48FB1" w:rsidR="00D95B57" w:rsidRPr="001C713C" w:rsidRDefault="00D95B57" w:rsidP="006E2B80">
      <w:pPr>
        <w:spacing w:line="360" w:lineRule="auto"/>
        <w:ind w:firstLine="397"/>
        <w:jc w:val="both"/>
        <w:rPr>
          <w:rFonts w:cstheme="minorHAnsi"/>
          <w:sz w:val="24"/>
          <w:szCs w:val="24"/>
        </w:rPr>
      </w:pPr>
      <w:r w:rsidRPr="001C713C">
        <w:rPr>
          <w:rFonts w:cstheme="minorHAnsi"/>
          <w:sz w:val="24"/>
          <w:szCs w:val="24"/>
        </w:rPr>
        <w:t xml:space="preserve">Numerous prior and ongoing studies have shown that there </w:t>
      </w:r>
      <w:r w:rsidR="00604CF6" w:rsidRPr="001C713C">
        <w:rPr>
          <w:rFonts w:cstheme="minorHAnsi"/>
          <w:sz w:val="24"/>
          <w:szCs w:val="24"/>
        </w:rPr>
        <w:t>exists</w:t>
      </w:r>
      <w:r w:rsidRPr="001C713C">
        <w:rPr>
          <w:rFonts w:cstheme="minorHAnsi"/>
          <w:sz w:val="24"/>
          <w:szCs w:val="24"/>
        </w:rPr>
        <w:t xml:space="preserve"> a recognizable relationship between </w:t>
      </w:r>
      <w:r w:rsidR="001402AC" w:rsidRPr="001C713C">
        <w:rPr>
          <w:rFonts w:cstheme="minorHAnsi"/>
          <w:sz w:val="24"/>
          <w:szCs w:val="24"/>
        </w:rPr>
        <w:t xml:space="preserve">parental separation </w:t>
      </w:r>
      <w:r w:rsidRPr="001C713C">
        <w:rPr>
          <w:rFonts w:cstheme="minorHAnsi"/>
          <w:sz w:val="24"/>
          <w:szCs w:val="24"/>
        </w:rPr>
        <w:t>and the children’s academic performance. Children of family disruption may face ongoing parental conflict</w:t>
      </w:r>
      <w:r w:rsidR="00604CF6" w:rsidRPr="001C713C">
        <w:rPr>
          <w:rFonts w:cstheme="minorHAnsi"/>
          <w:sz w:val="24"/>
          <w:szCs w:val="24"/>
        </w:rPr>
        <w:t xml:space="preserve"> beforehand</w:t>
      </w:r>
      <w:r w:rsidRPr="001C713C">
        <w:rPr>
          <w:rFonts w:cstheme="minorHAnsi"/>
          <w:sz w:val="24"/>
          <w:szCs w:val="24"/>
        </w:rPr>
        <w:t xml:space="preserve">, </w:t>
      </w:r>
      <w:r w:rsidR="00604CF6" w:rsidRPr="001C713C">
        <w:rPr>
          <w:rFonts w:cstheme="minorHAnsi"/>
          <w:sz w:val="24"/>
          <w:szCs w:val="24"/>
        </w:rPr>
        <w:t xml:space="preserve">and </w:t>
      </w:r>
      <w:r w:rsidRPr="001C713C">
        <w:rPr>
          <w:rFonts w:cstheme="minorHAnsi"/>
          <w:sz w:val="24"/>
          <w:szCs w:val="24"/>
        </w:rPr>
        <w:t xml:space="preserve">socioeconomic disadvantage, </w:t>
      </w:r>
      <w:r w:rsidR="00604CF6" w:rsidRPr="001C713C">
        <w:rPr>
          <w:rFonts w:cstheme="minorHAnsi"/>
          <w:sz w:val="24"/>
          <w:szCs w:val="24"/>
        </w:rPr>
        <w:t>as well as</w:t>
      </w:r>
      <w:r w:rsidRPr="001C713C">
        <w:rPr>
          <w:rFonts w:cstheme="minorHAnsi"/>
          <w:sz w:val="24"/>
          <w:szCs w:val="24"/>
        </w:rPr>
        <w:t xml:space="preserve"> other stressors </w:t>
      </w:r>
      <w:r w:rsidR="00604CF6" w:rsidRPr="001C713C">
        <w:rPr>
          <w:rFonts w:cstheme="minorHAnsi"/>
          <w:sz w:val="24"/>
          <w:szCs w:val="24"/>
        </w:rPr>
        <w:t>after</w:t>
      </w:r>
      <w:r w:rsidRPr="001C713C">
        <w:rPr>
          <w:rFonts w:cstheme="minorHAnsi"/>
          <w:sz w:val="24"/>
          <w:szCs w:val="24"/>
        </w:rPr>
        <w:t xml:space="preserve"> the breakdown of the biological family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{"citationItems":[{"id":"ITEM-1","itemData":{"author":[{"dropping-particle":"","family":"Shinoda","given":"Kevin Seiji","non-dropping-particle":"","parse-names":false,"suffix":""}],"id":"ITEM-1","issued":{"date-parts":[["2011"]]},"title":"Children of Divorce: The Impact on Classroom Behavior","type":"article-journal"},"uris":["http://www.mendeley.com/documents/?uuid=090ac6e3-7922-4432-976c-7987e8ba18f0"]}],"mendeley":{"formattedCitation":"(Shinoda, 2011)","plainTextFormattedCitation":"(Shinoda, 2011)","previouslyFormattedCitation":"(Shinoda, 2011)"},"properties":{"noteIndex":0},"schema":"https://github.com/citation-style-language/schema/raw/master/csl-citation.json"}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(Shinoda, 2011)</w:t>
      </w:r>
      <w:r w:rsidRPr="001C713C">
        <w:rPr>
          <w:rFonts w:cstheme="minorHAnsi"/>
          <w:sz w:val="24"/>
          <w:szCs w:val="24"/>
        </w:rPr>
        <w:fldChar w:fldCharType="end"/>
      </w:r>
      <w:r w:rsidRPr="001C713C">
        <w:rPr>
          <w:rFonts w:cstheme="minorHAnsi"/>
          <w:sz w:val="24"/>
          <w:szCs w:val="24"/>
        </w:rPr>
        <w:t>. These impacts altogether have reportedly affected not only the children’s performance at school but also their classroom behavior</w:t>
      </w:r>
      <w:r w:rsidR="000336ED" w:rsidRPr="001C713C">
        <w:rPr>
          <w:rFonts w:cstheme="minorHAnsi"/>
          <w:sz w:val="24"/>
          <w:szCs w:val="24"/>
        </w:rPr>
        <w:t xml:space="preserve"> and educational aspirations</w:t>
      </w:r>
      <w:r w:rsidRPr="001C713C">
        <w:rPr>
          <w:rFonts w:cstheme="minorHAnsi"/>
          <w:sz w:val="24"/>
          <w:szCs w:val="24"/>
        </w:rPr>
        <w:t>.</w:t>
      </w:r>
    </w:p>
    <w:p w14:paraId="15159A12" w14:textId="70EAF653" w:rsidR="001402AC" w:rsidRPr="001C713C" w:rsidRDefault="004936C8" w:rsidP="006E2B80">
      <w:pPr>
        <w:spacing w:line="360" w:lineRule="auto"/>
        <w:ind w:firstLine="397"/>
        <w:jc w:val="both"/>
        <w:rPr>
          <w:rFonts w:cstheme="minorHAnsi"/>
          <w:sz w:val="24"/>
          <w:szCs w:val="24"/>
        </w:rPr>
      </w:pPr>
      <w:r w:rsidRPr="001C713C">
        <w:rPr>
          <w:rFonts w:cstheme="minorHAnsi"/>
          <w:sz w:val="24"/>
          <w:szCs w:val="24"/>
        </w:rPr>
        <w:t xml:space="preserve">It has been not discussed </w:t>
      </w:r>
      <w:r w:rsidR="00350561" w:rsidRPr="001C713C">
        <w:rPr>
          <w:rFonts w:cstheme="minorHAnsi"/>
          <w:sz w:val="24"/>
          <w:szCs w:val="24"/>
        </w:rPr>
        <w:t>in detail</w:t>
      </w:r>
      <w:r w:rsidRPr="001C713C">
        <w:rPr>
          <w:rFonts w:cstheme="minorHAnsi"/>
          <w:sz w:val="24"/>
          <w:szCs w:val="24"/>
        </w:rPr>
        <w:t xml:space="preserve"> whether parental divorce or death has larger negative effects on children</w:t>
      </w:r>
      <w:r w:rsidR="00516F1F" w:rsidRPr="001C713C">
        <w:rPr>
          <w:rFonts w:cstheme="minorHAnsi"/>
          <w:sz w:val="24"/>
          <w:szCs w:val="24"/>
        </w:rPr>
        <w:t>'</w:t>
      </w:r>
      <w:r w:rsidRPr="001C713C">
        <w:rPr>
          <w:rFonts w:cstheme="minorHAnsi"/>
          <w:sz w:val="24"/>
          <w:szCs w:val="24"/>
        </w:rPr>
        <w:t xml:space="preserve">s academic achievement. </w:t>
      </w:r>
      <w:r w:rsidR="000A7C88" w:rsidRPr="001C713C">
        <w:rPr>
          <w:rFonts w:cstheme="minorHAnsi"/>
          <w:sz w:val="24"/>
          <w:szCs w:val="24"/>
        </w:rPr>
        <w:t>Like</w:t>
      </w:r>
      <w:r w:rsidRPr="001C713C">
        <w:rPr>
          <w:rFonts w:cstheme="minorHAnsi"/>
          <w:sz w:val="24"/>
          <w:szCs w:val="24"/>
        </w:rPr>
        <w:t xml:space="preserve"> divorce, parental death can also impose an adverse effect on children. </w:t>
      </w:r>
      <w:r w:rsidR="001402AC" w:rsidRPr="001C713C">
        <w:rPr>
          <w:rFonts w:cstheme="minorHAnsi"/>
          <w:sz w:val="24"/>
          <w:szCs w:val="24"/>
        </w:rPr>
        <w:t xml:space="preserve">What mainly distinguishes the parental death from divorce is that it is unprecedented therefore there is no conflict or prior tension as in the case of divorce. </w:t>
      </w:r>
      <w:r w:rsidR="001402AC" w:rsidRPr="001C713C">
        <w:rPr>
          <w:rFonts w:cstheme="minorHAnsi"/>
          <w:sz w:val="24"/>
          <w:szCs w:val="24"/>
        </w:rPr>
        <w:lastRenderedPageBreak/>
        <w:t xml:space="preserve">Those children who are in an intact family with high parental conflict tend to adjust relatively slower than those who are in a low-conflict divorced family </w:t>
      </w:r>
      <w:r w:rsidR="001402AC" w:rsidRPr="001C713C">
        <w:rPr>
          <w:rFonts w:cstheme="minorHAnsi"/>
          <w:sz w:val="24"/>
          <w:szCs w:val="24"/>
        </w:rPr>
        <w:fldChar w:fldCharType="begin" w:fldLock="1"/>
      </w:r>
      <w:r w:rsidR="001402AC" w:rsidRPr="001C713C">
        <w:rPr>
          <w:rFonts w:cstheme="minorHAnsi"/>
          <w:sz w:val="24"/>
          <w:szCs w:val="24"/>
        </w:rPr>
        <w:instrText>ADDIN CSL_CITATION {"citationItems":[{"id":"ITEM-1","itemData":{"DOI":"10.2307/2136916","ISSN":"00221465","PMID":"2723376","author":[{"dropping-particle":"","family":"Mechanic","given":"D.","non-dropping-particle":"","parse-names":false,"suffix":""},{"dropping-particle":"","family":"Hansell","given":"S.","non-dropping-particle":"","parse-names":false,"suffix":""}],"container-title":"Journal of Health and Social Behavior","id":"ITEM-1","issue":"1","issued":{"date-parts":[["1989"]]},"page":"105-116","title":"Divorce, family conflict, and adolescents' well-being","type":"article-journal","volume":"30"},"uris":["http://www.mendeley.com/documents/?uuid=3963824b-3b83-44f7-81d1-9f070e672c83"]},{"id":"ITEM-2","itemData":{"DOI":"10.1111/jomf.12100","ISSN":"00222445","abstract":"The authors used child fixed effects models to estimate the effects of parental divorce and death on a variety of outcomes using 2 large national data sets: (a) the Early Childhood Longitudinal Study, Kindergarten Cohort (kindergarten through the 5th grade) and (b) the National Educational Longitudinal Study (8th grade to the senior year of high school). In both data sets, divorce and death were associated with multiple negative outcomes among children. Although evidence for a causal effect of divorce on children was reasonably strong, effect sizes were small in magnitude. A second analysis revealed a substantial degree of variability in children's outcomes following parental divorce, with some children declining, others improving, and most not changing at all. The estimated effects of divorce appeared to be strongest among children with the highest propensity to experience parental divorce. © National Council on Family Relations, 2014.","author":[{"dropping-particle":"","family":"Amato","given":"Paul R.","non-dropping-particle":"","parse-names":false,"suffix":""},{"dropping-particle":"","family":"Anthony","given":"Christopher J.","non-dropping-particle":"","parse-names":false,"suffix":""}],"container-title":"Journal of Marriage and Family","id":"ITEM-2","issue":"2","issued":{"date-parts":[["2014"]]},"page":"370-386","title":"Estimating the effects of parental divorce and death with fixed effects models","type":"article-journal","volume":"76"},"uris":["http://www.mendeley.com/documents/?uuid=aece7321-e797-43e7-9f65-2fa2bca71867"]}],"mendeley":{"formattedCitation":"(Amato &amp; Anthony, 2014; Mechanic &amp; Hansell, 1989)","plainTextFormattedCitation":"(Amato &amp; Anthony, 2014; Mechanic &amp; Hansell, 1989)","previouslyFormattedCitation":"(Amato &amp; Anthony, 2014; Mechanic &amp; Hansell, 1989)"},"properties":{"noteIndex":0},"schema":"https://github.com/citation-style-language/schema/raw/master/csl-citation.json"}</w:instrText>
      </w:r>
      <w:r w:rsidR="001402AC" w:rsidRPr="001C713C">
        <w:rPr>
          <w:rFonts w:cstheme="minorHAnsi"/>
          <w:sz w:val="24"/>
          <w:szCs w:val="24"/>
        </w:rPr>
        <w:fldChar w:fldCharType="separate"/>
      </w:r>
      <w:r w:rsidR="001402AC" w:rsidRPr="001C713C">
        <w:rPr>
          <w:rFonts w:cstheme="minorHAnsi"/>
          <w:noProof/>
          <w:sz w:val="24"/>
          <w:szCs w:val="24"/>
        </w:rPr>
        <w:t>(Amato &amp; Anthony, 2014; Mechanic &amp; Hansell, 1989)</w:t>
      </w:r>
      <w:r w:rsidR="001402AC" w:rsidRPr="001C713C">
        <w:rPr>
          <w:rFonts w:cstheme="minorHAnsi"/>
          <w:sz w:val="24"/>
          <w:szCs w:val="24"/>
        </w:rPr>
        <w:fldChar w:fldCharType="end"/>
      </w:r>
      <w:r w:rsidR="001402AC" w:rsidRPr="001C713C">
        <w:rPr>
          <w:rFonts w:cstheme="minorHAnsi"/>
          <w:sz w:val="24"/>
          <w:szCs w:val="24"/>
        </w:rPr>
        <w:t>. This suggests that parental conflict can be more harmful than the changing structure of the family. However, by being an observer of the continuous conflict and tension, children can prepare themselves even for the worst</w:t>
      </w:r>
      <w:r w:rsidR="000A50B2" w:rsidRPr="001C713C">
        <w:rPr>
          <w:rFonts w:cstheme="minorHAnsi"/>
          <w:sz w:val="24"/>
          <w:szCs w:val="24"/>
        </w:rPr>
        <w:t>-</w:t>
      </w:r>
      <w:r w:rsidR="001402AC" w:rsidRPr="001C713C">
        <w:rPr>
          <w:rFonts w:cstheme="minorHAnsi"/>
          <w:sz w:val="24"/>
          <w:szCs w:val="24"/>
        </w:rPr>
        <w:t>case scenario and may experience mild</w:t>
      </w:r>
      <w:r w:rsidR="00404110">
        <w:rPr>
          <w:rFonts w:cstheme="minorHAnsi"/>
          <w:sz w:val="24"/>
          <w:szCs w:val="24"/>
        </w:rPr>
        <w:t xml:space="preserve">er </w:t>
      </w:r>
      <w:r w:rsidR="001402AC" w:rsidRPr="001C713C">
        <w:rPr>
          <w:rFonts w:cstheme="minorHAnsi"/>
          <w:sz w:val="24"/>
          <w:szCs w:val="24"/>
        </w:rPr>
        <w:t xml:space="preserve">effects </w:t>
      </w:r>
      <w:r w:rsidR="0099667D">
        <w:rPr>
          <w:rFonts w:cstheme="minorHAnsi"/>
          <w:sz w:val="24"/>
          <w:szCs w:val="24"/>
        </w:rPr>
        <w:t xml:space="preserve">in the </w:t>
      </w:r>
      <w:proofErr w:type="gramStart"/>
      <w:r w:rsidR="0099667D">
        <w:rPr>
          <w:rFonts w:cstheme="minorHAnsi"/>
          <w:sz w:val="24"/>
          <w:szCs w:val="24"/>
        </w:rPr>
        <w:t>short-run</w:t>
      </w:r>
      <w:proofErr w:type="gramEnd"/>
      <w:r w:rsidR="0099667D">
        <w:rPr>
          <w:rFonts w:cstheme="minorHAnsi"/>
          <w:sz w:val="24"/>
          <w:szCs w:val="24"/>
        </w:rPr>
        <w:t xml:space="preserve"> </w:t>
      </w:r>
      <w:r w:rsidR="001402AC" w:rsidRPr="001C713C">
        <w:rPr>
          <w:rFonts w:cstheme="minorHAnsi"/>
          <w:sz w:val="24"/>
          <w:szCs w:val="24"/>
        </w:rPr>
        <w:t>after the separation.</w:t>
      </w:r>
    </w:p>
    <w:p w14:paraId="4E2C9687" w14:textId="5ED56B7E" w:rsidR="00DB0415" w:rsidRPr="001C713C" w:rsidRDefault="00DB0415" w:rsidP="006E2B80">
      <w:pPr>
        <w:spacing w:line="360" w:lineRule="auto"/>
        <w:ind w:firstLine="397"/>
        <w:jc w:val="both"/>
        <w:rPr>
          <w:rFonts w:cstheme="minorHAnsi"/>
          <w:sz w:val="24"/>
          <w:szCs w:val="24"/>
        </w:rPr>
      </w:pPr>
      <w:r w:rsidRPr="001C713C">
        <w:rPr>
          <w:rFonts w:cstheme="minorHAnsi"/>
          <w:sz w:val="24"/>
          <w:szCs w:val="24"/>
        </w:rPr>
        <w:t xml:space="preserve">Comparing the deceased and divorced single-mother families, we </w:t>
      </w:r>
      <w:r w:rsidR="00DF044E" w:rsidRPr="001C713C">
        <w:rPr>
          <w:rFonts w:cstheme="minorHAnsi"/>
          <w:sz w:val="24"/>
          <w:szCs w:val="24"/>
        </w:rPr>
        <w:t xml:space="preserve">have </w:t>
      </w:r>
      <w:r w:rsidR="00D818E1">
        <w:rPr>
          <w:rFonts w:cstheme="minorHAnsi"/>
          <w:sz w:val="24"/>
          <w:szCs w:val="24"/>
        </w:rPr>
        <w:t xml:space="preserve">evidence </w:t>
      </w:r>
      <w:r w:rsidRPr="001C713C">
        <w:rPr>
          <w:rFonts w:cstheme="minorHAnsi"/>
          <w:sz w:val="24"/>
          <w:szCs w:val="24"/>
        </w:rPr>
        <w:t xml:space="preserve">that children in divorced family types tend to achieve lower levels of education. On the contrary, children from widowed single-mother households have a lower likelihood of completing secondary education. Although both types of stepfamilies emerging from either death or divorce achieved less in school on average, </w:t>
      </w:r>
      <w:proofErr w:type="spellStart"/>
      <w:r w:rsidRPr="001C713C">
        <w:rPr>
          <w:rFonts w:cstheme="minorHAnsi"/>
          <w:sz w:val="24"/>
          <w:szCs w:val="24"/>
        </w:rPr>
        <w:t>Biblarz</w:t>
      </w:r>
      <w:proofErr w:type="spellEnd"/>
      <w:r w:rsidRPr="001C713C">
        <w:rPr>
          <w:rFonts w:cstheme="minorHAnsi"/>
          <w:sz w:val="24"/>
          <w:szCs w:val="24"/>
        </w:rPr>
        <w:t xml:space="preserve"> (2016) argues that the disadvantages of widowhood in comparison to parental divorce can be offset by the remarriage, while a remarriage after a divorce is ambig</w:t>
      </w:r>
      <w:r w:rsidR="000A50B2" w:rsidRPr="001C713C">
        <w:rPr>
          <w:rFonts w:cstheme="minorHAnsi"/>
          <w:sz w:val="24"/>
          <w:szCs w:val="24"/>
        </w:rPr>
        <w:t>u</w:t>
      </w:r>
      <w:r w:rsidRPr="001C713C">
        <w:rPr>
          <w:rFonts w:cstheme="minorHAnsi"/>
          <w:sz w:val="24"/>
          <w:szCs w:val="24"/>
        </w:rPr>
        <w:t xml:space="preserve">ous.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{"citationItems":[{"id":"ITEM-1","itemData":{"author":[{"dropping-particle":"","family":"Biblarz","given":"Timothy J","non-dropping-particle":"","parse-names":false,"suffix":""},{"dropping-particle":"","family":"Gottainer","given":"Greg","non-dropping-particle":"","parse-names":false,"suffix":""},{"dropping-particle":"","family":"Journal","given":"Source","non-dropping-particle":"","parse-names":false,"suffix":""},{"dropping-particle":"","family":"May","given":"No","non-dropping-particle":"","parse-names":false,"suffix":""}],"id":"ITEM-1","issue":"2","issued":{"date-parts":[["2016"]]},"page":"533-548","title":"Family Structure and Children ' s Success : A Comparison of Widowed and Divorced Single- Mother Families Published by : National Council on Family Relations Stable URL : http://www.jstor.org/stable/1566757 Family Structure and Children ' s Success : A Com","type":"article-journal","volume":"62"},"uris":["http://www.mendeley.com/documents/?uuid=25ecc8af-629b-4516-b375-985dba9d4c18"]}],"mendeley":{"formattedCitation":"(Biblarz et al., 2016)","plainTextFormattedCitation":"(Biblarz et al., 2016)","previouslyFormattedCitation":"(Biblarz et al., 2016)"},"properties":{"noteIndex":0},"schema":"https://github.com/citation-style-language/schema/raw/master/csl-citation.json"}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(Biblarz et al., 2016)</w:t>
      </w:r>
      <w:r w:rsidRPr="001C713C">
        <w:rPr>
          <w:rFonts w:cstheme="minorHAnsi"/>
          <w:sz w:val="24"/>
          <w:szCs w:val="24"/>
        </w:rPr>
        <w:fldChar w:fldCharType="end"/>
      </w:r>
      <w:r w:rsidRPr="001C713C">
        <w:rPr>
          <w:rFonts w:cstheme="minorHAnsi"/>
          <w:sz w:val="24"/>
          <w:szCs w:val="24"/>
        </w:rPr>
        <w:t xml:space="preserve">. </w:t>
      </w:r>
    </w:p>
    <w:p w14:paraId="389AF4B4" w14:textId="735ACF75" w:rsidR="008F3A56" w:rsidRPr="001C713C" w:rsidRDefault="008F3A56" w:rsidP="006E2B80">
      <w:pPr>
        <w:spacing w:line="360" w:lineRule="auto"/>
        <w:ind w:firstLine="397"/>
        <w:jc w:val="both"/>
        <w:rPr>
          <w:rFonts w:cstheme="minorHAnsi"/>
          <w:sz w:val="24"/>
          <w:szCs w:val="24"/>
        </w:rPr>
      </w:pPr>
      <w:r w:rsidRPr="001C713C">
        <w:rPr>
          <w:rFonts w:cstheme="minorHAnsi"/>
          <w:sz w:val="24"/>
          <w:szCs w:val="24"/>
        </w:rPr>
        <w:t xml:space="preserve">A study using growth-curve models asserted that children who have not yet passed the pubertal apex and </w:t>
      </w:r>
      <w:r w:rsidR="000A7C88">
        <w:rPr>
          <w:rFonts w:cstheme="minorHAnsi"/>
          <w:sz w:val="24"/>
          <w:szCs w:val="24"/>
        </w:rPr>
        <w:t>are part of</w:t>
      </w:r>
      <w:r w:rsidRPr="001C713C">
        <w:rPr>
          <w:rFonts w:cstheme="minorHAnsi"/>
          <w:sz w:val="24"/>
          <w:szCs w:val="24"/>
        </w:rPr>
        <w:t xml:space="preserve"> stable families</w:t>
      </w:r>
      <w:r w:rsidRPr="00457C48">
        <w:rPr>
          <w:rStyle w:val="FootnoteReference"/>
        </w:rPr>
        <w:footnoteReference w:id="1"/>
      </w:r>
      <w:r w:rsidRPr="001C713C">
        <w:rPr>
          <w:rFonts w:cstheme="minorHAnsi"/>
          <w:sz w:val="24"/>
          <w:szCs w:val="24"/>
        </w:rPr>
        <w:t xml:space="preserve"> have somewhat lower scores than that of the always-married families. In the meantime, children from unstable families</w:t>
      </w:r>
      <w:r w:rsidRPr="00457C48">
        <w:rPr>
          <w:rStyle w:val="FootnoteReference"/>
        </w:rPr>
        <w:footnoteReference w:id="2"/>
      </w:r>
      <w:r w:rsidRPr="001C713C">
        <w:rPr>
          <w:rFonts w:cstheme="minorHAnsi"/>
          <w:sz w:val="24"/>
          <w:szCs w:val="24"/>
        </w:rPr>
        <w:t xml:space="preserve"> performed worse than stable families compared to the biological family. It is needed to be mentioned that the differences between the groups were rather modest negative effects, but over time they have increased. Besides, the stabilized structure does not reduce the cumulative effect of the initial divorce because the slope of grade changes is minuscule, but rather prevents the children from performing at even lower levels. The findings suggest that the most affected family type was the unstable family and although the stability of the family does not mitigate the initial negative effect, the size of the damage is less than half of such unstable families, which could make children avoid the less positive trajectories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{"citationItems":[{"id":"ITEM-1","itemData":{"DOI":"10.1177/0192513X09339022","ISSN":"0192-513X","author":[{"dropping-particle":"","family":"Yongmin Sun","given":"","non-dropping-particle":"","parse-names":false,"suffix":""},{"dropping-particle":"","family":"Yuanzhang Li","given":"","non-dropping-particle":"","parse-names":false,"suffix":""}],"container-title":"Journal of Family Issues","id":"ITEM-1","issue":"11","issued":{"date-parts":[["2009","11","30"]]},"page":"1527-1555","title":"Postdivorce Family Stability and Changes in Adolescents’ Academic Performance","type":"article-journal","volume":"30"},"uris":["http://www.mendeley.com/documents/?uuid=942c5b2a-7c88-40cd-95c2-3af6cffa4483"]}],"mendeley":{"formattedCitation":"(Yongmin Sun &amp; Yuanzhang Li, 2009)","plainTextFormattedCitation":"(Yongmin Sun &amp; Yuanzhang Li, 2009)","previouslyFormattedCitation":"(Yongmin Sun &amp; Yuanzhang Li, 2009)"},"properties":{"noteIndex":0},"schema":"https://github.com/citation-style-language/schema/raw/master/csl-citation.json"}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(Yongmin Sun &amp; Yuanzhang Li, 2009)</w:t>
      </w:r>
      <w:r w:rsidRPr="001C713C">
        <w:rPr>
          <w:rFonts w:cstheme="minorHAnsi"/>
          <w:sz w:val="24"/>
          <w:szCs w:val="24"/>
        </w:rPr>
        <w:fldChar w:fldCharType="end"/>
      </w:r>
      <w:r w:rsidRPr="001C713C">
        <w:rPr>
          <w:rFonts w:cstheme="minorHAnsi"/>
          <w:sz w:val="24"/>
          <w:szCs w:val="24"/>
        </w:rPr>
        <w:t xml:space="preserve">. </w:t>
      </w:r>
    </w:p>
    <w:p w14:paraId="0B37305A" w14:textId="36A4AC64" w:rsidR="00C221F3" w:rsidRPr="001C713C" w:rsidRDefault="00595329" w:rsidP="006E2B80">
      <w:pPr>
        <w:pStyle w:val="Heading3"/>
        <w:rPr>
          <w:rFonts w:asciiTheme="minorHAnsi" w:hAnsiTheme="minorHAnsi" w:cstheme="minorHAnsi"/>
        </w:rPr>
      </w:pPr>
      <w:bookmarkStart w:id="10" w:name="_Toc64591252"/>
      <w:r>
        <w:rPr>
          <w:rFonts w:asciiTheme="minorHAnsi" w:hAnsiTheme="minorHAnsi" w:cstheme="minorHAnsi"/>
        </w:rPr>
        <w:t xml:space="preserve">2.1.2. </w:t>
      </w:r>
      <w:r w:rsidR="00C221F3" w:rsidRPr="001C713C">
        <w:rPr>
          <w:rFonts w:asciiTheme="minorHAnsi" w:hAnsiTheme="minorHAnsi" w:cstheme="minorHAnsi"/>
        </w:rPr>
        <w:t>Stepfamilies</w:t>
      </w:r>
      <w:bookmarkEnd w:id="10"/>
    </w:p>
    <w:p w14:paraId="3D0D6E09" w14:textId="3B24F8C4" w:rsidR="00E92973" w:rsidRDefault="00B46DD5" w:rsidP="006E4AF2">
      <w:pPr>
        <w:spacing w:line="360" w:lineRule="auto"/>
        <w:ind w:firstLine="397"/>
        <w:jc w:val="both"/>
        <w:rPr>
          <w:rFonts w:cstheme="minorHAnsi"/>
          <w:sz w:val="24"/>
          <w:szCs w:val="24"/>
        </w:rPr>
      </w:pPr>
      <w:r>
        <w:rPr>
          <w:rFonts w:cstheme="minorHAnsi"/>
          <w:sz w:val="24"/>
          <w:szCs w:val="24"/>
        </w:rPr>
        <w:t xml:space="preserve">Although my empirics are not considering stepfamilies specifically, I find it important to discuss the relevant findings in short. </w:t>
      </w:r>
      <w:proofErr w:type="spellStart"/>
      <w:r w:rsidR="00231E35">
        <w:rPr>
          <w:rFonts w:cstheme="minorHAnsi"/>
          <w:sz w:val="24"/>
          <w:szCs w:val="24"/>
        </w:rPr>
        <w:t>Jeynes</w:t>
      </w:r>
      <w:proofErr w:type="spellEnd"/>
      <w:r w:rsidR="00231E35">
        <w:rPr>
          <w:rFonts w:cstheme="minorHAnsi"/>
          <w:sz w:val="24"/>
          <w:szCs w:val="24"/>
        </w:rPr>
        <w:t xml:space="preserve"> (2000) reported that when</w:t>
      </w:r>
      <w:r w:rsidR="00E92973" w:rsidRPr="001C713C">
        <w:rPr>
          <w:rFonts w:cstheme="minorHAnsi"/>
          <w:sz w:val="24"/>
          <w:szCs w:val="24"/>
        </w:rPr>
        <w:t xml:space="preserve"> controlling for all the relevant variables (</w:t>
      </w:r>
      <w:r w:rsidR="000A7C88" w:rsidRPr="001C713C">
        <w:rPr>
          <w:rFonts w:cstheme="minorHAnsi"/>
          <w:sz w:val="24"/>
          <w:szCs w:val="24"/>
        </w:rPr>
        <w:t>e.g.,</w:t>
      </w:r>
      <w:r w:rsidR="00E92973" w:rsidRPr="001C713C">
        <w:rPr>
          <w:rFonts w:cstheme="minorHAnsi"/>
          <w:sz w:val="24"/>
          <w:szCs w:val="24"/>
        </w:rPr>
        <w:t xml:space="preserve"> SES, race, gender, etc.) the largest negative effect on children’s </w:t>
      </w:r>
      <w:r w:rsidR="00E92973" w:rsidRPr="001C713C">
        <w:rPr>
          <w:rFonts w:cstheme="minorHAnsi"/>
          <w:sz w:val="24"/>
          <w:szCs w:val="24"/>
        </w:rPr>
        <w:lastRenderedPageBreak/>
        <w:t>academic achievement is associated with the widowed but remarried families, followed by the cohabiting households (when there is no legal bond between the parents). If the baseline model of no-SES variables is estimated, the absolute coefficients of family structure are greater which implies that the family structure variable is not adequate to estimate the nonbiased relationship between the academic performance and parental transition, and the family structure and SES variables are not correlated. As one would expect</w:t>
      </w:r>
      <w:r w:rsidR="00D818E1">
        <w:rPr>
          <w:rFonts w:cstheme="minorHAnsi"/>
          <w:sz w:val="24"/>
          <w:szCs w:val="24"/>
        </w:rPr>
        <w:t>,</w:t>
      </w:r>
      <w:r w:rsidR="00E92973" w:rsidRPr="001C713C">
        <w:rPr>
          <w:rFonts w:cstheme="minorHAnsi"/>
          <w:sz w:val="24"/>
          <w:szCs w:val="24"/>
        </w:rPr>
        <w:t xml:space="preserve"> the parental separation (either death or divorce) lowers the SES features of the family, while remarriage increases it</w:t>
      </w:r>
      <w:r w:rsidR="00D818E1">
        <w:rPr>
          <w:rFonts w:cstheme="minorHAnsi"/>
          <w:sz w:val="24"/>
          <w:szCs w:val="24"/>
        </w:rPr>
        <w:t xml:space="preserve"> due to the additional income input. However, the second transition may</w:t>
      </w:r>
      <w:r w:rsidR="00E92973" w:rsidRPr="001C713C">
        <w:rPr>
          <w:rFonts w:cstheme="minorHAnsi"/>
          <w:sz w:val="24"/>
          <w:szCs w:val="24"/>
        </w:rPr>
        <w:t xml:space="preserve"> </w:t>
      </w:r>
      <w:r w:rsidR="00D818E1">
        <w:rPr>
          <w:rFonts w:cstheme="minorHAnsi"/>
          <w:sz w:val="24"/>
          <w:szCs w:val="24"/>
        </w:rPr>
        <w:t>put extra</w:t>
      </w:r>
      <w:r w:rsidR="00E92973" w:rsidRPr="001C713C">
        <w:rPr>
          <w:rFonts w:cstheme="minorHAnsi"/>
          <w:sz w:val="24"/>
          <w:szCs w:val="24"/>
        </w:rPr>
        <w:t xml:space="preserve"> downward pressure on the children. Also, children from the widowed remarried family are more likely to fall back and repeat a school grade than their counterparts who are in a widowed but single-parent family. Likewise, the likelihood of repeating a grade for children from divorced remarried families is larger than that of their peers in non-remarried divorced families. Thereby, single-parent and blended families are worse than two-parent biological families academic wise, while it is apparent that remarriage exerts </w:t>
      </w:r>
      <w:r w:rsidR="005B4CDC">
        <w:rPr>
          <w:rFonts w:cstheme="minorHAnsi"/>
          <w:sz w:val="24"/>
          <w:szCs w:val="24"/>
        </w:rPr>
        <w:t>add</w:t>
      </w:r>
      <w:r w:rsidR="00E92973" w:rsidRPr="001C713C">
        <w:rPr>
          <w:rFonts w:cstheme="minorHAnsi"/>
          <w:sz w:val="24"/>
          <w:szCs w:val="24"/>
        </w:rPr>
        <w:t xml:space="preserve">itional adverse effects independently from the form of parental separation </w:t>
      </w:r>
      <w:r w:rsidR="00E92973" w:rsidRPr="001C713C">
        <w:rPr>
          <w:rFonts w:cstheme="minorHAnsi"/>
          <w:sz w:val="24"/>
          <w:szCs w:val="24"/>
        </w:rPr>
        <w:fldChar w:fldCharType="begin" w:fldLock="1"/>
      </w:r>
      <w:r w:rsidR="00E92973" w:rsidRPr="001C713C">
        <w:rPr>
          <w:rFonts w:cstheme="minorHAnsi"/>
          <w:sz w:val="24"/>
          <w:szCs w:val="24"/>
        </w:rPr>
        <w:instrText>ADDIN CSL_CITATION {"citationItems":[{"id":"ITEM-1","itemData":{"DOI":"10.1300/J002v30n01_06","ISSN":"15409635","abstract":"Over the last twenty-five years, researchers have become greatly interested in the effects of family structure on the academic achievement of children. The vast majority of these studies have focused on one or two family structures in their analysis. There remains, however, a considerable amount of debate about which of these family structures impacts the academic achievement of children the most. Using the NELS data set from the 1988-1992 period, the effects of seven family structure variables were examined to determine the extent to which several family structures impact the academic achievement of children. The results of this study indicate that the effects of family structure on the academic achievement of children vary considerably among the most common family structures. When SES, race, and gender are not controlled, living with a never-married single-parent or living with a remarried widow(er) had the greatest impact on the academic achievement of children. When these variables are controlled, living with a cohabiting couple or a remarried widow(er) had the largest impact on the academic achievement of children. © 2000 by The Haworth Press, Inc. All rights reserved.","author":[{"dropping-particle":"","family":"Jeynes","given":"William H.","non-dropping-particle":"","parse-names":false,"suffix":""}],"container-title":"Marriage and Family Review","id":"ITEM-1","issue":"1-2","issued":{"date-parts":[["2000"]]},"page":"73-97","title":"The effects of several of the most common family structures on the academic achievement of eighth graders","type":"article-journal","volume":"30"},"uris":["http://www.mendeley.com/documents/?uuid=66304571-db90-4c62-89b7-3516b71f3f56"]}],"mendeley":{"formattedCitation":"(Jeynes, 2000)","plainTextFormattedCitation":"(Jeynes, 2000)","previouslyFormattedCitation":"(Jeynes, 2000)"},"properties":{"noteIndex":0},"schema":"https://github.com/citation-style-language/schema/raw/master/csl-citation.json"}</w:instrText>
      </w:r>
      <w:r w:rsidR="00E92973" w:rsidRPr="001C713C">
        <w:rPr>
          <w:rFonts w:cstheme="minorHAnsi"/>
          <w:sz w:val="24"/>
          <w:szCs w:val="24"/>
        </w:rPr>
        <w:fldChar w:fldCharType="separate"/>
      </w:r>
      <w:r w:rsidR="00E92973" w:rsidRPr="001C713C">
        <w:rPr>
          <w:rFonts w:cstheme="minorHAnsi"/>
          <w:noProof/>
          <w:sz w:val="24"/>
          <w:szCs w:val="24"/>
        </w:rPr>
        <w:t>(Jeynes, 2000)</w:t>
      </w:r>
      <w:r w:rsidR="00E92973" w:rsidRPr="001C713C">
        <w:rPr>
          <w:rFonts w:cstheme="minorHAnsi"/>
          <w:sz w:val="24"/>
          <w:szCs w:val="24"/>
        </w:rPr>
        <w:fldChar w:fldCharType="end"/>
      </w:r>
      <w:r w:rsidR="00E92973" w:rsidRPr="001C713C">
        <w:rPr>
          <w:rFonts w:cstheme="minorHAnsi"/>
          <w:sz w:val="24"/>
          <w:szCs w:val="24"/>
        </w:rPr>
        <w:t xml:space="preserve">. </w:t>
      </w:r>
    </w:p>
    <w:p w14:paraId="33FADE28" w14:textId="18C84388" w:rsidR="004E51E3" w:rsidRPr="001C713C" w:rsidRDefault="00595329" w:rsidP="005944F8">
      <w:pPr>
        <w:pStyle w:val="Heading2"/>
      </w:pPr>
      <w:bookmarkStart w:id="11" w:name="_Toc64591253"/>
      <w:r>
        <w:t xml:space="preserve">2.2. </w:t>
      </w:r>
      <w:r w:rsidR="004E51E3" w:rsidRPr="001C713C">
        <w:t>Intermediary Variables</w:t>
      </w:r>
      <w:bookmarkEnd w:id="11"/>
    </w:p>
    <w:p w14:paraId="75ED544A" w14:textId="4CAF5DFE" w:rsidR="002825C1" w:rsidRPr="001C713C" w:rsidRDefault="00595329" w:rsidP="006E2B80">
      <w:pPr>
        <w:pStyle w:val="Heading3"/>
        <w:rPr>
          <w:rFonts w:asciiTheme="minorHAnsi" w:hAnsiTheme="minorHAnsi" w:cstheme="minorHAnsi"/>
        </w:rPr>
      </w:pPr>
      <w:bookmarkStart w:id="12" w:name="_Toc64591254"/>
      <w:r>
        <w:rPr>
          <w:rFonts w:asciiTheme="minorHAnsi" w:hAnsiTheme="minorHAnsi" w:cstheme="minorHAnsi"/>
        </w:rPr>
        <w:t xml:space="preserve">2.2.1. </w:t>
      </w:r>
      <w:r w:rsidR="002825C1" w:rsidRPr="001C713C">
        <w:rPr>
          <w:rFonts w:asciiTheme="minorHAnsi" w:hAnsiTheme="minorHAnsi" w:cstheme="minorHAnsi"/>
        </w:rPr>
        <w:t>Economic Resources</w:t>
      </w:r>
      <w:bookmarkEnd w:id="12"/>
    </w:p>
    <w:p w14:paraId="2CC78249" w14:textId="000FC707" w:rsidR="002825C1" w:rsidRPr="001C713C" w:rsidRDefault="002825C1" w:rsidP="006E2B80">
      <w:pPr>
        <w:spacing w:line="360" w:lineRule="auto"/>
        <w:ind w:firstLine="397"/>
        <w:jc w:val="both"/>
        <w:rPr>
          <w:rFonts w:cstheme="minorHAnsi"/>
          <w:sz w:val="24"/>
          <w:szCs w:val="24"/>
        </w:rPr>
      </w:pPr>
      <w:r w:rsidRPr="001C713C">
        <w:rPr>
          <w:rFonts w:cstheme="minorHAnsi"/>
          <w:sz w:val="24"/>
          <w:szCs w:val="24"/>
        </w:rPr>
        <w:t>Generally, when one parent is no longer part of the household, their individual income is not (or partly) contributed to the children’s education and upbringing, therefore the economic resources of a single-parent family are much more constrained</w:t>
      </w:r>
      <w:r w:rsidR="000971F6">
        <w:rPr>
          <w:rFonts w:cstheme="minorHAnsi"/>
          <w:sz w:val="24"/>
          <w:szCs w:val="24"/>
        </w:rPr>
        <w:t xml:space="preserve"> resulting in diminishing parental and financial investments</w:t>
      </w:r>
      <w:r w:rsidRPr="001C713C">
        <w:rPr>
          <w:rFonts w:cstheme="minorHAnsi"/>
          <w:sz w:val="24"/>
          <w:szCs w:val="24"/>
        </w:rPr>
        <w:t xml:space="preserve">. </w:t>
      </w:r>
      <w:r w:rsidR="00DB3320" w:rsidRPr="001C713C">
        <w:rPr>
          <w:rFonts w:cstheme="minorHAnsi"/>
          <w:sz w:val="24"/>
          <w:szCs w:val="24"/>
        </w:rPr>
        <w:t>In other words</w:t>
      </w:r>
      <w:r w:rsidRPr="001C713C">
        <w:rPr>
          <w:rFonts w:cstheme="minorHAnsi"/>
          <w:sz w:val="24"/>
          <w:szCs w:val="24"/>
        </w:rPr>
        <w:t xml:space="preserve">, we </w:t>
      </w:r>
      <w:r w:rsidR="00666968" w:rsidRPr="001C713C">
        <w:rPr>
          <w:rFonts w:cstheme="minorHAnsi"/>
          <w:sz w:val="24"/>
          <w:szCs w:val="24"/>
        </w:rPr>
        <w:t>are ought to</w:t>
      </w:r>
      <w:r w:rsidRPr="001C713C">
        <w:rPr>
          <w:rFonts w:cstheme="minorHAnsi"/>
          <w:sz w:val="24"/>
          <w:szCs w:val="24"/>
        </w:rPr>
        <w:t xml:space="preserve"> consider income loss as </w:t>
      </w:r>
      <w:r w:rsidR="00E120E3" w:rsidRPr="001C713C">
        <w:rPr>
          <w:rFonts w:cstheme="minorHAnsi"/>
          <w:sz w:val="24"/>
          <w:szCs w:val="24"/>
        </w:rPr>
        <w:t xml:space="preserve">one of the strongest </w:t>
      </w:r>
      <w:r w:rsidRPr="001C713C">
        <w:rPr>
          <w:rFonts w:cstheme="minorHAnsi"/>
          <w:sz w:val="24"/>
          <w:szCs w:val="24"/>
        </w:rPr>
        <w:t>intermediary variable</w:t>
      </w:r>
      <w:r w:rsidR="000A50B2" w:rsidRPr="001C713C">
        <w:rPr>
          <w:rFonts w:cstheme="minorHAnsi"/>
          <w:sz w:val="24"/>
          <w:szCs w:val="24"/>
        </w:rPr>
        <w:t>s</w:t>
      </w:r>
      <w:r w:rsidRPr="001C713C">
        <w:rPr>
          <w:rFonts w:cstheme="minorHAnsi"/>
          <w:sz w:val="24"/>
          <w:szCs w:val="24"/>
        </w:rPr>
        <w:t xml:space="preserve"> between parental breakdown and the decline in academic performance. </w:t>
      </w:r>
    </w:p>
    <w:p w14:paraId="63BB3544" w14:textId="6018DD55" w:rsidR="002825C1" w:rsidRPr="001C713C" w:rsidRDefault="002825C1" w:rsidP="006E2B80">
      <w:pPr>
        <w:spacing w:line="360" w:lineRule="auto"/>
        <w:ind w:firstLine="397"/>
        <w:jc w:val="both"/>
        <w:rPr>
          <w:rFonts w:cstheme="minorHAnsi"/>
          <w:sz w:val="24"/>
          <w:szCs w:val="24"/>
        </w:rPr>
      </w:pPr>
      <w:r w:rsidRPr="001C713C">
        <w:rPr>
          <w:rFonts w:cstheme="minorHAnsi"/>
          <w:sz w:val="24"/>
          <w:szCs w:val="24"/>
        </w:rPr>
        <w:t>Downey (1994) concluded</w:t>
      </w:r>
      <w:r w:rsidR="00E120E3" w:rsidRPr="001C713C">
        <w:rPr>
          <w:rFonts w:cstheme="minorHAnsi"/>
          <w:sz w:val="24"/>
          <w:szCs w:val="24"/>
        </w:rPr>
        <w:t xml:space="preserve"> </w:t>
      </w:r>
      <w:r w:rsidRPr="001C713C">
        <w:rPr>
          <w:rFonts w:cstheme="minorHAnsi"/>
          <w:sz w:val="24"/>
          <w:szCs w:val="24"/>
        </w:rPr>
        <w:t>that single fathers earn nearly twice the income of single mothers, which is consistent with the hypothesis and the previous literature concerning income</w:t>
      </w:r>
      <w:r w:rsidR="00E120E3" w:rsidRPr="001C713C">
        <w:rPr>
          <w:rFonts w:cstheme="minorHAnsi"/>
          <w:sz w:val="24"/>
          <w:szCs w:val="24"/>
        </w:rPr>
        <w:t>.</w:t>
      </w:r>
      <w:r w:rsidRPr="001C713C">
        <w:rPr>
          <w:rFonts w:cstheme="minorHAnsi"/>
          <w:sz w:val="24"/>
          <w:szCs w:val="24"/>
        </w:rPr>
        <w:t xml:space="preserve"> </w:t>
      </w:r>
      <w:r w:rsidR="00E120E3" w:rsidRPr="001C713C">
        <w:rPr>
          <w:rFonts w:cstheme="minorHAnsi"/>
          <w:sz w:val="24"/>
          <w:szCs w:val="24"/>
        </w:rPr>
        <w:t xml:space="preserve">Hence, income seems to be a major key in the negative consequences associated with mother-only families, while such an effect is not identified in the remarried families.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{"citationItems":[{"id":"ITEM-1","itemData":{"DOI":"10.1177/019251394015001006","ISSN":"15525481","abstract":"Very little is known about the academic performance of children from single-father families. How do they achieve in school relative to children from single-mother and two-parent families? Do the same processes posited to explain the school performance of children from single-mother households account for the educational performance of children in single-father homes? These questions are addressed using a nationally representative sample of 8th graders from the National Longitudinal Study of 1988. Eight different educational outcomes are compared for 409 children in single-father, 3,483 in single-mother, and 14,269 children in biological two-parent families. Children from single-father and single-mother families perform roughly the same in school, but both are outperformed by children from two-parent families. The intervening processes explaining school performance for children from single-father and single-mother families are somewhat different, however. Economic deprivation, or the lack of economic resources, is more useful for understanding the school difficulties of children from single-mother families, whereas interpersonal deprivation, or the lack of interpersonal parental resources, provide a more accurate description for why children from single-father families do poorly in school. © 1994, SAGE Periodicals Press. All rights reserved.","author":[{"dropping-particle":"","family":"Downey","given":"Douglas B.","non-dropping-particle":"","parse-names":false,"suffix":""}],"container-title":"Journal of Family Issues","id":"ITEM-1","issue":"1","issued":{"date-parts":[["1994"]]},"page":"129-147","title":"The School Performance of Children From Single-Mother and Single-Father Families:: Economic or Interpersonal Deprivation?","type":"article-journal","volume":"15"},"uris":["http://www.mendeley.com/documents/?uuid=1ef1a13a-6c20-4896-bbe4-b6f34a39655b"]}],"mendeley":{"formattedCitation":"(Downey, 1994)","plainTextFormattedCitation":"(Downey, 1994)","previouslyFormattedCitation":"(Downey,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(Downey, 1994)</w:t>
      </w:r>
      <w:r w:rsidRPr="001C713C">
        <w:rPr>
          <w:rFonts w:cstheme="minorHAnsi"/>
          <w:sz w:val="24"/>
          <w:szCs w:val="24"/>
        </w:rPr>
        <w:fldChar w:fldCharType="end"/>
      </w:r>
      <w:r w:rsidRPr="001C713C">
        <w:rPr>
          <w:rFonts w:cstheme="minorHAnsi"/>
          <w:sz w:val="24"/>
          <w:szCs w:val="24"/>
        </w:rPr>
        <w:t xml:space="preserve">. The sensitivity of single-mothers can be explained by the ever-existing issue that women are socialized to have obligations to the family rather than being the “breadwinner” in the household. Such characteristics of society are even reflected in sexual discrimination in </w:t>
      </w:r>
      <w:r w:rsidRPr="001C713C">
        <w:rPr>
          <w:rFonts w:cstheme="minorHAnsi"/>
          <w:sz w:val="24"/>
          <w:szCs w:val="24"/>
        </w:rPr>
        <w:lastRenderedPageBreak/>
        <w:t xml:space="preserve">the workplace. </w:t>
      </w:r>
      <w:r w:rsidR="00D60B8B" w:rsidRPr="001C713C">
        <w:rPr>
          <w:rFonts w:cstheme="minorHAnsi"/>
          <w:sz w:val="24"/>
          <w:szCs w:val="24"/>
        </w:rPr>
        <w:t xml:space="preserve">The difference between the original and step or partner families is rather expressed in terms of the drop in quality of parental behavior. To </w:t>
      </w:r>
      <w:r w:rsidR="00E120E3" w:rsidRPr="001C713C">
        <w:rPr>
          <w:rFonts w:cstheme="minorHAnsi"/>
          <w:sz w:val="24"/>
          <w:szCs w:val="24"/>
        </w:rPr>
        <w:t>summarize</w:t>
      </w:r>
      <w:r w:rsidR="00D60B8B" w:rsidRPr="001C713C">
        <w:rPr>
          <w:rFonts w:cstheme="minorHAnsi"/>
          <w:sz w:val="24"/>
          <w:szCs w:val="24"/>
        </w:rPr>
        <w:t xml:space="preserve">, single-mothers impose rather economic inequality on their children in the long-term, while mother-stepfamilies transmit disadvantages in parental support and emotional quality in adult life. </w:t>
      </w:r>
      <w:r w:rsidR="00D60B8B" w:rsidRPr="001C713C">
        <w:rPr>
          <w:rFonts w:cstheme="minorHAnsi"/>
          <w:sz w:val="24"/>
          <w:szCs w:val="24"/>
        </w:rPr>
        <w:fldChar w:fldCharType="begin" w:fldLock="1"/>
      </w:r>
      <w:r w:rsidR="00D60B8B" w:rsidRPr="001C713C">
        <w:rPr>
          <w:rFonts w:cstheme="minorHAnsi"/>
          <w:sz w:val="24"/>
          <w:szCs w:val="24"/>
        </w:rPr>
        <w:instrText>ADDIN CSL_CITATION {"citationItems":[{"id":"ITEM-1","itemData":{"DOI":"10.1093/sf/73.1.221","ISSN":"15347605","abstract":"We used data from the National Survey of Families and Households to investigate economic resources and parental behavior explanations for family structure effects on children. The economic explanation received considerable support in terms of singlemother disadvantage and accounted for a smaller proportion of disadvantage associated with mother-partner families. Parental behaviors, particularly maternal and paternal support, accounted for much smaller proportions of disadvantages found in motherstepfather as well as mother-partner families. Parental behaviors did not appear to mediate any of the economic resource effects on children. © 1994 The University of North Carolina Press.","author":[{"dropping-particle":"","family":"Thomson","given":"Elizabeth","non-dropping-particle":"","parse-names":false,"suffix":""},{"dropping-particle":"","family":"Hanson","given":"Thomas L.","non-dropping-particle":"","parse-names":false,"suffix":""},{"dropping-particle":"","family":"Mc Lanahan","given":"Sara S.","non-dropping-particle":"","parse-names":false,"suffix":""}],"container-title":"Social Forces","id":"ITEM-1","issue":"1","issued":{"date-parts":[["1994"]]},"page":"221-242","title":"Family structure and child well-being: Economic resources vs.parental behaviors","type":"article-journal","volume":"73"},"uris":["http://www.mendeley.com/documents/?uuid=7ad0b722-07d9-44e7-9900-799b5fd2112a"]}],"mendeley":{"formattedCitation":"(Thomson et al., 1994)","plainTextFormattedCitation":"(Thomson et al., 1994)","previouslyFormattedCitation":"(Thomson et al., 1994)"},"properties":{"noteIndex":0},"schema":"https://github.com/citation-style-language/schema/raw/master/csl-citation.json"}</w:instrText>
      </w:r>
      <w:r w:rsidR="00D60B8B" w:rsidRPr="001C713C">
        <w:rPr>
          <w:rFonts w:cstheme="minorHAnsi"/>
          <w:sz w:val="24"/>
          <w:szCs w:val="24"/>
        </w:rPr>
        <w:fldChar w:fldCharType="separate"/>
      </w:r>
      <w:r w:rsidR="00D60B8B" w:rsidRPr="001C713C">
        <w:rPr>
          <w:rFonts w:cstheme="minorHAnsi"/>
          <w:noProof/>
          <w:sz w:val="24"/>
          <w:szCs w:val="24"/>
        </w:rPr>
        <w:t>(Thomson et al., 1994)</w:t>
      </w:r>
      <w:r w:rsidR="00D60B8B" w:rsidRPr="001C713C">
        <w:rPr>
          <w:rFonts w:cstheme="minorHAnsi"/>
          <w:sz w:val="24"/>
          <w:szCs w:val="24"/>
        </w:rPr>
        <w:fldChar w:fldCharType="end"/>
      </w:r>
      <w:r w:rsidR="00D60B8B" w:rsidRPr="001C713C">
        <w:rPr>
          <w:rFonts w:cstheme="minorHAnsi"/>
          <w:sz w:val="24"/>
          <w:szCs w:val="24"/>
        </w:rPr>
        <w:t xml:space="preserve">. </w:t>
      </w:r>
    </w:p>
    <w:p w14:paraId="1FF768EB" w14:textId="154111A4" w:rsidR="002825C1" w:rsidRDefault="002825C1" w:rsidP="006E2B80">
      <w:pPr>
        <w:spacing w:line="360" w:lineRule="auto"/>
        <w:ind w:firstLine="397"/>
        <w:jc w:val="both"/>
        <w:rPr>
          <w:rFonts w:cstheme="minorHAnsi"/>
          <w:sz w:val="24"/>
          <w:szCs w:val="24"/>
        </w:rPr>
      </w:pPr>
      <w:proofErr w:type="spellStart"/>
      <w:r w:rsidRPr="001C713C">
        <w:rPr>
          <w:rFonts w:cstheme="minorHAnsi"/>
          <w:sz w:val="24"/>
          <w:szCs w:val="24"/>
        </w:rPr>
        <w:t>Teachman</w:t>
      </w:r>
      <w:proofErr w:type="spellEnd"/>
      <w:r w:rsidRPr="001C713C">
        <w:rPr>
          <w:rFonts w:cstheme="minorHAnsi"/>
          <w:sz w:val="24"/>
          <w:szCs w:val="24"/>
        </w:rPr>
        <w:t xml:space="preserve"> (1987) observed that not merely the family income but also the investment in children related to income have to be included as an economic parental resource. According to him, the presence of educationally related objects such as books, dictionaries, paintings, or a specific room purposed for studying has a direct and positive impact (independently from their ethnic background) on the child’s performance in terms of grades, the years of schooling the child will achieve, and his or her attendance rate in school as it “fosters academic skills, motivation, and orientation” </w:t>
      </w:r>
      <w:r w:rsidRPr="001C713C">
        <w:rPr>
          <w:rFonts w:cstheme="minorHAnsi"/>
          <w:sz w:val="24"/>
          <w:szCs w:val="24"/>
        </w:rPr>
        <w:fldChar w:fldCharType="begin" w:fldLock="1"/>
      </w:r>
      <w:r w:rsidRPr="001C713C">
        <w:rPr>
          <w:rFonts w:cstheme="minorHAnsi"/>
          <w:sz w:val="24"/>
          <w:szCs w:val="24"/>
        </w:rPr>
        <w:instrText>ADDIN CSL_CITATION {"citationItems":[{"id":"ITEM-1","itemData":{"DOI":"10.2307/2095300","ISSN":"00031224","abstract":"JSTOR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support@jstor.org.","author":[{"dropping-particle":"","family":"Teachman","given":"Jay D.","non-dropping-particle":"","parse-names":false,"suffix":""}],"container-title":"American Sociological Review","id":"ITEM-1","issue":"4","issued":{"date-parts":[["1987"]]},"page":"548","title":"Family Background, Educational Resources, and Educational Attainment","type":"article-journal","volume":"52"},"uris":["http://www.mendeley.com/documents/?uuid=f042b3a9-aacf-4d2c-882a-eb81171434e5"]}],"mendeley":{"formattedCitation":"(Teachman, 1987)","plainTextFormattedCitation":"(Teachman, 1987)","previouslyFormattedCitation":"(Teachman, 1987)"},"properties":{"noteIndex":0},"schema":"https://github.com/citation-style-language/schema/raw/master/csl-citation.json"}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(Teachman, 1987)</w:t>
      </w:r>
      <w:r w:rsidRPr="001C713C">
        <w:rPr>
          <w:rFonts w:cstheme="minorHAnsi"/>
          <w:sz w:val="24"/>
          <w:szCs w:val="24"/>
        </w:rPr>
        <w:fldChar w:fldCharType="end"/>
      </w:r>
      <w:r w:rsidRPr="001C713C">
        <w:rPr>
          <w:rFonts w:cstheme="minorHAnsi"/>
          <w:sz w:val="24"/>
          <w:szCs w:val="24"/>
        </w:rPr>
        <w:t xml:space="preserve">. </w:t>
      </w:r>
      <w:r w:rsidR="00EE364F" w:rsidRPr="001C713C">
        <w:rPr>
          <w:rFonts w:cstheme="minorHAnsi"/>
          <w:sz w:val="24"/>
          <w:szCs w:val="24"/>
        </w:rPr>
        <w:t>On average, s</w:t>
      </w:r>
      <w:r w:rsidRPr="001C713C">
        <w:rPr>
          <w:rFonts w:cstheme="minorHAnsi"/>
          <w:sz w:val="24"/>
          <w:szCs w:val="24"/>
        </w:rPr>
        <w:t xml:space="preserve">ingle fathers provide an averagely greater level of economic resources, for example, 26% of single-father families </w:t>
      </w:r>
      <w:r w:rsidR="00E120E3" w:rsidRPr="001C713C">
        <w:rPr>
          <w:rFonts w:cstheme="minorHAnsi"/>
          <w:sz w:val="24"/>
          <w:szCs w:val="24"/>
        </w:rPr>
        <w:t>furnish</w:t>
      </w:r>
      <w:r w:rsidRPr="001C713C">
        <w:rPr>
          <w:rFonts w:cstheme="minorHAnsi"/>
          <w:sz w:val="24"/>
          <w:szCs w:val="24"/>
        </w:rPr>
        <w:t xml:space="preserve"> computers compared to that of single-mother families which is 16%. Subsequently, 42% of father-only families saved up enough money for further studies of their children, while such ratio in the case of mother-only families was 31%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{"citationItems":[{"id":"ITEM-1","itemData":{"DOI":"10.1177/019251394015001006","ISSN":"15525481","abstract":"Very little is known about the academic performance of children from single-father families. How do they achieve in school relative to children from single-mother and two-parent families? Do the same processes posited to explain the school performance of children from single-mother households account for the educational performance of children in single-father homes? These questions are addressed using a nationally representative sample of 8th graders from the National Longitudinal Study of 1988. Eight different educational outcomes are compared for 409 children in single-father, 3,483 in single-mother, and 14,269 children in biological two-parent families. Children from single-father and single-mother families perform roughly the same in school, but both are outperformed by children from two-parent families. The intervening processes explaining school performance for children from single-father and single-mother families are somewhat different, however. Economic deprivation, or the lack of economic resources, is more useful for understanding the school difficulties of children from single-mother families, whereas interpersonal deprivation, or the lack of interpersonal parental resources, provide a more accurate description for why children from single-father families do poorly in school. © 1994, SAGE Periodicals Press. All rights reserved.","author":[{"dropping-particle":"","family":"Downey","given":"Douglas B.","non-dropping-particle":"","parse-names":false,"suffix":""}],"container-title":"Journal of Family Issues","id":"ITEM-1","issue":"1","issued":{"date-parts":[["1994"]]},"page":"129-147","title":"The School Performance of Children From Single-Mother and Single-Father Families:: Economic or Interpersonal Deprivation?","type":"article-journal","volume":"15"},"uris":["http://www.mendeley.com/documents/?uuid=1ef1a13a-6c20-4896-bbe4-b6f34a39655b"]}],"mendeley":{"formattedCitation":"(Downey, 1994)","plainTextFormattedCitation":"(Downey, 1994)","previouslyFormattedCitation":"(Downey,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(Downey, 1994)</w:t>
      </w:r>
      <w:r w:rsidRPr="001C713C">
        <w:rPr>
          <w:rFonts w:cstheme="minorHAnsi"/>
          <w:sz w:val="24"/>
          <w:szCs w:val="24"/>
        </w:rPr>
        <w:fldChar w:fldCharType="end"/>
      </w:r>
      <w:r w:rsidRPr="001C713C">
        <w:rPr>
          <w:rFonts w:cstheme="minorHAnsi"/>
          <w:sz w:val="24"/>
          <w:szCs w:val="24"/>
        </w:rPr>
        <w:t xml:space="preserve">. This implies that a considerably great share of single-mothers is unable to afford private lessons, educational equipment, books, electronics which facilitate the children’s academic achievements </w:t>
      </w:r>
      <w:r w:rsidRPr="001C713C">
        <w:rPr>
          <w:rFonts w:cstheme="minorHAnsi"/>
          <w:sz w:val="24"/>
          <w:szCs w:val="24"/>
        </w:rPr>
        <w:fldChar w:fldCharType="begin" w:fldLock="1"/>
      </w:r>
      <w:r w:rsidRPr="001C713C">
        <w:rPr>
          <w:rFonts w:cstheme="minorHAnsi"/>
          <w:sz w:val="24"/>
          <w:szCs w:val="24"/>
        </w:rPr>
        <w:instrText>ADDIN CSL_CITATION {"citationItems":[{"id":"ITEM-1","itemData":{"DOI":"10.2307/353132","ISSN":"00222445","abstract":"A meta-analysis was conducted of studies dealing with the long-term consequences of parental divorce for adult well-being. Effect sizes were calculated for 15 outcome variables across 37 studies involving over 81,000 individuals. Mean effect sizes were significant and negative for all outcomes; this indicated that adults who experienced parental divorce exhibited lower levels of well-being than did adults whose parents were continuously married. The strongest estimated effects occurred in the areas of one-parent family status, psychological adjustment, behavior/conduct, and educational attainment. Effect sizes were significantly stronger in clinical studies than in studies based on community samples. In addition, effects sizes tended to be stronger for whites than for blacks, stronger in earlier studies than in more recent studies, and stronger in studies that did not use statistical controls than in studies that did.","author":[{"dropping-particle":"","family":"Amato","given":"Paul R.","non-dropping-particle":"","parse-names":false,"suffix":""},{"dropping-particle":"","family":"Keith","given":"Bruce","non-dropping-particle":"","parse-names":false,"suffix":""}],"container-title":"Journal of Marriage and the Family","id":"ITEM-1","issue":"1","issued":{"date-parts":[["1991"]]},"page":"43","title":"Parental Divorce and Adult Well-Being: A Meta-Analysis","type":"article-journal","volume":"53"},"uris":["http://www.mendeley.com/documents/?uuid=ab5e9c50-cfb7-4240-b838-61d5c40d7ede"]}],"mendeley":{"formattedCitation":"(Amato &amp; Keith, 1991)","plainTextFormattedCitation":"(Amato &amp; Keith, 1991)","previouslyFormattedCitation":"(Amato &amp; Keith, 1991)"},"properties":{"noteIndex":0},"schema":"https://github.com/citation-style-language/schema/raw/master/csl-citation.json"}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(Amato &amp; Keith, 1991)</w:t>
      </w:r>
      <w:r w:rsidRPr="001C713C">
        <w:rPr>
          <w:rFonts w:cstheme="minorHAnsi"/>
          <w:sz w:val="24"/>
          <w:szCs w:val="24"/>
        </w:rPr>
        <w:fldChar w:fldCharType="end"/>
      </w:r>
      <w:r w:rsidRPr="001C713C">
        <w:rPr>
          <w:rFonts w:cstheme="minorHAnsi"/>
          <w:sz w:val="24"/>
          <w:szCs w:val="24"/>
        </w:rPr>
        <w:t>.</w:t>
      </w:r>
    </w:p>
    <w:p w14:paraId="3101C69F" w14:textId="3D9957D0" w:rsidR="00AD1936" w:rsidRPr="001C713C" w:rsidRDefault="00AD1936" w:rsidP="00AD1936">
      <w:pPr>
        <w:pStyle w:val="Heading3"/>
        <w:rPr>
          <w:rFonts w:asciiTheme="minorHAnsi" w:hAnsiTheme="minorHAnsi" w:cstheme="minorHAnsi"/>
        </w:rPr>
      </w:pPr>
      <w:bookmarkStart w:id="13" w:name="_Toc64591255"/>
      <w:r>
        <w:rPr>
          <w:rFonts w:asciiTheme="minorHAnsi" w:hAnsiTheme="minorHAnsi" w:cstheme="minorHAnsi"/>
        </w:rPr>
        <w:t>2.2.2.</w:t>
      </w:r>
      <w:r w:rsidRPr="001C713C">
        <w:rPr>
          <w:rFonts w:asciiTheme="minorHAnsi" w:hAnsiTheme="minorHAnsi" w:cstheme="minorHAnsi"/>
        </w:rPr>
        <w:t xml:space="preserve"> Parental </w:t>
      </w:r>
      <w:r>
        <w:rPr>
          <w:rFonts w:asciiTheme="minorHAnsi" w:hAnsiTheme="minorHAnsi" w:cstheme="minorHAnsi"/>
        </w:rPr>
        <w:t>Qualifications</w:t>
      </w:r>
      <w:bookmarkEnd w:id="13"/>
    </w:p>
    <w:p w14:paraId="2C2D8486" w14:textId="77777777" w:rsidR="00AD1936" w:rsidRPr="001C713C" w:rsidRDefault="00AD1936" w:rsidP="00AD1936">
      <w:pPr>
        <w:spacing w:line="360" w:lineRule="auto"/>
        <w:ind w:firstLine="397"/>
        <w:jc w:val="both"/>
        <w:rPr>
          <w:rFonts w:cstheme="minorHAnsi"/>
          <w:sz w:val="24"/>
          <w:szCs w:val="24"/>
        </w:rPr>
      </w:pPr>
      <w:r w:rsidRPr="001C713C">
        <w:rPr>
          <w:rFonts w:cstheme="minorHAnsi"/>
          <w:sz w:val="24"/>
          <w:szCs w:val="24"/>
        </w:rPr>
        <w:t>A very recent study focused on heterogeneity in 2020 found that the negative relationship between parental divorce and GPA was stronger</w:t>
      </w:r>
      <w:r>
        <w:rPr>
          <w:rFonts w:cstheme="minorHAnsi"/>
          <w:sz w:val="24"/>
          <w:szCs w:val="24"/>
        </w:rPr>
        <w:t xml:space="preserve"> (0.24 points)</w:t>
      </w:r>
      <w:r w:rsidRPr="001C713C">
        <w:rPr>
          <w:rFonts w:cstheme="minorHAnsi"/>
          <w:sz w:val="24"/>
          <w:szCs w:val="24"/>
        </w:rPr>
        <w:t xml:space="preserve"> among adolescents with more educated parents compared to that of the adolescents of less-educated parents. Adolescents in divorced families where the highest education level was either at a secondary school level or Bachelor’s level incline to perform worse by a moderate margin compared to disrupted families where the highest education was not higher than the basic level education </w:t>
      </w:r>
      <w:r w:rsidRPr="001C713C">
        <w:rPr>
          <w:rFonts w:cstheme="minorHAnsi"/>
          <w:sz w:val="24"/>
          <w:szCs w:val="24"/>
        </w:rPr>
        <w:fldChar w:fldCharType="begin" w:fldLock="1"/>
      </w:r>
      <w:r w:rsidRPr="001C713C">
        <w:rPr>
          <w:rFonts w:cstheme="minorHAnsi"/>
          <w:sz w:val="24"/>
          <w:szCs w:val="24"/>
        </w:rPr>
        <w:instrText>ADDIN CSL_CITATION {"citationItems":[{"id":"ITEM-1","itemData":{"DOI":"10.1371/journal.pone.0229183","ISBN":"1111111111","ISSN":"19326203","PMID":"32130231","abstract":"Background: The link between parental divorce and adolescents' academic achievement may depend on parental educational levels. However, findings have been inconsistent regarding whether the negative associations between parental divorce and adolescents' academic outcomes are greater or smaller in highly educated families. The present study aimed to investigate the possible heterogeneity in the associations between divorce and adolescents' academic achievement by parental educational levels, within the context of the elaborate Norwegian welfare state. Methods: The population-based cross-sectional youth@hordaland study of adolescents aged 16-19 years conducted in Norway in 2012, provided information about parental divorce and was linked to national administrative registries (N = 9,166) to obtain high-quality, objective data on the adolescents' grade point average (GPA), and their parents' educational qualifications and income. Results: The negative association between parental divorce and GPA was stronger among adolescents with educated or highly educated parents compared to adolescents with less educated parents. This heterogeneity was driven by maternal educational qualifications, whereby divorce was more strongly and negatively associated with GPA among adolescents with educated mothers compared to those with less educated mothers, independent of paternal educational levels and income measures. Conclusions: Among adolescents whose parents have low educational qualifications, parental divorce is not associated with their academic achievement. Educated divorced mothers appear less likely to transfer their educational advantages onto their children than nondivorced equally educated mothers, perhaps due to a \"double-burden\" regarding work pressure and childrearing responsibilities. There is a need for future studies to detail the mechanisms underlying this finding.","author":[{"dropping-particle":"","family":"Nilsen","given":"Sondre Aasen","non-dropping-particle":"","parse-names":false,"suffix":""},{"dropping-particle":"","family":"Breivik","given":"Kyrre","non-dropping-particle":"","parse-names":false,"suffix":""},{"dropping-particle":"","family":"Wold","given":"Bente","non-dropping-particle":"","parse-names":false,"suffix":""},{"dropping-particle":"","family":"Askeland","given":"Kristin Gärtner","non-dropping-particle":"","parse-names":false,"suffix":""},{"dropping-particle":"","family":"Sivertsen","given":"Børge","non-dropping-particle":"","parse-names":false,"suffix":""},{"dropping-particle":"","family":"Hysing","given":"Mari","non-dropping-particle":"","parse-names":false,"suffix":""},{"dropping-particle":"","family":"Bøe","given":"Tormod","non-dropping-particle":"","parse-names":false,"suffix":""}],"container-title":"PLoS ONE","id":"ITEM-1","issue":"3","issued":{"date-parts":[["2020"]]},"page":"1-22","title":"Divorce and adolescent academic achievement: Heterogeneity in the associations by parental education","type":"article-journal","volume":"15"},"uris":["http://www.mendeley.com/documents/?uuid=bfed76e8-c434-4f09-9149-12a6df3fd80a"]}],"mendeley":{"formattedCitation":"(Nilsen et al., 2020)","plainTextFormattedCitation":"(Nilsen et al., 2020)","previouslyFormattedCitation":"(Nilsen et al., 2020)"},"properties":{"noteIndex":0},"schema":"https://github.com/citation-style-language/schema/raw/master/csl-citation.json"}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(Nilsen et al., 2020)</w:t>
      </w:r>
      <w:r w:rsidRPr="001C713C">
        <w:rPr>
          <w:rFonts w:cstheme="minorHAnsi"/>
          <w:sz w:val="24"/>
          <w:szCs w:val="24"/>
        </w:rPr>
        <w:fldChar w:fldCharType="end"/>
      </w:r>
      <w:r w:rsidRPr="001C713C">
        <w:rPr>
          <w:rFonts w:cstheme="minorHAnsi"/>
          <w:sz w:val="24"/>
          <w:szCs w:val="24"/>
        </w:rPr>
        <w:t xml:space="preserve">. </w:t>
      </w:r>
    </w:p>
    <w:p w14:paraId="030EA77A" w14:textId="6941DC73" w:rsidR="00AD1936" w:rsidRPr="001C713C" w:rsidRDefault="00AD1936" w:rsidP="00AD1936">
      <w:pPr>
        <w:spacing w:line="360" w:lineRule="auto"/>
        <w:ind w:firstLine="397"/>
        <w:jc w:val="both"/>
        <w:rPr>
          <w:rFonts w:cstheme="minorHAnsi"/>
          <w:sz w:val="24"/>
          <w:szCs w:val="24"/>
        </w:rPr>
      </w:pPr>
      <w:r w:rsidRPr="001C713C">
        <w:rPr>
          <w:rFonts w:cstheme="minorHAnsi"/>
          <w:sz w:val="24"/>
          <w:szCs w:val="24"/>
        </w:rPr>
        <w:t xml:space="preserve">It seems that the magnitude of the negative association between divorce and academic achievement was driven by maternal education level, as children with somewhat more educated mothers underperformed when controlled for income and paternal education </w:t>
      </w:r>
      <w:r w:rsidRPr="001C713C">
        <w:rPr>
          <w:rFonts w:cstheme="minorHAnsi"/>
          <w:sz w:val="24"/>
          <w:szCs w:val="24"/>
        </w:rPr>
        <w:lastRenderedPageBreak/>
        <w:t xml:space="preserve">levels. A statistically stronger reduction in GPA among the groups of divorced mothers can be observed where the highest education was either secondary, Bachelors, Masters or Ph.D. in comparison to their peers with basic-level education after adjusted for the socioeconomic measures. In other words, educated divorced mothers can’t transmit their knowledge and qualifications to their children, possibly due to the “double burden” of working in a high (demanding) position earned by their qualities and investing time in their children </w:t>
      </w:r>
      <w:r w:rsidRPr="001C713C">
        <w:rPr>
          <w:rFonts w:cstheme="minorHAnsi"/>
          <w:sz w:val="24"/>
          <w:szCs w:val="24"/>
        </w:rPr>
        <w:fldChar w:fldCharType="begin" w:fldLock="1"/>
      </w:r>
      <w:r w:rsidRPr="001C713C">
        <w:rPr>
          <w:rFonts w:cstheme="minorHAnsi"/>
          <w:sz w:val="24"/>
          <w:szCs w:val="24"/>
        </w:rPr>
        <w:instrText>ADDIN CSL_CITATION {"citationItems":[{"id":"ITEM-1","itemData":{"DOI":"10.1371/journal.pone.0229183","ISBN":"1111111111","ISSN":"19326203","PMID":"32130231","abstract":"Background: The link between parental divorce and adolescents' academic achievement may depend on parental educational levels. However, findings have been inconsistent regarding whether the negative associations between parental divorce and adolescents' academic outcomes are greater or smaller in highly educated families. The present study aimed to investigate the possible heterogeneity in the associations between divorce and adolescents' academic achievement by parental educational levels, within the context of the elaborate Norwegian welfare state. Methods: The population-based cross-sectional youth@hordaland study of adolescents aged 16-19 years conducted in Norway in 2012, provided information about parental divorce and was linked to national administrative registries (N = 9,166) to obtain high-quality, objective data on the adolescents' grade point average (GPA), and their parents' educational qualifications and income. Results: The negative association between parental divorce and GPA was stronger among adolescents with educated or highly educated parents compared to adolescents with less educated parents. This heterogeneity was driven by maternal educational qualifications, whereby divorce was more strongly and negatively associated with GPA among adolescents with educated mothers compared to those with less educated mothers, independent of paternal educational levels and income measures. Conclusions: Among adolescents whose parents have low educational qualifications, parental divorce is not associated with their academic achievement. Educated divorced mothers appear less likely to transfer their educational advantages onto their children than nondivorced equally educated mothers, perhaps due to a \"double-burden\" regarding work pressure and childrearing responsibilities. There is a need for future studies to detail the mechanisms underlying this finding.","author":[{"dropping-particle":"","family":"Nilsen","given":"Sondre Aasen","non-dropping-particle":"","parse-names":false,"suffix":""},{"dropping-particle":"","family":"Breivik","given":"Kyrre","non-dropping-particle":"","parse-names":false,"suffix":""},{"dropping-particle":"","family":"Wold","given":"Bente","non-dropping-particle":"","parse-names":false,"suffix":""},{"dropping-particle":"","family":"Askeland","given":"Kristin Gärtner","non-dropping-particle":"","parse-names":false,"suffix":""},{"dropping-particle":"","family":"Sivertsen","given":"Børge","non-dropping-particle":"","parse-names":false,"suffix":""},{"dropping-particle":"","family":"Hysing","given":"Mari","non-dropping-particle":"","parse-names":false,"suffix":""},{"dropping-particle":"","family":"Bøe","given":"Tormod","non-dropping-particle":"","parse-names":false,"suffix":""}],"container-title":"PLoS ONE","id":"ITEM-1","issue":"3","issued":{"date-parts":[["2020"]]},"page":"1-22","title":"Divorce and adolescent academic achievement: Heterogeneity in the associations by parental education","type":"article-journal","volume":"15"},"uris":["http://www.mendeley.com/documents/?uuid=bfed76e8-c434-4f09-9149-12a6df3fd80a"]}],"mendeley":{"formattedCitation":"(Nilsen et al., 2020)","plainTextFormattedCitation":"(Nilsen et al., 2020)","previouslyFormattedCitation":"(Nilsen et al., 2020)"},"properties":{"noteIndex":0},"schema":"https://github.com/citation-style-language/schema/raw/master/csl-citation.json"}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(Nilsen et al., 2020)</w:t>
      </w:r>
      <w:r w:rsidRPr="001C713C">
        <w:rPr>
          <w:rFonts w:cstheme="minorHAnsi"/>
          <w:sz w:val="24"/>
          <w:szCs w:val="24"/>
        </w:rPr>
        <w:fldChar w:fldCharType="end"/>
      </w:r>
      <w:r w:rsidRPr="001C713C">
        <w:rPr>
          <w:rFonts w:cstheme="minorHAnsi"/>
          <w:sz w:val="24"/>
          <w:szCs w:val="24"/>
        </w:rPr>
        <w:t>.</w:t>
      </w:r>
    </w:p>
    <w:p w14:paraId="7E638AAA" w14:textId="1E8145E6" w:rsidR="00EE364F" w:rsidRPr="001C713C" w:rsidRDefault="00C57021" w:rsidP="006E2B80">
      <w:pPr>
        <w:pStyle w:val="Heading3"/>
        <w:rPr>
          <w:rFonts w:asciiTheme="minorHAnsi" w:hAnsiTheme="minorHAnsi" w:cstheme="minorHAnsi"/>
        </w:rPr>
      </w:pPr>
      <w:bookmarkStart w:id="14" w:name="_Toc64591256"/>
      <w:r>
        <w:rPr>
          <w:rFonts w:asciiTheme="minorHAnsi" w:hAnsiTheme="minorHAnsi" w:cstheme="minorHAnsi"/>
        </w:rPr>
        <w:t>2.2.</w:t>
      </w:r>
      <w:r w:rsidR="00AD1936">
        <w:rPr>
          <w:rFonts w:asciiTheme="minorHAnsi" w:hAnsiTheme="minorHAnsi" w:cstheme="minorHAnsi"/>
        </w:rPr>
        <w:t>3</w:t>
      </w:r>
      <w:r>
        <w:rPr>
          <w:rFonts w:asciiTheme="minorHAnsi" w:hAnsiTheme="minorHAnsi" w:cstheme="minorHAnsi"/>
        </w:rPr>
        <w:t>.</w:t>
      </w:r>
      <w:r w:rsidR="00A50689" w:rsidRPr="001C713C">
        <w:rPr>
          <w:rFonts w:asciiTheme="minorHAnsi" w:hAnsiTheme="minorHAnsi" w:cstheme="minorHAnsi"/>
        </w:rPr>
        <w:t xml:space="preserve"> </w:t>
      </w:r>
      <w:r w:rsidR="00B12DBC" w:rsidRPr="001C713C">
        <w:rPr>
          <w:rFonts w:asciiTheme="minorHAnsi" w:hAnsiTheme="minorHAnsi" w:cstheme="minorHAnsi"/>
        </w:rPr>
        <w:t xml:space="preserve">Parental </w:t>
      </w:r>
      <w:r w:rsidR="00827503">
        <w:rPr>
          <w:rFonts w:asciiTheme="minorHAnsi" w:hAnsiTheme="minorHAnsi" w:cstheme="minorHAnsi"/>
        </w:rPr>
        <w:t xml:space="preserve">School </w:t>
      </w:r>
      <w:r w:rsidR="00B12DBC" w:rsidRPr="001C713C">
        <w:rPr>
          <w:rFonts w:asciiTheme="minorHAnsi" w:hAnsiTheme="minorHAnsi" w:cstheme="minorHAnsi"/>
        </w:rPr>
        <w:t>Involvement</w:t>
      </w:r>
      <w:r w:rsidR="00827503">
        <w:rPr>
          <w:rFonts w:asciiTheme="minorHAnsi" w:hAnsiTheme="minorHAnsi" w:cstheme="minorHAnsi"/>
        </w:rPr>
        <w:t xml:space="preserve"> (PSI)</w:t>
      </w:r>
      <w:r w:rsidR="00A32720">
        <w:rPr>
          <w:rFonts w:asciiTheme="minorHAnsi" w:hAnsiTheme="minorHAnsi" w:cstheme="minorHAnsi"/>
        </w:rPr>
        <w:t xml:space="preserve"> and Home Environment</w:t>
      </w:r>
      <w:bookmarkEnd w:id="14"/>
    </w:p>
    <w:p w14:paraId="48B899E1" w14:textId="399621F7" w:rsidR="00AE68D9" w:rsidRPr="001C713C" w:rsidRDefault="00AE68D9" w:rsidP="006E2B80">
      <w:pPr>
        <w:spacing w:line="360" w:lineRule="auto"/>
        <w:ind w:firstLine="397"/>
        <w:jc w:val="both"/>
        <w:rPr>
          <w:rFonts w:cstheme="minorHAnsi"/>
          <w:sz w:val="24"/>
          <w:szCs w:val="24"/>
        </w:rPr>
      </w:pPr>
      <w:r w:rsidRPr="001C713C">
        <w:rPr>
          <w:rFonts w:cstheme="minorHAnsi"/>
          <w:sz w:val="24"/>
          <w:szCs w:val="24"/>
        </w:rPr>
        <w:t xml:space="preserve">An American paper which observed a high-school sophomore cohort in 1986, found that the presence of both parents has positive effects on children’s school achievement, due to relatively more encouragement and help in school work compared to single-parent families </w:t>
      </w:r>
      <w:r w:rsidRPr="001C713C">
        <w:rPr>
          <w:rFonts w:cstheme="minorHAnsi"/>
          <w:sz w:val="24"/>
          <w:szCs w:val="24"/>
        </w:rPr>
        <w:fldChar w:fldCharType="begin" w:fldLock="1"/>
      </w:r>
      <w:r w:rsidRPr="001C713C">
        <w:rPr>
          <w:rFonts w:cstheme="minorHAnsi"/>
          <w:sz w:val="24"/>
          <w:szCs w:val="24"/>
        </w:rPr>
        <w:instrText>ADDIN CSL_CITATION {"citationItems":[{"id":"ITEM-1","itemData":{"DOI":"10.2307/2096106","ISBN":"9788578110796","ISSN":"00031224","PMID":"25246403","abstract":"Acinetobacter baumannii contains RND-family efflux systems AdeABC and AdeIJK, which pump out a wide range of antimicrobial compounds, as judged from the MIC changes occurring upon deletion of the responsible genes. However, these studies may miss changes because of the high backgrounds generated by the remaining pumps and by β-lactamases, and it is unclear how the activities of these pumps compare quantitatively with those of the well-studied AcrAB-TolC system of Escherichia coli. We expressed adeABC and adeIJK of A. baumannii, as well as E. coli acrAB, in an E. coli host from which acrAB was deleted. The A. baumannii pumps were functional in E. coli, and the MIC changes that were observed largely confirmed the substrate range already reported, with important differences. Thus, the AdeABC system pumped out all β-lactams, an activity that was often missed in deletion studies. When the expression level of the pump genes was adjusted to a similar level for a comparison with AcrAB-TolC, we found that both A. baumannii efflux systems pumped out a wide range of compounds, but AdeABC was less effective than AcrAB-TolC in the extrusion of lipophilic β-lactams, novobiocin, and ethidium bromide, although it was more effective at tetracycline efflux. AdeIJK was remarkably more effective than a similar level of AcrAB-TolC in the efflux of β-lactams, novobiocin, and ethidium bromide, although it was less so in the efflux of erythromycin. These results thus allow us to compare these efflux systems on a quantitative basis, if we can assume that the heterologous systems are fully functional in the E. coli host.","author":[{"dropping-particle":"","family":"Astone","given":"Nan Marie","non-dropping-particle":"","parse-names":false,"suffix":""},{"dropping-particle":"","family":"McLanahan","given":"Sara S.","non-dropping-particle":"","parse-names":false,"suffix":""}],"container-title":"American Sociological Review","editor":[{"dropping-particle":"","family":"Intergovernmental Panel on Climate Change","given":"","non-dropping-particle":"","parse-names":false,"suffix":""}],"id":"ITEM-1","issue":"3","issued":{"date-parts":[["1991","6","7"]]},"page":"309","publisher":"Cambridge University Press","publisher-place":"Cambridge","title":"Family Structure, Parental Practices and High School Completion","type":"article-journal","volume":"56"},"uris":["http://www.mendeley.com/documents/?uuid=fc1c9ec4-b814-4216-a69b-bc659bfc87f3"]}],"mendeley":{"formattedCitation":"(Astone &amp; McLanahan, 1991)","plainTextFormattedCitation":"(Astone &amp; McLanahan, 1991)","previouslyFormattedCitation":"(Astone &amp; McLanahan, 1991)"},"properties":{"noteIndex":0},"schema":"https://github.com/citation-style-language/schema/raw/master/csl-citation.json"}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(Astone &amp; McLanahan, 1991)</w:t>
      </w:r>
      <w:r w:rsidRPr="001C713C">
        <w:rPr>
          <w:rFonts w:cstheme="minorHAnsi"/>
          <w:sz w:val="24"/>
          <w:szCs w:val="24"/>
        </w:rPr>
        <w:fldChar w:fldCharType="end"/>
      </w:r>
      <w:r w:rsidRPr="001C713C">
        <w:rPr>
          <w:rFonts w:cstheme="minorHAnsi"/>
          <w:sz w:val="24"/>
          <w:szCs w:val="24"/>
        </w:rPr>
        <w:t xml:space="preserve">. </w:t>
      </w:r>
      <w:r w:rsidR="00EE364F" w:rsidRPr="001C713C">
        <w:rPr>
          <w:rFonts w:cstheme="minorHAnsi"/>
          <w:sz w:val="24"/>
          <w:szCs w:val="24"/>
        </w:rPr>
        <w:t xml:space="preserve">Reportedly, in single-parent and stepparent families, the educational aspiration and the financial commitment is lower, while there is less parental involvement in </w:t>
      </w:r>
      <w:r w:rsidR="00C57021" w:rsidRPr="001C713C">
        <w:rPr>
          <w:rFonts w:cstheme="minorHAnsi"/>
          <w:sz w:val="24"/>
          <w:szCs w:val="24"/>
        </w:rPr>
        <w:t>schoolwork</w:t>
      </w:r>
      <w:r w:rsidR="00EE364F" w:rsidRPr="001C713C">
        <w:rPr>
          <w:rFonts w:cstheme="minorHAnsi"/>
          <w:sz w:val="24"/>
          <w:szCs w:val="24"/>
        </w:rPr>
        <w:t xml:space="preserve">. </w:t>
      </w:r>
      <w:r w:rsidR="004053AD" w:rsidRPr="001C713C">
        <w:rPr>
          <w:rFonts w:cstheme="minorHAnsi"/>
          <w:sz w:val="24"/>
          <w:szCs w:val="24"/>
        </w:rPr>
        <w:t xml:space="preserve">The </w:t>
      </w:r>
      <w:r w:rsidR="00EE364F" w:rsidRPr="001C713C">
        <w:rPr>
          <w:rFonts w:cstheme="minorHAnsi"/>
          <w:sz w:val="24"/>
          <w:szCs w:val="24"/>
        </w:rPr>
        <w:t xml:space="preserve">custodial parent </w:t>
      </w:r>
      <w:r w:rsidR="004053AD" w:rsidRPr="001C713C">
        <w:rPr>
          <w:rFonts w:cstheme="minorHAnsi"/>
          <w:sz w:val="24"/>
          <w:szCs w:val="24"/>
        </w:rPr>
        <w:t>must</w:t>
      </w:r>
      <w:r w:rsidR="00EE364F" w:rsidRPr="001C713C">
        <w:rPr>
          <w:rFonts w:cstheme="minorHAnsi"/>
          <w:sz w:val="24"/>
          <w:szCs w:val="24"/>
        </w:rPr>
        <w:t xml:space="preserve"> bear the burden of work</w:t>
      </w:r>
      <w:r w:rsidR="004053AD" w:rsidRPr="001C713C">
        <w:rPr>
          <w:rFonts w:cstheme="minorHAnsi"/>
          <w:sz w:val="24"/>
          <w:szCs w:val="24"/>
        </w:rPr>
        <w:t xml:space="preserve"> to compensate for income loss</w:t>
      </w:r>
      <w:r w:rsidR="00EE364F" w:rsidRPr="001C713C">
        <w:rPr>
          <w:rFonts w:cstheme="minorHAnsi"/>
          <w:sz w:val="24"/>
          <w:szCs w:val="24"/>
        </w:rPr>
        <w:t xml:space="preserve">, </w:t>
      </w:r>
      <w:r w:rsidR="00DB3320" w:rsidRPr="001C713C">
        <w:rPr>
          <w:rFonts w:cstheme="minorHAnsi"/>
          <w:sz w:val="24"/>
          <w:szCs w:val="24"/>
        </w:rPr>
        <w:t>thus</w:t>
      </w:r>
      <w:r w:rsidR="00EE364F" w:rsidRPr="001C713C">
        <w:rPr>
          <w:rFonts w:cstheme="minorHAnsi"/>
          <w:sz w:val="24"/>
          <w:szCs w:val="24"/>
        </w:rPr>
        <w:t>, less time can be invested and devoted to their children</w:t>
      </w:r>
      <w:r w:rsidR="009F0424">
        <w:rPr>
          <w:rFonts w:cstheme="minorHAnsi"/>
          <w:sz w:val="24"/>
          <w:szCs w:val="24"/>
        </w:rPr>
        <w:t xml:space="preserve"> and their school matters</w:t>
      </w:r>
      <w:r w:rsidR="00EE364F" w:rsidRPr="001C713C">
        <w:rPr>
          <w:rFonts w:cstheme="minorHAnsi"/>
          <w:sz w:val="24"/>
          <w:szCs w:val="24"/>
        </w:rPr>
        <w:t>.</w:t>
      </w:r>
    </w:p>
    <w:p w14:paraId="799BF4BB" w14:textId="4030AFB7" w:rsidR="00AE68D9" w:rsidRPr="001C713C" w:rsidRDefault="00B23872" w:rsidP="006E2B80">
      <w:pPr>
        <w:spacing w:line="360" w:lineRule="auto"/>
        <w:ind w:firstLine="397"/>
        <w:jc w:val="both"/>
        <w:rPr>
          <w:rFonts w:cstheme="minorHAnsi"/>
          <w:sz w:val="24"/>
          <w:szCs w:val="24"/>
        </w:rPr>
      </w:pPr>
      <w:r w:rsidRPr="001C713C">
        <w:rPr>
          <w:rFonts w:cstheme="minorHAnsi"/>
          <w:sz w:val="24"/>
          <w:szCs w:val="24"/>
        </w:rPr>
        <w:t>On one hand</w:t>
      </w:r>
      <w:r w:rsidR="00EE364F" w:rsidRPr="001C713C">
        <w:rPr>
          <w:rFonts w:cstheme="minorHAnsi"/>
          <w:sz w:val="24"/>
          <w:szCs w:val="24"/>
        </w:rPr>
        <w:t xml:space="preserve">, due to the lack of time and the amount of stress, they tend to provide less </w:t>
      </w:r>
      <w:r w:rsidR="0027559F" w:rsidRPr="001C713C">
        <w:rPr>
          <w:rFonts w:cstheme="minorHAnsi"/>
          <w:sz w:val="24"/>
          <w:szCs w:val="24"/>
        </w:rPr>
        <w:t>monitoring</w:t>
      </w:r>
      <w:r w:rsidR="00EE364F" w:rsidRPr="001C713C">
        <w:rPr>
          <w:rFonts w:cstheme="minorHAnsi"/>
          <w:sz w:val="24"/>
          <w:szCs w:val="24"/>
        </w:rPr>
        <w:t>, take disciplinary actions, and establish rules in the household</w:t>
      </w:r>
      <w:r w:rsidR="00507760" w:rsidRPr="001C713C">
        <w:rPr>
          <w:rFonts w:cstheme="minorHAnsi"/>
          <w:sz w:val="24"/>
          <w:szCs w:val="24"/>
        </w:rPr>
        <w:t xml:space="preserve"> </w:t>
      </w:r>
      <w:r w:rsidR="00507760" w:rsidRPr="001C713C">
        <w:rPr>
          <w:rFonts w:cstheme="minorHAnsi"/>
          <w:sz w:val="24"/>
          <w:szCs w:val="24"/>
        </w:rPr>
        <w:fldChar w:fldCharType="begin" w:fldLock="1"/>
      </w:r>
      <w:r w:rsidR="00090849">
        <w:rPr>
          <w:rFonts w:cstheme="minorHAnsi"/>
          <w:sz w:val="24"/>
          <w:szCs w:val="24"/>
        </w:rPr>
        <w:instrText>ADDIN CSL_CITATION {"citationItems":[{"id":"ITEM-1","itemData":{"DOI":"10.1002/j.1839-4655.1987.tb00847.x","ISSN":"0157-6321","abstract":"1/05/20","author":[{"dropping-particle":"","family":"Amato","given":"Paul R.","non-dropping-particle":"","parse-names":false,"suffix":""}],"container-title":"Australian Journal of Social Issues","id":"ITEM-1","issue":"4","issued":{"date-parts":[["1987"]]},"page":"610-623","title":"Children's Reactions to Parental Separation and Divorce: The Views of Children and Custodial Mothers","type":"article-journal","volume":"22"},"uris":["http://www.mendeley.com/documents/?uuid=fa26dfe5-767a-4519-876c-b37ee8863944"]},{"id":"ITEM-2","itemData":{"DOI":"10.1300/J002v37n03_06","ISSN":"0149-4929","author":[{"dropping-particle":"","family":"Jeynes","given":"William H.","non-dropping-particle":"","parse-names":false,"suffix":""}],"container-title":"Marriage &amp; Family Review","id":"ITEM-2","issue":"3","issued":{"date-parts":[["2005","7","11"]]},"page":"99-116","title":"Effects of Parental Involvement and Family Structure on the Academic Achievement of Adolescents","type":"article-journal","volume":"37"},"uris":["http://www.mendeley.com/documents/?uuid=b21c143a-e376-4a19-90db-796d925ae6d7"]}],"mendeley":{"formattedCitation":"(Amato, 1987a; Jeynes, 2005)","plainTextFormattedCitation":"(Amato, 1987a; Jeynes, 2005)","previouslyFormattedCitation":"(Amato, 1987a; Jeynes, 2005)"},"properties":{"noteIndex":0},"schema":"https://github.com/citation-style-language/schema/raw/master/csl-citation.json"}</w:instrText>
      </w:r>
      <w:r w:rsidR="00507760" w:rsidRPr="001C713C">
        <w:rPr>
          <w:rFonts w:cstheme="minorHAnsi"/>
          <w:sz w:val="24"/>
          <w:szCs w:val="24"/>
        </w:rPr>
        <w:fldChar w:fldCharType="separate"/>
      </w:r>
      <w:r w:rsidR="00507760" w:rsidRPr="001C713C">
        <w:rPr>
          <w:rFonts w:cstheme="minorHAnsi"/>
          <w:noProof/>
          <w:sz w:val="24"/>
          <w:szCs w:val="24"/>
        </w:rPr>
        <w:t>(Amato, 1987a; Jeynes, 2005)</w:t>
      </w:r>
      <w:r w:rsidR="00507760" w:rsidRPr="001C713C">
        <w:rPr>
          <w:rFonts w:cstheme="minorHAnsi"/>
          <w:sz w:val="24"/>
          <w:szCs w:val="24"/>
        </w:rPr>
        <w:fldChar w:fldCharType="end"/>
      </w:r>
      <w:r w:rsidR="00EE364F" w:rsidRPr="001C713C">
        <w:rPr>
          <w:rFonts w:cstheme="minorHAnsi"/>
          <w:sz w:val="24"/>
          <w:szCs w:val="24"/>
        </w:rPr>
        <w:t>.</w:t>
      </w:r>
      <w:r w:rsidRPr="001C713C">
        <w:rPr>
          <w:rFonts w:cstheme="minorHAnsi"/>
          <w:sz w:val="24"/>
          <w:szCs w:val="24"/>
        </w:rPr>
        <w:t xml:space="preserve"> On the other hand, some mothers implied that they feel their household more cohesive, and they can invest more time in their children since they don’t have to negotiate values and beliefs with the other parent </w:t>
      </w:r>
      <w:r w:rsidRPr="001C713C">
        <w:rPr>
          <w:rFonts w:cstheme="minorHAnsi"/>
          <w:sz w:val="24"/>
          <w:szCs w:val="24"/>
        </w:rPr>
        <w:fldChar w:fldCharType="begin" w:fldLock="1"/>
      </w:r>
      <w:r w:rsidRPr="001C713C">
        <w:rPr>
          <w:rFonts w:cstheme="minorHAnsi"/>
          <w:sz w:val="24"/>
          <w:szCs w:val="24"/>
        </w:rPr>
        <w:instrText>ADDIN CSL_CITATION {"citationItems":[{"id":"ITEM-1","itemData":{"DOI":"10.1002/j.1839-4655.1987.tb00847.x","ISSN":"0157-6321","abstract":"1/05/20","author":[{"dropping-particle":"","family":"Amato","given":"Paul R.","non-dropping-particle":"","parse-names":false,"suffix":""}],"container-title":"Australian Journal of Social Issues","id":"ITEM-1","issue":"4","issued":{"date-parts":[["1987"]]},"page":"610-623","title":"Children's Reactions to Parental Separation and Divorce: The Views of Children and Custodial Mothers","type":"article-journal","volume":"22"},"uris":["http://www.mendeley.com/documents/?uuid=fa26dfe5-767a-4519-876c-b37ee8863944"]}],"mendeley":{"formattedCitation":"(Amato, 1987a)","plainTextFormattedCitation":"(Amato, 1987a)","previouslyFormattedCitation":"(Amato, 1987a)"},"properties":{"noteIndex":0},"schema":"https://github.com/citation-style-language/schema/raw/master/csl-citation.json"}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(Amato, 1987a)</w:t>
      </w:r>
      <w:r w:rsidRPr="001C713C">
        <w:rPr>
          <w:rFonts w:cstheme="minorHAnsi"/>
          <w:sz w:val="24"/>
          <w:szCs w:val="24"/>
        </w:rPr>
        <w:fldChar w:fldCharType="end"/>
      </w:r>
      <w:r w:rsidRPr="001C713C">
        <w:rPr>
          <w:rFonts w:cstheme="minorHAnsi"/>
          <w:sz w:val="24"/>
          <w:szCs w:val="24"/>
        </w:rPr>
        <w:t xml:space="preserve">. </w:t>
      </w:r>
      <w:r w:rsidR="007A6B34" w:rsidRPr="001C713C">
        <w:rPr>
          <w:rFonts w:cstheme="minorHAnsi"/>
          <w:sz w:val="24"/>
          <w:szCs w:val="24"/>
        </w:rPr>
        <w:t xml:space="preserve"> </w:t>
      </w:r>
      <w:r w:rsidR="000B1C0F" w:rsidRPr="001C713C">
        <w:rPr>
          <w:rFonts w:cstheme="minorHAnsi"/>
          <w:sz w:val="24"/>
          <w:szCs w:val="24"/>
        </w:rPr>
        <w:t>C</w:t>
      </w:r>
      <w:r w:rsidR="007A6B34" w:rsidRPr="001C713C">
        <w:rPr>
          <w:rFonts w:cstheme="minorHAnsi"/>
          <w:sz w:val="24"/>
          <w:szCs w:val="24"/>
        </w:rPr>
        <w:t xml:space="preserve">hildren in a one-parent family </w:t>
      </w:r>
      <w:r w:rsidR="00DB3320" w:rsidRPr="001C713C">
        <w:rPr>
          <w:rFonts w:cstheme="minorHAnsi"/>
          <w:sz w:val="24"/>
          <w:szCs w:val="24"/>
        </w:rPr>
        <w:t>generally</w:t>
      </w:r>
      <w:r w:rsidR="007A6B34" w:rsidRPr="001C713C">
        <w:rPr>
          <w:rFonts w:cstheme="minorHAnsi"/>
          <w:sz w:val="24"/>
          <w:szCs w:val="24"/>
        </w:rPr>
        <w:t xml:space="preserve"> have more household chores to help out the single parent</w:t>
      </w:r>
      <w:r w:rsidR="00DB3320" w:rsidRPr="001C713C">
        <w:rPr>
          <w:rFonts w:cstheme="minorHAnsi"/>
          <w:sz w:val="24"/>
          <w:szCs w:val="24"/>
        </w:rPr>
        <w:t xml:space="preserve"> in need</w:t>
      </w:r>
      <w:r w:rsidR="007A6B34" w:rsidRPr="001C713C">
        <w:rPr>
          <w:rFonts w:cstheme="minorHAnsi"/>
          <w:sz w:val="24"/>
          <w:szCs w:val="24"/>
        </w:rPr>
        <w:t>, therefore, it reduces the</w:t>
      </w:r>
      <w:r w:rsidR="004053AD" w:rsidRPr="001C713C">
        <w:rPr>
          <w:rFonts w:cstheme="minorHAnsi"/>
          <w:sz w:val="24"/>
          <w:szCs w:val="24"/>
        </w:rPr>
        <w:t>ir</w:t>
      </w:r>
      <w:r w:rsidR="007A6B34" w:rsidRPr="001C713C">
        <w:rPr>
          <w:rFonts w:cstheme="minorHAnsi"/>
          <w:sz w:val="24"/>
          <w:szCs w:val="24"/>
        </w:rPr>
        <w:t xml:space="preserve"> time spent on homework and preparing for classes </w:t>
      </w:r>
      <w:r w:rsidR="007A6B34" w:rsidRPr="001C713C">
        <w:rPr>
          <w:rFonts w:cstheme="minorHAnsi"/>
          <w:sz w:val="24"/>
          <w:szCs w:val="24"/>
        </w:rPr>
        <w:fldChar w:fldCharType="begin" w:fldLock="1"/>
      </w:r>
      <w:r w:rsidR="006B64E1" w:rsidRPr="001C713C">
        <w:rPr>
          <w:rFonts w:cstheme="minorHAnsi"/>
          <w:sz w:val="24"/>
          <w:szCs w:val="24"/>
        </w:rPr>
        <w:instrText>ADDIN CSL_CITATION {"citationItems":[{"id":"ITEM-1","itemData":{"DOI":"10.2307/352303","ISSN":"00222445","abstract":"In a study of the effects of divorce and remarriage on the adjustment and development of children, primary school children (n = 172) and adolescents (n = 170) reported on processes in three types of families: mother-custody one-parent, mother-custody stepparent, and intact two-parent. Children reported similar levels of support and punishment from mothers, regardless of family type. Compared with children in intact families, children in one-parent families reported less father support, less father control, less father punishment, more autonomy, more household responsibility, more conflict with siblings, and less family cohesion. Stepfathers were said to provide less support, control, and punishment than biological fathers in intact families, although stepfather involvement was positively associated with the number of years stepfamilies had been together.","author":[{"dropping-particle":"","family":"Amato","given":"Paul R.","non-dropping-particle":"","parse-names":false,"suffix":""}],"container-title":"Journal of Marriage and the Family","id":"ITEM-1","issue":"2","issued":{"date-parts":[["1987"]]},"page":"327","title":"Family Processes in One-Parent, Stepparent, and Intact Families: The Child's Point of View","type":"article-journal","volume":"49"},"uris":["http://www.mendeley.com/documents/?uuid=4f471101-4508-4724-939c-22f01517aab4"]}],"mendeley":{"formattedCitation":"(Amato, 1987b)","plainTextFormattedCitation":"(Amato, 1987b)","previouslyFormattedCitation":"(Amato, 1987b)"},"properties":{"noteIndex":0},"schema":"https://github.com/citation-style-language/schema/raw/master/csl-citation.json"}</w:instrText>
      </w:r>
      <w:r w:rsidR="007A6B34" w:rsidRPr="001C713C">
        <w:rPr>
          <w:rFonts w:cstheme="minorHAnsi"/>
          <w:sz w:val="24"/>
          <w:szCs w:val="24"/>
        </w:rPr>
        <w:fldChar w:fldCharType="separate"/>
      </w:r>
      <w:r w:rsidR="007A6B34" w:rsidRPr="001C713C">
        <w:rPr>
          <w:rFonts w:cstheme="minorHAnsi"/>
          <w:noProof/>
          <w:sz w:val="24"/>
          <w:szCs w:val="24"/>
        </w:rPr>
        <w:t>(Amato, 1987b)</w:t>
      </w:r>
      <w:r w:rsidR="007A6B34" w:rsidRPr="001C713C">
        <w:rPr>
          <w:rFonts w:cstheme="minorHAnsi"/>
          <w:sz w:val="24"/>
          <w:szCs w:val="24"/>
        </w:rPr>
        <w:fldChar w:fldCharType="end"/>
      </w:r>
      <w:r w:rsidR="007A6B34" w:rsidRPr="001C713C">
        <w:rPr>
          <w:rFonts w:cstheme="minorHAnsi"/>
          <w:sz w:val="24"/>
          <w:szCs w:val="24"/>
        </w:rPr>
        <w:t>.</w:t>
      </w:r>
      <w:r w:rsidR="00DB3320" w:rsidRPr="001C713C">
        <w:rPr>
          <w:rFonts w:cstheme="minorHAnsi"/>
          <w:sz w:val="24"/>
          <w:szCs w:val="24"/>
        </w:rPr>
        <w:t xml:space="preserve"> </w:t>
      </w:r>
    </w:p>
    <w:p w14:paraId="473A7309" w14:textId="01FE7AB2" w:rsidR="00DB0415" w:rsidRPr="001C713C" w:rsidRDefault="00DB0415" w:rsidP="006E2B80">
      <w:pPr>
        <w:spacing w:line="360" w:lineRule="auto"/>
        <w:ind w:firstLine="397"/>
        <w:jc w:val="both"/>
        <w:rPr>
          <w:rFonts w:cstheme="minorHAnsi"/>
          <w:sz w:val="24"/>
          <w:szCs w:val="24"/>
        </w:rPr>
      </w:pPr>
      <w:r w:rsidRPr="001C713C">
        <w:rPr>
          <w:rFonts w:cstheme="minorHAnsi"/>
          <w:sz w:val="24"/>
          <w:szCs w:val="24"/>
        </w:rPr>
        <w:t xml:space="preserve">When it comes to disciplining the children, it appears that rather the absence of a father weakens parental authority over the children in mother-only households. However, </w:t>
      </w:r>
      <w:r w:rsidR="000A50B2" w:rsidRPr="001C713C">
        <w:rPr>
          <w:rFonts w:cstheme="minorHAnsi"/>
          <w:sz w:val="24"/>
          <w:szCs w:val="24"/>
        </w:rPr>
        <w:t>some studies</w:t>
      </w:r>
      <w:r w:rsidRPr="001C713C">
        <w:rPr>
          <w:rFonts w:cstheme="minorHAnsi"/>
          <w:sz w:val="24"/>
          <w:szCs w:val="24"/>
        </w:rPr>
        <w:t xml:space="preserve"> have contradicted such </w:t>
      </w:r>
      <w:r w:rsidR="000A50B2" w:rsidRPr="001C713C">
        <w:rPr>
          <w:rFonts w:cstheme="minorHAnsi"/>
          <w:sz w:val="24"/>
          <w:szCs w:val="24"/>
        </w:rPr>
        <w:t xml:space="preserve">a </w:t>
      </w:r>
      <w:r w:rsidRPr="001C713C">
        <w:rPr>
          <w:rFonts w:cstheme="minorHAnsi"/>
          <w:sz w:val="24"/>
          <w:szCs w:val="24"/>
        </w:rPr>
        <w:t xml:space="preserve">hypothesis as they found that classroom behavior just as bad </w:t>
      </w:r>
      <w:r w:rsidR="00F9167C" w:rsidRPr="001C713C">
        <w:rPr>
          <w:rFonts w:cstheme="minorHAnsi"/>
          <w:sz w:val="24"/>
          <w:szCs w:val="24"/>
        </w:rPr>
        <w:t xml:space="preserve">regardless </w:t>
      </w:r>
      <w:r w:rsidR="00436F07" w:rsidRPr="001C713C">
        <w:rPr>
          <w:rFonts w:cstheme="minorHAnsi"/>
          <w:sz w:val="24"/>
          <w:szCs w:val="24"/>
        </w:rPr>
        <w:t xml:space="preserve">of </w:t>
      </w:r>
      <w:r w:rsidR="00F9167C" w:rsidRPr="001C713C">
        <w:rPr>
          <w:rFonts w:cstheme="minorHAnsi"/>
          <w:sz w:val="24"/>
          <w:szCs w:val="24"/>
        </w:rPr>
        <w:t>the sex of</w:t>
      </w:r>
      <w:r w:rsidR="00436F07" w:rsidRPr="001C713C">
        <w:rPr>
          <w:rFonts w:cstheme="minorHAnsi"/>
          <w:sz w:val="24"/>
          <w:szCs w:val="24"/>
        </w:rPr>
        <w:t xml:space="preserve"> the </w:t>
      </w:r>
      <w:r w:rsidR="00F9167C" w:rsidRPr="001C713C">
        <w:rPr>
          <w:rFonts w:cstheme="minorHAnsi"/>
          <w:sz w:val="24"/>
          <w:szCs w:val="24"/>
        </w:rPr>
        <w:t>custodial parent</w:t>
      </w:r>
      <w:r w:rsidRPr="001C713C">
        <w:rPr>
          <w:rFonts w:cstheme="minorHAnsi"/>
          <w:sz w:val="24"/>
          <w:szCs w:val="24"/>
        </w:rPr>
        <w:t>. Controlling for economic and interpersonal resources including the home equipment, it also seems that there is no difference in academic grades</w:t>
      </w:r>
      <w:r w:rsidR="000B1C0F" w:rsidRPr="001C713C">
        <w:rPr>
          <w:rFonts w:cstheme="minorHAnsi"/>
          <w:sz w:val="24"/>
          <w:szCs w:val="24"/>
        </w:rPr>
        <w:t xml:space="preserve"> and most of the variance in adjustment can be explained by the socioeconomic factors</w:t>
      </w:r>
      <w:r w:rsidRPr="001C713C">
        <w:rPr>
          <w:rFonts w:cstheme="minorHAnsi"/>
          <w:sz w:val="24"/>
          <w:szCs w:val="24"/>
        </w:rPr>
        <w:t xml:space="preserve">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{"citationItems":[{"id":"ITEM-1","itemData":{"DOI":"10.1177/019251394015001006","ISSN":"15525481","abstract":"Very little is known about the academic performance of children from single-father families. How do they achieve in school relative to children from single-mother and two-parent families? Do the same processes posited to explain the school performance of children from single-mother households account for the educational performance of children in single-father homes? These questions are addressed using a nationally representative sample of 8th graders from the National Longitudinal Study of 1988. Eight different educational outcomes are compared for 409 children in single-father, 3,483 in single-mother, and 14,269 children in biological two-parent families. Children from single-father and single-mother families perform roughly the same in school, but both are outperformed by children from two-parent families. The intervening processes explaining school performance for children from single-father and single-mother families are somewhat different, however. Economic deprivation, or the lack of economic resources, is more useful for understanding the school difficulties of children from single-mother families, whereas interpersonal deprivation, or the lack of interpersonal parental resources, provide a more accurate description for why children from single-father families do poorly in school. © 1994, SAGE Periodicals Press. All rights reserved.","author":[{"dropping-particle":"","family":"Downey","given":"Douglas B.","non-dropping-particle":"","parse-names":false,"suffix":""}],"container-title":"Journal of Family Issues","id":"ITEM-1","issue":"1","issued":{"date-parts":[["1994"]]},"page":"129-147","title":"The School Performance of Children From Single-Mother and Single-Father Families:: Economic or Interpersonal Deprivation?","type":"article-journal","volume":"15"},"uris":["http://www.mendeley.com/documents/?uuid=1ef1a13a-6c20-4896-bbe4-b6f34a39655b"]}],"mendeley":{"formattedCitation":"(Downey, 1994)","plainTextFormattedCitation":"(Downey, 1994)","previouslyFormattedCitation":"(Downey,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(Downey, 1994)</w:t>
      </w:r>
      <w:r w:rsidRPr="001C713C">
        <w:rPr>
          <w:rFonts w:cstheme="minorHAnsi"/>
          <w:sz w:val="24"/>
          <w:szCs w:val="24"/>
        </w:rPr>
        <w:fldChar w:fldCharType="end"/>
      </w:r>
      <w:r w:rsidRPr="001C713C">
        <w:rPr>
          <w:rFonts w:cstheme="minorHAnsi"/>
          <w:sz w:val="24"/>
          <w:szCs w:val="24"/>
        </w:rPr>
        <w:t>.</w:t>
      </w:r>
    </w:p>
    <w:p w14:paraId="65E287E2" w14:textId="32602CAF" w:rsidR="00D14B40" w:rsidRPr="001C713C" w:rsidRDefault="00D14B40" w:rsidP="001D7122">
      <w:pPr>
        <w:spacing w:line="360" w:lineRule="auto"/>
        <w:ind w:firstLine="397"/>
        <w:jc w:val="both"/>
        <w:rPr>
          <w:rFonts w:cstheme="minorHAnsi"/>
          <w:sz w:val="24"/>
          <w:szCs w:val="24"/>
        </w:rPr>
      </w:pPr>
      <w:r w:rsidRPr="001C713C">
        <w:rPr>
          <w:rFonts w:cstheme="minorHAnsi"/>
          <w:sz w:val="24"/>
          <w:szCs w:val="24"/>
        </w:rPr>
        <w:lastRenderedPageBreak/>
        <w:t xml:space="preserve">It is also worth noting that generally, the father contributes less to </w:t>
      </w:r>
      <w:r w:rsidR="00C57021" w:rsidRPr="001C713C">
        <w:rPr>
          <w:rFonts w:cstheme="minorHAnsi"/>
          <w:sz w:val="24"/>
          <w:szCs w:val="24"/>
        </w:rPr>
        <w:t>childcare</w:t>
      </w:r>
      <w:r w:rsidRPr="001C713C">
        <w:rPr>
          <w:rFonts w:cstheme="minorHAnsi"/>
          <w:sz w:val="24"/>
          <w:szCs w:val="24"/>
        </w:rPr>
        <w:t xml:space="preserve"> and parental relationships because as in the case of most countries, including Hungary</w:t>
      </w:r>
      <w:r w:rsidR="00720FE1" w:rsidRPr="001C713C">
        <w:rPr>
          <w:rFonts w:cstheme="minorHAnsi"/>
          <w:sz w:val="24"/>
          <w:szCs w:val="24"/>
        </w:rPr>
        <w:t>,</w:t>
      </w:r>
      <w:r w:rsidRPr="001C713C">
        <w:rPr>
          <w:rFonts w:cstheme="minorHAnsi"/>
          <w:sz w:val="24"/>
          <w:szCs w:val="24"/>
        </w:rPr>
        <w:t xml:space="preserve"> </w:t>
      </w:r>
      <w:r w:rsidR="00720FE1" w:rsidRPr="001C713C">
        <w:rPr>
          <w:rFonts w:cstheme="minorHAnsi"/>
          <w:sz w:val="24"/>
          <w:szCs w:val="24"/>
        </w:rPr>
        <w:t>lion’s share of the</w:t>
      </w:r>
      <w:r w:rsidRPr="001C713C">
        <w:rPr>
          <w:rFonts w:cstheme="minorHAnsi"/>
          <w:sz w:val="24"/>
          <w:szCs w:val="24"/>
        </w:rPr>
        <w:t xml:space="preserve"> children live</w:t>
      </w:r>
      <w:r w:rsidR="00436F07" w:rsidRPr="001C713C">
        <w:rPr>
          <w:rFonts w:cstheme="minorHAnsi"/>
          <w:sz w:val="24"/>
          <w:szCs w:val="24"/>
        </w:rPr>
        <w:t>s</w:t>
      </w:r>
      <w:r w:rsidRPr="001C713C">
        <w:rPr>
          <w:rFonts w:cstheme="minorHAnsi"/>
          <w:sz w:val="24"/>
          <w:szCs w:val="24"/>
        </w:rPr>
        <w:t xml:space="preserve"> with their mother after the separation. Scholars understand that fathers have to adjust to the loss of shared residence which can lead to the withdrawal of parental involvement in the form of declines in visitations, less child support payment, and diminishing quality of co-parental involvement </w:t>
      </w:r>
      <w:r w:rsidRPr="001C713C">
        <w:rPr>
          <w:rFonts w:cstheme="minorHAnsi"/>
          <w:sz w:val="24"/>
          <w:szCs w:val="24"/>
        </w:rPr>
        <w:fldChar w:fldCharType="begin" w:fldLock="1"/>
      </w:r>
      <w:r w:rsidRPr="001C713C">
        <w:rPr>
          <w:rFonts w:cstheme="minorHAnsi"/>
          <w:sz w:val="24"/>
          <w:szCs w:val="24"/>
        </w:rPr>
        <w:instrText>ADDIN CSL_CITATION {"citationItems":[{"id":"ITEM-1","itemData":{"DOI":"10.2307/2096106","ISBN":"9788578110796","ISSN":"00031224","PMID":"25246403","abstract":"Acinetobacter baumannii contains RND-family efflux systems AdeABC and AdeIJK, which pump out a wide range of antimicrobial compounds, as judged from the MIC changes occurring upon deletion of the responsible genes. However, these studies may miss changes because of the high backgrounds generated by the remaining pumps and by β-lactamases, and it is unclear how the activities of these pumps compare quantitatively with those of the well-studied AcrAB-TolC system of Escherichia coli. We expressed adeABC and adeIJK of A. baumannii, as well as E. coli acrAB, in an E. coli host from which acrAB was deleted. The A. baumannii pumps were functional in E. coli, and the MIC changes that were observed largely confirmed the substrate range already reported, with important differences. Thus, the AdeABC system pumped out all β-lactams, an activity that was often missed in deletion studies. When the expression level of the pump genes was adjusted to a similar level for a comparison with AcrAB-TolC, we found that both A. baumannii efflux systems pumped out a wide range of compounds, but AdeABC was less effective than AcrAB-TolC in the extrusion of lipophilic β-lactams, novobiocin, and ethidium bromide, although it was more effective at tetracycline efflux. AdeIJK was remarkably more effective than a similar level of AcrAB-TolC in the efflux of β-lactams, novobiocin, and ethidium bromide, although it was less so in the efflux of erythromycin. These results thus allow us to compare these efflux systems on a quantitative basis, if we can assume that the heterologous systems are fully functional in the E. coli host.","author":[{"dropping-particle":"","family":"Astone","given":"Nan Marie","non-dropping-particle":"","parse-names":false,"suffix":""},{"dropping-particle":"","family":"McLanahan","given":"Sara S.","non-dropping-particle":"","parse-names":false,"suffix":""}],"container-title":"American Sociological Review","editor":[{"dropping-particle":"","family":"Intergovernmental Panel on Climate Change","given":"","non-dropping-particle":"","parse-names":false,"suffix":""}],"id":"ITEM-1","issue":"3","issued":{"date-parts":[["1991","6","7"]]},"page":"309","publisher":"Cambridge University Press","publisher-place":"Cambridge","title":"Family Structure, Parental Practices and High School Completion","type":"article-journal","volume":"56"},"uris":["http://www.mendeley.com/documents/?uuid=fc1c9ec4-b814-4216-a69b-bc659bfc87f3"]}],"mendeley":{"formattedCitation":"(Astone &amp; McLanahan, 1991)","plainTextFormattedCitation":"(Astone &amp; McLanahan, 1991)","previouslyFormattedCitation":"(Astone &amp; McLanahan, 1991)"},"properties":{"noteIndex":0},"schema":"https://github.com/citation-style-language/schema/raw/master/csl-citation.json"}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(Astone &amp; McLanahan, 1991)</w:t>
      </w:r>
      <w:r w:rsidRPr="001C713C">
        <w:rPr>
          <w:rFonts w:cstheme="minorHAnsi"/>
          <w:sz w:val="24"/>
          <w:szCs w:val="24"/>
        </w:rPr>
        <w:fldChar w:fldCharType="end"/>
      </w:r>
      <w:r w:rsidRPr="001C713C">
        <w:rPr>
          <w:rFonts w:cstheme="minorHAnsi"/>
          <w:sz w:val="24"/>
          <w:szCs w:val="24"/>
        </w:rPr>
        <w:t xml:space="preserve">. It is also believed that the involvement of the father as a child-bearer is an important determiner in the adverse effect of separation, as those children who were able to keep their close relationship with both of their custodial and non-custodial parents were more likely to adjust better to the change of family structure </w:t>
      </w:r>
      <w:r w:rsidRPr="001C713C">
        <w:rPr>
          <w:rFonts w:cstheme="minorHAnsi"/>
          <w:sz w:val="24"/>
          <w:szCs w:val="24"/>
        </w:rPr>
        <w:fldChar w:fldCharType="begin" w:fldLock="1"/>
      </w:r>
      <w:r w:rsidRPr="001C713C">
        <w:rPr>
          <w:rFonts w:cstheme="minorHAnsi"/>
          <w:sz w:val="24"/>
          <w:szCs w:val="24"/>
        </w:rPr>
        <w:instrText>ADDIN CSL_CITATION {"citationItems":[{"id":"ITEM-1","itemData":{"DOI":"10.1111/j.1741-3729.2000.00311.x","ISSN":"01976664","abstract":"The current study was designed to test a family systems-based model of fathers' involvement in coparental interaction during the first year postdivorce (n = 62 fathers). A multiple regression strategy was employed to test the proposed model. Support from the former spouse and fathers' satisfaction with their own parenting performance emerged as significant predictors of coparental interaction. Secondary moderation analyses were conducted to investigate the role that legal custody status played in the proposed model.","author":[{"dropping-particle":"","family":"Madden-Derdich","given":"Debra A.","non-dropping-particle":"","parse-names":false,"suffix":""},{"dropping-particle":"","family":"Leonard","given":"Stacie A.","non-dropping-particle":"","parse-names":false,"suffix":""}],"container-title":"Family Relations","id":"ITEM-1","issue":"3","issued":{"date-parts":[["2000"]]},"page":"311-318","title":"Parental role identity and fathers' involvement in coparental interaction after divorce: Fathers' perspectives","type":"article-journal","volume":"49"},"uris":["http://www.mendeley.com/documents/?uuid=30844215-d937-4a26-b0bd-5f5c9b2485e4"]}],"mendeley":{"formattedCitation":"(Madden-Derdich &amp; Leonard, 2000)","plainTextFormattedCitation":"(Madden-Derdich &amp; Leonard, 2000)","previouslyFormattedCitation":"(Madden-Derdich &amp; Leonard, 2000)"},"properties":{"noteIndex":0},"schema":"https://github.com/citation-style-language/schema/raw/master/csl-citation.json"}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(M</w:t>
      </w:r>
      <w:r w:rsidR="005B4CDC">
        <w:rPr>
          <w:rFonts w:cstheme="minorHAnsi"/>
          <w:noProof/>
          <w:sz w:val="24"/>
          <w:szCs w:val="24"/>
        </w:rPr>
        <w:t>add</w:t>
      </w:r>
      <w:r w:rsidRPr="001C713C">
        <w:rPr>
          <w:rFonts w:cstheme="minorHAnsi"/>
          <w:noProof/>
          <w:sz w:val="24"/>
          <w:szCs w:val="24"/>
        </w:rPr>
        <w:t>en-Derdich &amp; Leonard, 2000)</w:t>
      </w:r>
      <w:r w:rsidRPr="001C713C">
        <w:rPr>
          <w:rFonts w:cstheme="minorHAnsi"/>
          <w:sz w:val="24"/>
          <w:szCs w:val="24"/>
        </w:rPr>
        <w:fldChar w:fldCharType="end"/>
      </w:r>
      <w:r w:rsidRPr="001C713C">
        <w:rPr>
          <w:rFonts w:cstheme="minorHAnsi"/>
          <w:sz w:val="24"/>
          <w:szCs w:val="24"/>
        </w:rPr>
        <w:t xml:space="preserve">. </w:t>
      </w:r>
    </w:p>
    <w:p w14:paraId="3DB3019A" w14:textId="4C126B94" w:rsidR="006259AD" w:rsidRPr="001C713C" w:rsidRDefault="006259AD" w:rsidP="006259AD">
      <w:pPr>
        <w:spacing w:line="360" w:lineRule="auto"/>
        <w:ind w:firstLine="397"/>
        <w:jc w:val="both"/>
        <w:rPr>
          <w:rFonts w:cstheme="minorHAnsi"/>
          <w:sz w:val="24"/>
          <w:szCs w:val="24"/>
        </w:rPr>
      </w:pPr>
      <w:r>
        <w:rPr>
          <w:rFonts w:cstheme="minorHAnsi"/>
          <w:sz w:val="24"/>
          <w:szCs w:val="24"/>
        </w:rPr>
        <w:t>As we could see in the previous two subsections</w:t>
      </w:r>
      <w:r w:rsidRPr="001C713C">
        <w:rPr>
          <w:rFonts w:cstheme="minorHAnsi"/>
          <w:sz w:val="24"/>
          <w:szCs w:val="24"/>
        </w:rPr>
        <w:t xml:space="preserve">, time and money are likely interchangeable variables since time </w:t>
      </w:r>
      <w:r w:rsidR="00A966F9" w:rsidRPr="001C713C">
        <w:rPr>
          <w:rFonts w:cstheme="minorHAnsi"/>
          <w:sz w:val="24"/>
          <w:szCs w:val="24"/>
        </w:rPr>
        <w:t>must</w:t>
      </w:r>
      <w:r w:rsidRPr="001C713C">
        <w:rPr>
          <w:rFonts w:cstheme="minorHAnsi"/>
          <w:sz w:val="24"/>
          <w:szCs w:val="24"/>
        </w:rPr>
        <w:t xml:space="preserve"> be devoted to making money which will convert to food, shelter, clothing, etc., and they spend money to buy time/investment such as </w:t>
      </w:r>
      <w:r w:rsidR="000A7C88" w:rsidRPr="001C713C">
        <w:rPr>
          <w:rFonts w:cstheme="minorHAnsi"/>
          <w:sz w:val="24"/>
          <w:szCs w:val="24"/>
        </w:rPr>
        <w:t>childcare</w:t>
      </w:r>
      <w:r w:rsidRPr="001C713C">
        <w:rPr>
          <w:rFonts w:cstheme="minorHAnsi"/>
          <w:sz w:val="24"/>
          <w:szCs w:val="24"/>
        </w:rPr>
        <w:t>.</w:t>
      </w:r>
      <w:r>
        <w:rPr>
          <w:rFonts w:cstheme="minorHAnsi"/>
          <w:sz w:val="24"/>
          <w:szCs w:val="24"/>
        </w:rPr>
        <w:t xml:space="preserve"> Notwithstanding, the time for creating economic resources is shifted from the time one can invest in their children in terms of emotional support and parenting.</w:t>
      </w:r>
      <w:r w:rsidRPr="001C713C">
        <w:rPr>
          <w:rFonts w:cstheme="minorHAnsi"/>
          <w:sz w:val="24"/>
          <w:szCs w:val="24"/>
        </w:rPr>
        <w:t xml:space="preserve"> While the single-mother struggles with financial distress, the fathers’ issue often comes down to the fact that they cannot offer adequate emotional support to their children in the post-separation period down </w:t>
      </w:r>
      <w:r w:rsidRPr="001C713C">
        <w:rPr>
          <w:rFonts w:cstheme="minorHAnsi"/>
          <w:sz w:val="24"/>
          <w:szCs w:val="24"/>
        </w:rPr>
        <w:fldChar w:fldCharType="begin" w:fldLock="1"/>
      </w:r>
      <w:r w:rsidRPr="001C713C">
        <w:rPr>
          <w:rFonts w:cstheme="minorHAnsi"/>
          <w:sz w:val="24"/>
          <w:szCs w:val="24"/>
        </w:rPr>
        <w:instrText>ADDIN CSL_CITATION {"citationItems":[{"id":"ITEM-1","itemData":{"DOI":"10.1093/sf/73.1.221","ISSN":"15347605","abstract":"We used data from the National Survey of Families and Households to investigate economic resources and parental behavior explanations for family structure effects on children. The economic explanation received considerable support in terms of singlemother disadvantage and accounted for a smaller proportion of disadvantage associated with mother-partner families. Parental behaviors, particularly maternal and paternal support, accounted for much smaller proportions of disadvantages found in motherstepfather as well as mother-partner families. Parental behaviors did not appear to mediate any of the economic resource effects on children. © 1994 The University of North Carolina Press.","author":[{"dropping-particle":"","family":"Thomson","given":"Elizabeth","non-dropping-particle":"","parse-names":false,"suffix":""},{"dropping-particle":"","family":"Hanson","given":"Thomas L.","non-dropping-particle":"","parse-names":false,"suffix":""},{"dropping-particle":"","family":"Mc Lanahan","given":"Sara S.","non-dropping-particle":"","parse-names":false,"suffix":""}],"container-title":"Social Forces","id":"ITEM-1","issue":"1","issued":{"date-parts":[["1994"]]},"page":"221-242","title":"Family structure and child well-being: Economic resources vs.parental behaviors","type":"article-journal","volume":"73"},"uris":["http://www.mendeley.com/documents/?uuid=7ad0b722-07d9-44e7-9900-799b5fd2112a"]}],"mendeley":{"formattedCitation":"(Thomson et al., 1994)","plainTextFormattedCitation":"(Thomson et al., 1994)","previouslyFormattedCitation":"(Thomson et al.,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(Thomson et al., 1994)</w:t>
      </w:r>
      <w:r w:rsidRPr="001C713C">
        <w:rPr>
          <w:rFonts w:cstheme="minorHAnsi"/>
          <w:sz w:val="24"/>
          <w:szCs w:val="24"/>
        </w:rPr>
        <w:fldChar w:fldCharType="end"/>
      </w:r>
      <w:r w:rsidRPr="001C713C">
        <w:rPr>
          <w:rFonts w:cstheme="minorHAnsi"/>
          <w:sz w:val="24"/>
          <w:szCs w:val="24"/>
        </w:rPr>
        <w:t xml:space="preserve">. </w:t>
      </w:r>
    </w:p>
    <w:p w14:paraId="038EAF48" w14:textId="12D976D9" w:rsidR="00D5534D" w:rsidRPr="001C713C" w:rsidRDefault="00C57021" w:rsidP="006E2B80">
      <w:pPr>
        <w:pStyle w:val="Heading3"/>
        <w:rPr>
          <w:rFonts w:asciiTheme="minorHAnsi" w:hAnsiTheme="minorHAnsi" w:cstheme="minorHAnsi"/>
        </w:rPr>
      </w:pPr>
      <w:bookmarkStart w:id="15" w:name="_Toc64591257"/>
      <w:r>
        <w:rPr>
          <w:rFonts w:asciiTheme="minorHAnsi" w:hAnsiTheme="minorHAnsi" w:cstheme="minorHAnsi"/>
        </w:rPr>
        <w:t>2.2.</w:t>
      </w:r>
      <w:r w:rsidR="00AD1936">
        <w:rPr>
          <w:rFonts w:asciiTheme="minorHAnsi" w:hAnsiTheme="minorHAnsi" w:cstheme="minorHAnsi"/>
        </w:rPr>
        <w:t>4</w:t>
      </w:r>
      <w:r>
        <w:rPr>
          <w:rFonts w:asciiTheme="minorHAnsi" w:hAnsiTheme="minorHAnsi" w:cstheme="minorHAnsi"/>
        </w:rPr>
        <w:t xml:space="preserve">. </w:t>
      </w:r>
      <w:r w:rsidR="00D5534D" w:rsidRPr="001C713C">
        <w:rPr>
          <w:rFonts w:asciiTheme="minorHAnsi" w:hAnsiTheme="minorHAnsi" w:cstheme="minorHAnsi"/>
        </w:rPr>
        <w:t xml:space="preserve">Residential </w:t>
      </w:r>
      <w:r w:rsidR="00F65CE3" w:rsidRPr="001C713C">
        <w:rPr>
          <w:rFonts w:asciiTheme="minorHAnsi" w:hAnsiTheme="minorHAnsi" w:cstheme="minorHAnsi"/>
        </w:rPr>
        <w:t>M</w:t>
      </w:r>
      <w:r w:rsidR="00D5534D" w:rsidRPr="001C713C">
        <w:rPr>
          <w:rFonts w:asciiTheme="minorHAnsi" w:hAnsiTheme="minorHAnsi" w:cstheme="minorHAnsi"/>
        </w:rPr>
        <w:t>obility</w:t>
      </w:r>
      <w:bookmarkEnd w:id="15"/>
    </w:p>
    <w:p w14:paraId="1DF48BDD" w14:textId="22AFCD75" w:rsidR="002753D3" w:rsidRPr="001C713C" w:rsidRDefault="002753D3" w:rsidP="006E2B80">
      <w:pPr>
        <w:spacing w:line="360" w:lineRule="auto"/>
        <w:ind w:firstLine="397"/>
        <w:jc w:val="both"/>
        <w:rPr>
          <w:rFonts w:cstheme="minorHAnsi"/>
          <w:sz w:val="24"/>
          <w:szCs w:val="24"/>
        </w:rPr>
      </w:pPr>
      <w:r w:rsidRPr="001C713C">
        <w:rPr>
          <w:rFonts w:cstheme="minorHAnsi"/>
          <w:sz w:val="24"/>
          <w:szCs w:val="24"/>
        </w:rPr>
        <w:t>It has been a continuing dilemma of whether geographical mobility hurts academic achievements and adjustments</w:t>
      </w:r>
      <w:r w:rsidR="007674E6" w:rsidRPr="001C713C">
        <w:rPr>
          <w:rFonts w:cstheme="minorHAnsi"/>
          <w:sz w:val="24"/>
          <w:szCs w:val="24"/>
        </w:rPr>
        <w:t xml:space="preserve"> th</w:t>
      </w:r>
      <w:r w:rsidR="000A50B2" w:rsidRPr="001C713C">
        <w:rPr>
          <w:rFonts w:cstheme="minorHAnsi"/>
          <w:sz w:val="24"/>
          <w:szCs w:val="24"/>
        </w:rPr>
        <w:t>r</w:t>
      </w:r>
      <w:r w:rsidR="007674E6" w:rsidRPr="001C713C">
        <w:rPr>
          <w:rFonts w:cstheme="minorHAnsi"/>
          <w:sz w:val="24"/>
          <w:szCs w:val="24"/>
        </w:rPr>
        <w:t>ough the change of school</w:t>
      </w:r>
      <w:r w:rsidRPr="001C713C">
        <w:rPr>
          <w:rFonts w:cstheme="minorHAnsi"/>
          <w:sz w:val="24"/>
          <w:szCs w:val="24"/>
        </w:rPr>
        <w:t xml:space="preserve">. A study by G. Ingersoll et al. (1989) observed the enrollment patterns in a public school found that the group of students who were less-mobile consistently performed better at school, while the negative impact decreases with an increase in the grade levels. </w:t>
      </w:r>
      <w:r w:rsidRPr="001C713C">
        <w:rPr>
          <w:rFonts w:cstheme="minorHAnsi"/>
          <w:sz w:val="24"/>
          <w:szCs w:val="24"/>
        </w:rPr>
        <w:fldChar w:fldCharType="begin" w:fldLock="1"/>
      </w:r>
      <w:r w:rsidRPr="001C713C">
        <w:rPr>
          <w:rFonts w:cstheme="minorHAnsi"/>
          <w:sz w:val="24"/>
          <w:szCs w:val="24"/>
        </w:rPr>
        <w:instrText>ADDIN CSL_CITATION {"citationItems":[{"id":"ITEM-1","itemData":{"DOI":"10.3102/01623737011002143","ISSN":"0162-3737","abstract":"Many studies show negative relationships between school or geographic mobility and school achievement. However, two longitudinal studies show no relationship between mobility and subsequent achievement when prior achievement is controlled. The present study replicates both findings among 764 sixth-grade students in a mobile school district in New York City, with mobility defined by school changes, achievement assessed with standardized tests and age - grade progress, and eligibility for free or reduced price lunches (an economic indicator) controlled. Total mobility was related to sixth-grade achievement when earlier achievement was not controlled, but mobility after third grade was not related to sixth-grade achievement when third-grade achievement was controlled. Some authors suggest that a third variable, such as family background, accounts for both mobility and achievement. We provide evidence for a different explanation. Early mobility (prior to third grade) was a more potent predictor of sixth-grade achievement than later mobility. © 2000 John Wiley &amp; Sons, Inc.","author":[{"dropping-particle":"","family":"Ingersoll","given":"Gary M.","non-dropping-particle":"","parse-names":false,"suffix":""},{"dropping-particle":"","family":"Scamman","given":"James P.","non-dropping-particle":"","parse-names":false,"suffix":""},{"dropping-particle":"","family":"Eckerling","given":"Wayne D.","non-dropping-particle":"","parse-names":false,"suffix":""}],"container-title":"Educational Evaluation and Policy Analysis","id":"ITEM-1","issue":"2","issued":{"date-parts":[["1989","6","23"]]},"page":"143-149","title":"Geographic Mobility and Student Achievement in an Urban Setting","type":"article-journal","volume":"11"},"uris":["http://www.mendeley.com/documents/?uuid=384e67df-f6b1-4fad-b9a6-abf0018e1350"]}],"mendeley":{"formattedCitation":"(Ingersoll et al., 1989)","plainTextFormattedCitation":"(Ingersoll et al., 1989)","previouslyFormattedCitation":"(Ingersoll et al., 1989)"},"properties":{"noteIndex":0},"schema":"https://github.com/citation-style-language/schema/raw/master/csl-citation.json"}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(Ingersoll et al., 1989)</w:t>
      </w:r>
      <w:r w:rsidRPr="001C713C">
        <w:rPr>
          <w:rFonts w:cstheme="minorHAnsi"/>
          <w:sz w:val="24"/>
          <w:szCs w:val="24"/>
        </w:rPr>
        <w:fldChar w:fldCharType="end"/>
      </w:r>
      <w:r w:rsidRPr="001C713C">
        <w:rPr>
          <w:rFonts w:cstheme="minorHAnsi"/>
          <w:sz w:val="24"/>
          <w:szCs w:val="24"/>
        </w:rPr>
        <w:t>.</w:t>
      </w:r>
    </w:p>
    <w:p w14:paraId="729C3139" w14:textId="750CB09E" w:rsidR="00F158D5" w:rsidRPr="001C713C" w:rsidRDefault="00723102" w:rsidP="00602133">
      <w:pPr>
        <w:spacing w:line="360" w:lineRule="auto"/>
        <w:ind w:firstLine="397"/>
        <w:jc w:val="both"/>
        <w:rPr>
          <w:rFonts w:cstheme="minorHAnsi"/>
          <w:sz w:val="24"/>
          <w:szCs w:val="24"/>
        </w:rPr>
      </w:pPr>
      <w:r w:rsidRPr="001C713C">
        <w:rPr>
          <w:rFonts w:cstheme="minorHAnsi"/>
          <w:sz w:val="24"/>
          <w:szCs w:val="24"/>
        </w:rPr>
        <w:t xml:space="preserve">A vast amount of literature has shown that the downward change in family structure, can increase residential mobility, therefore it should be considered as a potential intermediate factor between family structure and academic performance. </w:t>
      </w:r>
      <w:r w:rsidR="00F158D5" w:rsidRPr="001C713C">
        <w:rPr>
          <w:rFonts w:cstheme="minorHAnsi"/>
          <w:sz w:val="24"/>
          <w:szCs w:val="24"/>
        </w:rPr>
        <w:t xml:space="preserve">Rationally speaking, the reduction of family size infers switching to another, preferably smaller residents which suit better the financials or other reasons such as the proximity of the workplace. In other scenarios, the custodial parent </w:t>
      </w:r>
      <w:r w:rsidR="00DB2D7D">
        <w:rPr>
          <w:rFonts w:cstheme="minorHAnsi"/>
          <w:sz w:val="24"/>
          <w:szCs w:val="24"/>
        </w:rPr>
        <w:t>needs</w:t>
      </w:r>
      <w:r w:rsidR="00F158D5" w:rsidRPr="001C713C">
        <w:rPr>
          <w:rFonts w:cstheme="minorHAnsi"/>
          <w:sz w:val="24"/>
          <w:szCs w:val="24"/>
        </w:rPr>
        <w:t xml:space="preserve"> </w:t>
      </w:r>
      <w:r w:rsidR="00F97E09">
        <w:rPr>
          <w:rFonts w:cstheme="minorHAnsi"/>
          <w:sz w:val="24"/>
          <w:szCs w:val="24"/>
        </w:rPr>
        <w:t xml:space="preserve">to </w:t>
      </w:r>
      <w:r w:rsidR="00F158D5" w:rsidRPr="001C713C">
        <w:rPr>
          <w:rFonts w:cstheme="minorHAnsi"/>
          <w:sz w:val="24"/>
          <w:szCs w:val="24"/>
        </w:rPr>
        <w:t xml:space="preserve">leave the current resident with their children which </w:t>
      </w:r>
      <w:r w:rsidR="00F158D5" w:rsidRPr="001C713C">
        <w:rPr>
          <w:rFonts w:cstheme="minorHAnsi"/>
          <w:sz w:val="24"/>
          <w:szCs w:val="24"/>
        </w:rPr>
        <w:lastRenderedPageBreak/>
        <w:t xml:space="preserve">causes the switch. Likewise, the separation not only deprives the social capital of the family, but also that of the child which was based on the school acquaintances and the community in the prior neighborhood </w:t>
      </w:r>
      <w:r w:rsidR="00F158D5" w:rsidRPr="001C713C">
        <w:rPr>
          <w:rFonts w:cstheme="minorHAnsi"/>
          <w:sz w:val="24"/>
          <w:szCs w:val="24"/>
        </w:rPr>
        <w:fldChar w:fldCharType="begin" w:fldLock="1"/>
      </w:r>
      <w:r w:rsidR="00F158D5" w:rsidRPr="001C713C">
        <w:rPr>
          <w:rFonts w:cstheme="minorHAnsi"/>
          <w:sz w:val="24"/>
          <w:szCs w:val="24"/>
        </w:rPr>
        <w:instrText>ADDIN CSL_CITATION {"citationItems":[{"id":"ITEM-1","itemData":{"author":[{"dropping-particle":"","family":"Tucker","given":"C Jack","non-dropping-particle":"","parse-names":false,"suffix":""},{"dropping-particle":"","family":"Long","given":"Larry","non-dropping-particle":"","parse-names":false,"suffix":""}],"id":"ITEM-1","issue":"2","issued":{"date-parts":[["2018"]]},"page":"111-129","title":"\" Moving On \": Residential Mobility and Children ' s School Lives Author ( s ): C . Jack Tucker , Jonathan Marx and Larry Long Published by : American Sociological Association Stable URL : https://www.jstor.org/stable/2673244 American Sociological Associa","type":"article-journal","volume":"71"},"uris":["http://www.mendeley.com/documents/?uuid=07d01ef8-4dbc-437a-95ed-6cb31aea92ad"]}],"mendeley":{"formattedCitation":"(Tucker &amp; Long, 2018)","plainTextFormattedCitation":"(Tucker &amp; Long, 2018)","previouslyFormattedCitation":"(Tucker &amp; Long, 2018)"},"properties":{"noteIndex":0},"schema":"https://github.com/citation-style-language/schema/raw/master/csl-citation.json"}</w:instrText>
      </w:r>
      <w:r w:rsidR="00F158D5" w:rsidRPr="001C713C">
        <w:rPr>
          <w:rFonts w:cstheme="minorHAnsi"/>
          <w:sz w:val="24"/>
          <w:szCs w:val="24"/>
        </w:rPr>
        <w:fldChar w:fldCharType="separate"/>
      </w:r>
      <w:r w:rsidR="00F158D5" w:rsidRPr="001C713C">
        <w:rPr>
          <w:rFonts w:cstheme="minorHAnsi"/>
          <w:noProof/>
          <w:sz w:val="24"/>
          <w:szCs w:val="24"/>
        </w:rPr>
        <w:t>(Tucker &amp; Long, 2018)</w:t>
      </w:r>
      <w:r w:rsidR="00F158D5" w:rsidRPr="001C713C">
        <w:rPr>
          <w:rFonts w:cstheme="minorHAnsi"/>
          <w:sz w:val="24"/>
          <w:szCs w:val="24"/>
        </w:rPr>
        <w:fldChar w:fldCharType="end"/>
      </w:r>
      <w:r w:rsidR="00F158D5" w:rsidRPr="001C713C">
        <w:rPr>
          <w:rFonts w:cstheme="minorHAnsi"/>
          <w:sz w:val="24"/>
          <w:szCs w:val="24"/>
        </w:rPr>
        <w:t xml:space="preserve">. </w:t>
      </w:r>
      <w:r w:rsidR="00602133" w:rsidRPr="001C713C">
        <w:rPr>
          <w:rFonts w:cstheme="minorHAnsi"/>
          <w:sz w:val="24"/>
          <w:szCs w:val="24"/>
        </w:rPr>
        <w:t xml:space="preserve">As the single-parent remarries, children can be exposed again to moving but it does not have the same disruptive effect, because blended families are more likely to live in better neighborhoods conditions due to the income entrance of the step- or cohabiting parent </w:t>
      </w:r>
      <w:r w:rsidR="00602133" w:rsidRPr="001C713C">
        <w:rPr>
          <w:rFonts w:cstheme="minorHAnsi"/>
          <w:sz w:val="24"/>
          <w:szCs w:val="24"/>
        </w:rPr>
        <w:fldChar w:fldCharType="begin" w:fldLock="1"/>
      </w:r>
      <w:r w:rsidR="00602133" w:rsidRPr="001C713C">
        <w:rPr>
          <w:rFonts w:cstheme="minorHAnsi"/>
          <w:sz w:val="24"/>
          <w:szCs w:val="24"/>
        </w:rPr>
        <w:instrText>ADDIN CSL_CITATION {"citationItems":[{"id":"ITEM-1","itemData":{"DOI":"10.1093/sf/77.2.667","ISSN":"00377732","abstract":"Longitudinal data from the Panel Study of Income Dynamics show that parental divorce sharply increases the annual probability that children will move out of their neighborhoods. Conditional upon moving, children of divorce move to significantly poorer neighborhoods than do children in stable, two-parent families, a difference attributable to the negative impact of parental divorce on children's family income. The impact of divorce on these mobility outcomes is especially pronounced for African American children and for children whose parents owned their homes prior to divorcing. Parental remarriage is associated with higher mobility rates, but this difference is attributable to preexisting differences between parents who remarry and those who do not. Mobile children whose parents remarry move to slightly wealthier neighborhoods than mobile children whose parents remain unmarried.","author":[{"dropping-particle":"","family":"South","given":"Scott J.","non-dropping-particle":"","parse-names":false,"suffix":""},{"dropping-particle":"","family":"Crowder","given":"Kyle D.","non-dropping-particle":"","parse-names":false,"suffix":""},{"dropping-particle":"","family":"Trent","given":"Katherine","non-dropping-particle":"","parse-names":false,"suffix":""}],"container-title":"Social Forces","id":"ITEM-1","issue":"2","issued":{"date-parts":[["1998"]]},"page":"667-693","title":"Children's residential mobility and neighborhood environment following parental divorce and remarriage","type":"article-journal","volume":"77"},"uris":["http://www.mendeley.com/documents/?uuid=7849198a-ca54-4fb2-8666-5b7d0abc262a"]}],"mendeley":{"formattedCitation":"(South et al., 1998)","plainTextFormattedCitation":"(South et al., 1998)","previouslyFormattedCitation":"(South et al., 1998)"},"properties":{"noteIndex":0},"schema":"https://github.com/citation-style-language/schema/raw/master/csl-citation.json"}</w:instrText>
      </w:r>
      <w:r w:rsidR="00602133" w:rsidRPr="001C713C">
        <w:rPr>
          <w:rFonts w:cstheme="minorHAnsi"/>
          <w:sz w:val="24"/>
          <w:szCs w:val="24"/>
        </w:rPr>
        <w:fldChar w:fldCharType="separate"/>
      </w:r>
      <w:r w:rsidR="00602133" w:rsidRPr="001C713C">
        <w:rPr>
          <w:rFonts w:cstheme="minorHAnsi"/>
          <w:noProof/>
          <w:sz w:val="24"/>
          <w:szCs w:val="24"/>
        </w:rPr>
        <w:t>(South et al., 1998)</w:t>
      </w:r>
      <w:r w:rsidR="00602133" w:rsidRPr="001C713C">
        <w:rPr>
          <w:rFonts w:cstheme="minorHAnsi"/>
          <w:sz w:val="24"/>
          <w:szCs w:val="24"/>
        </w:rPr>
        <w:fldChar w:fldCharType="end"/>
      </w:r>
      <w:r w:rsidR="00602133" w:rsidRPr="001C713C">
        <w:rPr>
          <w:rFonts w:cstheme="minorHAnsi"/>
          <w:sz w:val="24"/>
          <w:szCs w:val="24"/>
        </w:rPr>
        <w:t xml:space="preserve">. </w:t>
      </w:r>
    </w:p>
    <w:p w14:paraId="0726AA36" w14:textId="1B2FE514" w:rsidR="002753D3" w:rsidRPr="001C713C" w:rsidRDefault="00E66D9D" w:rsidP="006E2B80">
      <w:pPr>
        <w:spacing w:line="360" w:lineRule="auto"/>
        <w:ind w:firstLine="397"/>
        <w:jc w:val="both"/>
        <w:rPr>
          <w:rFonts w:cstheme="minorHAnsi"/>
          <w:sz w:val="24"/>
          <w:szCs w:val="24"/>
        </w:rPr>
      </w:pPr>
      <w:r w:rsidRPr="001C713C">
        <w:rPr>
          <w:rFonts w:cstheme="minorHAnsi"/>
          <w:sz w:val="24"/>
          <w:szCs w:val="24"/>
        </w:rPr>
        <w:t xml:space="preserve">Students who </w:t>
      </w:r>
      <w:r w:rsidR="006F3B43" w:rsidRPr="001C713C">
        <w:rPr>
          <w:rFonts w:cstheme="minorHAnsi"/>
          <w:sz w:val="24"/>
          <w:szCs w:val="24"/>
        </w:rPr>
        <w:t>were forced to</w:t>
      </w:r>
      <w:r w:rsidRPr="001C713C">
        <w:rPr>
          <w:rFonts w:cstheme="minorHAnsi"/>
          <w:sz w:val="24"/>
          <w:szCs w:val="24"/>
        </w:rPr>
        <w:t xml:space="preserve"> change schools are often missing educational materials and can experience a drop in grades. Furthermore, they suffer </w:t>
      </w:r>
      <w:r w:rsidR="00454671" w:rsidRPr="001C713C">
        <w:rPr>
          <w:rFonts w:cstheme="minorHAnsi"/>
          <w:sz w:val="24"/>
          <w:szCs w:val="24"/>
        </w:rPr>
        <w:t>from</w:t>
      </w:r>
      <w:r w:rsidRPr="001C713C">
        <w:rPr>
          <w:rFonts w:cstheme="minorHAnsi"/>
          <w:sz w:val="24"/>
          <w:szCs w:val="24"/>
        </w:rPr>
        <w:t xml:space="preserve"> information asymmetry as the school system, the quality of classes, and teachers are unknown to them in the new community. </w:t>
      </w:r>
      <w:r w:rsidR="007C194A" w:rsidRPr="001C713C">
        <w:rPr>
          <w:rFonts w:cstheme="minorHAnsi"/>
          <w:sz w:val="24"/>
          <w:szCs w:val="24"/>
        </w:rPr>
        <w:t xml:space="preserve">Thereby, they cannot gain full advantage of the resources and teachers tend to neglect those students which they </w:t>
      </w:r>
      <w:r w:rsidR="000A7C88" w:rsidRPr="001C713C">
        <w:rPr>
          <w:rFonts w:cstheme="minorHAnsi"/>
          <w:sz w:val="24"/>
          <w:szCs w:val="24"/>
        </w:rPr>
        <w:t>do not</w:t>
      </w:r>
      <w:r w:rsidR="007C194A" w:rsidRPr="001C713C">
        <w:rPr>
          <w:rFonts w:cstheme="minorHAnsi"/>
          <w:sz w:val="24"/>
          <w:szCs w:val="24"/>
        </w:rPr>
        <w:t xml:space="preserve"> know well, especially if there is a record for frequent changes between schools. </w:t>
      </w:r>
      <w:r w:rsidR="002753D3" w:rsidRPr="001C713C">
        <w:rPr>
          <w:rFonts w:cstheme="minorHAnsi"/>
          <w:sz w:val="24"/>
          <w:szCs w:val="24"/>
        </w:rPr>
        <w:t xml:space="preserve">Regarding the emotional resources, </w:t>
      </w:r>
      <w:r w:rsidR="00011463" w:rsidRPr="001C713C">
        <w:rPr>
          <w:rFonts w:cstheme="minorHAnsi"/>
          <w:sz w:val="24"/>
          <w:szCs w:val="24"/>
        </w:rPr>
        <w:t>new students may feel socially isolated which als</w:t>
      </w:r>
      <w:r w:rsidR="0059069A">
        <w:rPr>
          <w:rFonts w:cstheme="minorHAnsi"/>
          <w:sz w:val="24"/>
          <w:szCs w:val="24"/>
        </w:rPr>
        <w:t>o</w:t>
      </w:r>
      <w:r w:rsidR="00011463" w:rsidRPr="001C713C">
        <w:rPr>
          <w:rFonts w:cstheme="minorHAnsi"/>
          <w:sz w:val="24"/>
          <w:szCs w:val="24"/>
        </w:rPr>
        <w:t xml:space="preserve"> affect</w:t>
      </w:r>
      <w:r w:rsidR="0059069A">
        <w:rPr>
          <w:rFonts w:cstheme="minorHAnsi"/>
          <w:sz w:val="24"/>
          <w:szCs w:val="24"/>
        </w:rPr>
        <w:t>s</w:t>
      </w:r>
      <w:r w:rsidR="00011463" w:rsidRPr="001C713C">
        <w:rPr>
          <w:rFonts w:cstheme="minorHAnsi"/>
          <w:sz w:val="24"/>
          <w:szCs w:val="24"/>
        </w:rPr>
        <w:t xml:space="preserve"> not only their classroom behavior but also their </w:t>
      </w:r>
      <w:r w:rsidR="00454671" w:rsidRPr="001C713C">
        <w:rPr>
          <w:rFonts w:cstheme="minorHAnsi"/>
          <w:sz w:val="24"/>
          <w:szCs w:val="24"/>
        </w:rPr>
        <w:t>school achievements</w:t>
      </w:r>
      <w:r w:rsidR="002753D3" w:rsidRPr="001C713C">
        <w:rPr>
          <w:rFonts w:cstheme="minorHAnsi"/>
          <w:sz w:val="24"/>
          <w:szCs w:val="24"/>
        </w:rPr>
        <w:t xml:space="preserve"> </w:t>
      </w:r>
      <w:r w:rsidR="002753D3" w:rsidRPr="001C713C">
        <w:rPr>
          <w:rFonts w:cstheme="minorHAnsi"/>
          <w:sz w:val="24"/>
          <w:szCs w:val="24"/>
        </w:rPr>
        <w:fldChar w:fldCharType="begin" w:fldLock="1"/>
      </w:r>
      <w:r w:rsidR="002753D3" w:rsidRPr="001C713C">
        <w:rPr>
          <w:rFonts w:cstheme="minorHAnsi"/>
          <w:sz w:val="24"/>
          <w:szCs w:val="24"/>
        </w:rPr>
        <w:instrText>ADDIN CSL_CITATION {"citationItems":[{"id":"ITEM-1","itemData":{"DOI":"10.2307/2061791","ISSN":"00703370","PMID":"7890092","abstract":"This paper examines the hypothesis that high levels of residential mobility among nonintact families account for part of the well-known association between living in a nonintact family and dropping out of high school. Children from single-parent families and stepfamilies are more likely than children from two-parent families to move during the school year. As much as 30% of the difference in the risk of dropping out between children from stepfamilies and children from intact families can be explained by differences in residential mobility. Previously, mechanisms explaining school failure on the part of children in nonintact families were more plausible for children in single-parent families than for children in stepfamilies; high levels of residential mobility apply to both groups of children. In addition, residential mobility lends itself to manipulation by public policy, with potentially remedial effects for vulnerable children. Earlier versions of this paper were presented at the 1990 meetings of the American Sociological Association, held in Washington DC, and at the 1991 meetings of the Eastern Sociological Society held in Providence. We are grateful to Andrew Cherlin, Melvin Kohn, Gary Sandefur, and several anonymous referees for their valuable comments, to Robert Davis for his computational assistance, and to Tobey H. Sohn and Teresa A. Withers for secretarial help. Support to the senior author was provided by the National Institute on Aging under Grant HD 19375-03 and by the W.T. Grant Faculty Scholars Award. Support for computing facilities was provided by a grant to the Hopkins Population Center (PD30 H006268-19). 1994 Population Association of America © 1994 Population Association of America.","author":[{"dropping-particle":"","family":"Astone","given":"Nan Marie","non-dropping-particle":"","parse-names":false,"suffix":""},{"dropping-particle":"","family":"McLanahan","given":"Sara S.","non-dropping-particle":"","parse-names":false,"suffix":""}],"container-title":"Demography","id":"ITEM-1","issue":"4","issued":{"date-parts":[["1994"]]},"page":"575-584","title":"Family structure, residential mobility, and school dropout: A research note","type":"article-journal","volume":"31"},"uris":["http://www.mendeley.com/documents/?uuid=5e92417f-de9c-4fff-9bff-4f19f3fb027b"]}],"mendeley":{"formattedCitation":"(Astone &amp; McLanahan, 1994)","plainTextFormattedCitation":"(Astone &amp; McLanahan, 1994)","previouslyFormattedCitation":"(Astone &amp; McLanahan, 1994)"},"properties":{"noteIndex":0},"schema":"https://github.com/citation-style-language/schema/raw/master/csl-citation.json"}</w:instrText>
      </w:r>
      <w:r w:rsidR="002753D3" w:rsidRPr="001C713C">
        <w:rPr>
          <w:rFonts w:cstheme="minorHAnsi"/>
          <w:sz w:val="24"/>
          <w:szCs w:val="24"/>
        </w:rPr>
        <w:fldChar w:fldCharType="separate"/>
      </w:r>
      <w:r w:rsidR="002753D3" w:rsidRPr="001C713C">
        <w:rPr>
          <w:rFonts w:cstheme="minorHAnsi"/>
          <w:noProof/>
          <w:sz w:val="24"/>
          <w:szCs w:val="24"/>
        </w:rPr>
        <w:t>(Astone &amp; McLanahan, 1994)</w:t>
      </w:r>
      <w:r w:rsidR="002753D3" w:rsidRPr="001C713C">
        <w:rPr>
          <w:rFonts w:cstheme="minorHAnsi"/>
          <w:sz w:val="24"/>
          <w:szCs w:val="24"/>
        </w:rPr>
        <w:fldChar w:fldCharType="end"/>
      </w:r>
      <w:r w:rsidR="00011463" w:rsidRPr="001C713C">
        <w:rPr>
          <w:rFonts w:cstheme="minorHAnsi"/>
          <w:sz w:val="24"/>
          <w:szCs w:val="24"/>
        </w:rPr>
        <w:t>.</w:t>
      </w:r>
    </w:p>
    <w:p w14:paraId="1E105B45" w14:textId="158DA8DC" w:rsidR="003963CC" w:rsidRPr="001C713C" w:rsidRDefault="00DD1C73" w:rsidP="00165494">
      <w:pPr>
        <w:spacing w:line="360" w:lineRule="auto"/>
        <w:ind w:firstLine="397"/>
        <w:jc w:val="both"/>
        <w:rPr>
          <w:rFonts w:cstheme="minorHAnsi"/>
          <w:sz w:val="24"/>
          <w:szCs w:val="24"/>
        </w:rPr>
      </w:pPr>
      <w:r>
        <w:rPr>
          <w:rFonts w:cstheme="minorHAnsi"/>
          <w:sz w:val="24"/>
          <w:szCs w:val="24"/>
        </w:rPr>
        <w:t xml:space="preserve">The </w:t>
      </w:r>
      <w:r w:rsidR="00C462A2" w:rsidRPr="001C713C">
        <w:rPr>
          <w:rFonts w:cstheme="minorHAnsi"/>
          <w:sz w:val="24"/>
          <w:szCs w:val="24"/>
        </w:rPr>
        <w:t>results</w:t>
      </w:r>
      <w:r>
        <w:rPr>
          <w:rFonts w:cstheme="minorHAnsi"/>
          <w:sz w:val="24"/>
          <w:szCs w:val="24"/>
        </w:rPr>
        <w:t xml:space="preserve"> of </w:t>
      </w:r>
      <w:proofErr w:type="spellStart"/>
      <w:r w:rsidRPr="001C713C">
        <w:rPr>
          <w:rFonts w:cstheme="minorHAnsi"/>
          <w:sz w:val="24"/>
          <w:szCs w:val="24"/>
        </w:rPr>
        <w:t>Astone</w:t>
      </w:r>
      <w:proofErr w:type="spellEnd"/>
      <w:r w:rsidRPr="001C713C">
        <w:rPr>
          <w:rFonts w:cstheme="minorHAnsi"/>
          <w:sz w:val="24"/>
          <w:szCs w:val="24"/>
        </w:rPr>
        <w:t xml:space="preserve"> &amp; </w:t>
      </w:r>
      <w:proofErr w:type="spellStart"/>
      <w:r w:rsidRPr="001C713C">
        <w:rPr>
          <w:rFonts w:cstheme="minorHAnsi"/>
          <w:sz w:val="24"/>
          <w:szCs w:val="24"/>
        </w:rPr>
        <w:t>McLanahan</w:t>
      </w:r>
      <w:proofErr w:type="spellEnd"/>
      <w:r w:rsidRPr="001C713C">
        <w:rPr>
          <w:rFonts w:cstheme="minorHAnsi"/>
          <w:sz w:val="24"/>
          <w:szCs w:val="24"/>
        </w:rPr>
        <w:t xml:space="preserve"> (1994</w:t>
      </w:r>
      <w:r w:rsidR="000A7C88" w:rsidRPr="001C713C">
        <w:rPr>
          <w:rFonts w:cstheme="minorHAnsi"/>
          <w:sz w:val="24"/>
          <w:szCs w:val="24"/>
        </w:rPr>
        <w:t>) supported</w:t>
      </w:r>
      <w:r w:rsidR="00C24323" w:rsidRPr="001C713C">
        <w:rPr>
          <w:rFonts w:cstheme="minorHAnsi"/>
          <w:sz w:val="24"/>
          <w:szCs w:val="24"/>
        </w:rPr>
        <w:t xml:space="preserve"> the hypothes</w:t>
      </w:r>
      <w:r w:rsidR="00516F1F" w:rsidRPr="001C713C">
        <w:rPr>
          <w:rFonts w:cstheme="minorHAnsi"/>
          <w:sz w:val="24"/>
          <w:szCs w:val="24"/>
        </w:rPr>
        <w:t>i</w:t>
      </w:r>
      <w:r w:rsidR="00C24323" w:rsidRPr="001C713C">
        <w:rPr>
          <w:rFonts w:cstheme="minorHAnsi"/>
          <w:sz w:val="24"/>
          <w:szCs w:val="24"/>
        </w:rPr>
        <w:t>s</w:t>
      </w:r>
      <w:r w:rsidR="00C462A2" w:rsidRPr="001C713C">
        <w:rPr>
          <w:rFonts w:cstheme="minorHAnsi"/>
          <w:sz w:val="24"/>
          <w:szCs w:val="24"/>
        </w:rPr>
        <w:t xml:space="preserve"> that </w:t>
      </w:r>
      <w:r w:rsidR="008A2ED6" w:rsidRPr="001C713C">
        <w:rPr>
          <w:rFonts w:cstheme="minorHAnsi"/>
          <w:sz w:val="24"/>
          <w:szCs w:val="24"/>
        </w:rPr>
        <w:t xml:space="preserve">mobile </w:t>
      </w:r>
      <w:r w:rsidR="00C462A2" w:rsidRPr="001C713C">
        <w:rPr>
          <w:rFonts w:cstheme="minorHAnsi"/>
          <w:sz w:val="24"/>
          <w:szCs w:val="24"/>
        </w:rPr>
        <w:t>children naturally perform worse, and they stay longer in school due to family disruption.</w:t>
      </w:r>
      <w:r w:rsidR="00A07890" w:rsidRPr="001C713C">
        <w:rPr>
          <w:rFonts w:cstheme="minorHAnsi"/>
          <w:sz w:val="24"/>
          <w:szCs w:val="24"/>
        </w:rPr>
        <w:t xml:space="preserve"> Other results have shown that residential mobility accounts for 18% of the difference in academic performance between single-parent and two-parent families, even though the reduction is not statistically significant. In the case of stepfamilies, the relationship is statistically significant and the residential mobility accounts for 29% of the difference</w:t>
      </w:r>
      <w:r w:rsidR="003B23C7" w:rsidRPr="001C713C">
        <w:rPr>
          <w:rFonts w:cstheme="minorHAnsi"/>
          <w:sz w:val="24"/>
          <w:szCs w:val="24"/>
        </w:rPr>
        <w:t xml:space="preserve"> </w:t>
      </w:r>
      <w:r w:rsidR="003B23C7" w:rsidRPr="001C713C">
        <w:rPr>
          <w:rFonts w:cstheme="minorHAnsi"/>
          <w:sz w:val="24"/>
          <w:szCs w:val="24"/>
        </w:rPr>
        <w:fldChar w:fldCharType="begin" w:fldLock="1"/>
      </w:r>
      <w:r w:rsidR="007277FA" w:rsidRPr="001C713C">
        <w:rPr>
          <w:rFonts w:cstheme="minorHAnsi"/>
          <w:sz w:val="24"/>
          <w:szCs w:val="24"/>
        </w:rPr>
        <w:instrText>ADDIN CSL_CITATION {"citationItems":[{"id":"ITEM-1","itemData":{"DOI":"10.2307/2061791","ISSN":"00703370","PMID":"7890092","abstract":"This paper examines the hypothesis that high levels of residential mobility among nonintact families account for part of the well-known association between living in a nonintact family and dropping out of high school. Children from single-parent families and stepfamilies are more likely than children from two-parent families to move during the school year. As much as 30% of the difference in the risk of dropping out between children from stepfamilies and children from intact families can be explained by differences in residential mobility. Previously, mechanisms explaining school failure on the part of children in nonintact families were more plausible for children in single-parent families than for children in stepfamilies; high levels of residential mobility apply to both groups of children. In addition, residential mobility lends itself to manipulation by public policy, with potentially remedial effects for vulnerable children. Earlier versions of this paper were presented at the 1990 meetings of the American Sociological Association, held in Washington DC, and at the 1991 meetings of the Eastern Sociological Society held in Providence. We are grateful to Andrew Cherlin, Melvin Kohn, Gary Sandefur, and several anonymous referees for their valuable comments, to Robert Davis for his computational assistance, and to Tobey H. Sohn and Teresa A. Withers for secretarial help. Support to the senior author was provided by the National Institute on Aging under Grant HD 19375-03 and by the W.T. Grant Faculty Scholars Award. Support for computing facilities was provided by a grant to the Hopkins Population Center (PD30 H006268-19). 1994 Population Association of America © 1994 Population Association of America.","author":[{"dropping-particle":"","family":"Astone","given":"Nan Marie","non-dropping-particle":"","parse-names":false,"suffix":""},{"dropping-particle":"","family":"McLanahan","given":"Sara S.","non-dropping-particle":"","parse-names":false,"suffix":""}],"container-title":"Demography","id":"ITEM-1","issue":"4","issued":{"date-parts":[["1994"]]},"page":"575-584","title":"Family structure, residential mobility, and school dropout: A research note","type":"article-journal","volume":"31"},"uris":["http://www.mendeley.com/documents/?uuid=5e92417f-de9c-4fff-9bff-4f19f3fb027b"]}],"mendeley":{"formattedCitation":"(Astone &amp; McLanahan, 1994)","plainTextFormattedCitation":"(Astone &amp; McLanahan, 1994)","previouslyFormattedCitation":"(Astone &amp; McLanahan, 1994)"},"properties":{"noteIndex":0},"schema":"https://github.com/citation-style-language/schema/raw/master/csl-citation.json"}</w:instrText>
      </w:r>
      <w:r w:rsidR="003B23C7" w:rsidRPr="001C713C">
        <w:rPr>
          <w:rFonts w:cstheme="minorHAnsi"/>
          <w:sz w:val="24"/>
          <w:szCs w:val="24"/>
        </w:rPr>
        <w:fldChar w:fldCharType="separate"/>
      </w:r>
      <w:r w:rsidR="003B23C7" w:rsidRPr="001C713C">
        <w:rPr>
          <w:rFonts w:cstheme="minorHAnsi"/>
          <w:noProof/>
          <w:sz w:val="24"/>
          <w:szCs w:val="24"/>
        </w:rPr>
        <w:t>(Astone &amp; McLanahan, 1994)</w:t>
      </w:r>
      <w:r w:rsidR="003B23C7" w:rsidRPr="001C713C">
        <w:rPr>
          <w:rFonts w:cstheme="minorHAnsi"/>
          <w:sz w:val="24"/>
          <w:szCs w:val="24"/>
        </w:rPr>
        <w:fldChar w:fldCharType="end"/>
      </w:r>
      <w:r w:rsidR="00A07890" w:rsidRPr="001C713C">
        <w:rPr>
          <w:rFonts w:cstheme="minorHAnsi"/>
          <w:sz w:val="24"/>
          <w:szCs w:val="24"/>
        </w:rPr>
        <w:t>.</w:t>
      </w:r>
      <w:r w:rsidR="00516F1F" w:rsidRPr="001C713C">
        <w:rPr>
          <w:rFonts w:cstheme="minorHAnsi"/>
          <w:sz w:val="24"/>
          <w:szCs w:val="24"/>
        </w:rPr>
        <w:t xml:space="preserve"> </w:t>
      </w:r>
      <w:r w:rsidR="00165494" w:rsidRPr="001C713C">
        <w:rPr>
          <w:rFonts w:cstheme="minorHAnsi"/>
          <w:sz w:val="24"/>
          <w:szCs w:val="24"/>
        </w:rPr>
        <w:t>Tucker &amp; Long (2018) reported a significant positive relationship between the initial movement, and the number of school problems, as those children who were not living with both of their original parents and moved more than once, had noticeably and statistically more problems compared to the never-moved peers</w:t>
      </w:r>
      <w:r w:rsidR="00165494">
        <w:rPr>
          <w:rFonts w:cstheme="minorHAnsi"/>
          <w:sz w:val="24"/>
          <w:szCs w:val="24"/>
        </w:rPr>
        <w:t xml:space="preserve"> </w:t>
      </w:r>
      <w:r w:rsidR="00165494" w:rsidRPr="001C713C">
        <w:rPr>
          <w:rFonts w:cstheme="minorHAnsi"/>
          <w:sz w:val="24"/>
          <w:szCs w:val="24"/>
        </w:rPr>
        <w:fldChar w:fldCharType="begin" w:fldLock="1"/>
      </w:r>
      <w:r w:rsidR="00165494" w:rsidRPr="001C713C">
        <w:rPr>
          <w:rFonts w:cstheme="minorHAnsi"/>
          <w:sz w:val="24"/>
          <w:szCs w:val="24"/>
        </w:rPr>
        <w:instrText>ADDIN CSL_CITATION {"citationItems":[{"id":"ITEM-1","itemData":{"author":[{"dropping-particle":"","family":"Tucker","given":"C Jack","non-dropping-particle":"","parse-names":false,"suffix":""},{"dropping-particle":"","family":"Long","given":"Larry","non-dropping-particle":"","parse-names":false,"suffix":""}],"id":"ITEM-1","issue":"2","issued":{"date-parts":[["2018"]]},"page":"111-129","title":"\" Moving On \": Residential Mobility and Children ' s School Lives Author ( s ): C . Jack Tucker , Jonathan Marx and Larry Long Published by : American Sociological Association Stable URL : https://www.jstor.org/stable/2673244 American Sociological Associa","type":"article-journal","volume":"71"},"uris":["http://www.mendeley.com/documents/?uuid=07d01ef8-4dbc-437a-95ed-6cb31aea92ad"]}],"mendeley":{"formattedCitation":"(Tucker &amp; Long, 2018)","plainTextFormattedCitation":"(Tucker &amp; Long, 2018)","previouslyFormattedCitation":"(Tucker &amp; Long, 2018)"},"properties":{"noteIndex":0},"schema":"https://github.com/citation-style-language/schema/raw/master/csl-citation.json"}</w:instrText>
      </w:r>
      <w:r w:rsidR="00165494" w:rsidRPr="001C713C">
        <w:rPr>
          <w:rFonts w:cstheme="minorHAnsi"/>
          <w:sz w:val="24"/>
          <w:szCs w:val="24"/>
        </w:rPr>
        <w:fldChar w:fldCharType="separate"/>
      </w:r>
      <w:r w:rsidR="00165494" w:rsidRPr="001C713C">
        <w:rPr>
          <w:rFonts w:cstheme="minorHAnsi"/>
          <w:noProof/>
          <w:sz w:val="24"/>
          <w:szCs w:val="24"/>
        </w:rPr>
        <w:t>(Tucker &amp; Long, 2018)</w:t>
      </w:r>
      <w:r w:rsidR="00165494" w:rsidRPr="001C713C">
        <w:rPr>
          <w:rFonts w:cstheme="minorHAnsi"/>
          <w:sz w:val="24"/>
          <w:szCs w:val="24"/>
        </w:rPr>
        <w:fldChar w:fldCharType="end"/>
      </w:r>
      <w:r w:rsidR="00165494" w:rsidRPr="001C713C">
        <w:rPr>
          <w:rFonts w:cstheme="minorHAnsi"/>
          <w:sz w:val="24"/>
          <w:szCs w:val="24"/>
        </w:rPr>
        <w:t>.</w:t>
      </w:r>
      <w:r w:rsidR="00165494">
        <w:rPr>
          <w:rFonts w:cstheme="minorHAnsi"/>
          <w:sz w:val="24"/>
          <w:szCs w:val="24"/>
        </w:rPr>
        <w:t xml:space="preserve"> </w:t>
      </w:r>
      <w:r w:rsidR="003963CC" w:rsidRPr="001C713C">
        <w:rPr>
          <w:rFonts w:cstheme="minorHAnsi"/>
          <w:sz w:val="24"/>
          <w:szCs w:val="24"/>
        </w:rPr>
        <w:t xml:space="preserve">Per contra, </w:t>
      </w:r>
      <w:r w:rsidR="00F01EF8" w:rsidRPr="001C713C">
        <w:rPr>
          <w:rFonts w:cstheme="minorHAnsi"/>
          <w:sz w:val="24"/>
          <w:szCs w:val="24"/>
        </w:rPr>
        <w:t xml:space="preserve">there </w:t>
      </w:r>
      <w:r w:rsidR="00165494">
        <w:rPr>
          <w:rFonts w:cstheme="minorHAnsi"/>
          <w:sz w:val="24"/>
          <w:szCs w:val="24"/>
        </w:rPr>
        <w:t xml:space="preserve">also </w:t>
      </w:r>
      <w:r w:rsidR="00F01EF8" w:rsidRPr="001C713C">
        <w:rPr>
          <w:rFonts w:cstheme="minorHAnsi"/>
          <w:sz w:val="24"/>
          <w:szCs w:val="24"/>
        </w:rPr>
        <w:t>exist indications</w:t>
      </w:r>
      <w:r w:rsidR="00CF0890" w:rsidRPr="001C713C">
        <w:rPr>
          <w:rFonts w:cstheme="minorHAnsi"/>
          <w:sz w:val="24"/>
          <w:szCs w:val="24"/>
        </w:rPr>
        <w:t xml:space="preserve"> th</w:t>
      </w:r>
      <w:r w:rsidR="00F3236E" w:rsidRPr="001C713C">
        <w:rPr>
          <w:rFonts w:cstheme="minorHAnsi"/>
          <w:sz w:val="24"/>
          <w:szCs w:val="24"/>
        </w:rPr>
        <w:t xml:space="preserve">at the family residential mobility does not have </w:t>
      </w:r>
      <w:r w:rsidR="0006055D" w:rsidRPr="001C713C">
        <w:rPr>
          <w:rFonts w:cstheme="minorHAnsi"/>
          <w:sz w:val="24"/>
          <w:szCs w:val="24"/>
        </w:rPr>
        <w:t xml:space="preserve">much </w:t>
      </w:r>
      <w:r w:rsidR="00F3236E" w:rsidRPr="001C713C">
        <w:rPr>
          <w:rFonts w:cstheme="minorHAnsi"/>
          <w:sz w:val="24"/>
          <w:szCs w:val="24"/>
        </w:rPr>
        <w:t xml:space="preserve">effect on academic achievement, even though that the regression coefficients were consistent with the hypothesis set by </w:t>
      </w:r>
      <w:proofErr w:type="spellStart"/>
      <w:r w:rsidR="00F3236E" w:rsidRPr="001C713C">
        <w:rPr>
          <w:rFonts w:cstheme="minorHAnsi"/>
          <w:sz w:val="24"/>
          <w:szCs w:val="24"/>
        </w:rPr>
        <w:t>Astone</w:t>
      </w:r>
      <w:proofErr w:type="spellEnd"/>
      <w:r w:rsidR="00F3236E" w:rsidRPr="001C713C">
        <w:rPr>
          <w:rFonts w:cstheme="minorHAnsi"/>
          <w:sz w:val="24"/>
          <w:szCs w:val="24"/>
        </w:rPr>
        <w:t xml:space="preserve"> &amp; </w:t>
      </w:r>
      <w:proofErr w:type="spellStart"/>
      <w:r w:rsidR="00F3236E" w:rsidRPr="001C713C">
        <w:rPr>
          <w:rFonts w:cstheme="minorHAnsi"/>
          <w:sz w:val="24"/>
          <w:szCs w:val="24"/>
        </w:rPr>
        <w:t>McLanahan</w:t>
      </w:r>
      <w:proofErr w:type="spellEnd"/>
      <w:r w:rsidR="00F3236E" w:rsidRPr="001C713C">
        <w:rPr>
          <w:rFonts w:cstheme="minorHAnsi"/>
          <w:sz w:val="24"/>
          <w:szCs w:val="24"/>
        </w:rPr>
        <w:t xml:space="preserve"> (19</w:t>
      </w:r>
      <w:r w:rsidR="002753D3" w:rsidRPr="001C713C">
        <w:rPr>
          <w:rFonts w:cstheme="minorHAnsi"/>
          <w:sz w:val="24"/>
          <w:szCs w:val="24"/>
        </w:rPr>
        <w:t>9</w:t>
      </w:r>
      <w:r w:rsidR="00F3236E" w:rsidRPr="001C713C">
        <w:rPr>
          <w:rFonts w:cstheme="minorHAnsi"/>
          <w:sz w:val="24"/>
          <w:szCs w:val="24"/>
        </w:rPr>
        <w:t>4</w:t>
      </w:r>
      <w:r w:rsidR="00D34562" w:rsidRPr="001C713C">
        <w:rPr>
          <w:rFonts w:cstheme="minorHAnsi"/>
          <w:sz w:val="24"/>
          <w:szCs w:val="24"/>
        </w:rPr>
        <w:t>)</w:t>
      </w:r>
      <w:r w:rsidR="003963CC" w:rsidRPr="001C713C">
        <w:rPr>
          <w:rFonts w:cstheme="minorHAnsi"/>
          <w:sz w:val="24"/>
          <w:szCs w:val="24"/>
        </w:rPr>
        <w:t xml:space="preserve"> </w:t>
      </w:r>
      <w:r w:rsidR="003963CC" w:rsidRPr="001C713C">
        <w:rPr>
          <w:rFonts w:cstheme="minorHAnsi"/>
          <w:sz w:val="24"/>
          <w:szCs w:val="24"/>
        </w:rPr>
        <w:fldChar w:fldCharType="begin" w:fldLock="1"/>
      </w:r>
      <w:r w:rsidR="003963CC" w:rsidRPr="001C713C">
        <w:rPr>
          <w:rFonts w:cstheme="minorHAnsi"/>
          <w:sz w:val="24"/>
          <w:szCs w:val="24"/>
        </w:rPr>
        <w:instrText>ADDIN CSL_CITATION {"citationItems":[{"id":"ITEM-1","itemData":{"DOI":"10.1300/J087v32n01_08","ISSN":"1050-2556","author":[{"dropping-particle":"","family":"Jeynes","given":"William H.","non-dropping-particle":"","parse-names":false,"suffix":""}],"container-title":"Journal of Divorce &amp; Remarriage","id":"ITEM-1","issue":"1-2","issued":{"date-parts":[["1999","9"]]},"page":"123-143","title":"The Role of Family Residential Mobility in Explaining the Lower Academic Achievement of High School Children from Reconstituted Families","type":"article-journal","volume":"32"},"uris":["http://www.mendeley.com/documents/?uuid=d659ea57-9f72-4358-a3fc-7f38f637ab42"]}],"mendeley":{"formattedCitation":"(Jeynes, 1999)","plainTextFormattedCitation":"(Jeynes, 1999)","previouslyFormattedCitation":"(Jeynes, 1999)"},"properties":{"noteIndex":0},"schema":"https://github.com/citation-style-language/schema/raw/master/csl-citation.json"}</w:instrText>
      </w:r>
      <w:r w:rsidR="003963CC" w:rsidRPr="001C713C">
        <w:rPr>
          <w:rFonts w:cstheme="minorHAnsi"/>
          <w:sz w:val="24"/>
          <w:szCs w:val="24"/>
        </w:rPr>
        <w:fldChar w:fldCharType="separate"/>
      </w:r>
      <w:r w:rsidR="003963CC" w:rsidRPr="001C713C">
        <w:rPr>
          <w:rFonts w:cstheme="minorHAnsi"/>
          <w:noProof/>
          <w:sz w:val="24"/>
          <w:szCs w:val="24"/>
        </w:rPr>
        <w:t>(Jeynes, 1999)</w:t>
      </w:r>
      <w:r w:rsidR="003963CC" w:rsidRPr="001C713C">
        <w:rPr>
          <w:rFonts w:cstheme="minorHAnsi"/>
          <w:sz w:val="24"/>
          <w:szCs w:val="24"/>
        </w:rPr>
        <w:fldChar w:fldCharType="end"/>
      </w:r>
      <w:r w:rsidR="00F3236E" w:rsidRPr="001C713C">
        <w:rPr>
          <w:rFonts w:cstheme="minorHAnsi"/>
          <w:sz w:val="24"/>
          <w:szCs w:val="24"/>
        </w:rPr>
        <w:t>.</w:t>
      </w:r>
      <w:r w:rsidR="0006055D" w:rsidRPr="001C713C">
        <w:rPr>
          <w:rFonts w:cstheme="minorHAnsi"/>
          <w:sz w:val="24"/>
          <w:szCs w:val="24"/>
        </w:rPr>
        <w:t xml:space="preserve"> </w:t>
      </w:r>
    </w:p>
    <w:p w14:paraId="1763AB19" w14:textId="790EF9C3" w:rsidR="003963CC" w:rsidRPr="001C713C" w:rsidRDefault="000A50B2" w:rsidP="006E2B80">
      <w:pPr>
        <w:spacing w:line="360" w:lineRule="auto"/>
        <w:ind w:firstLine="397"/>
        <w:jc w:val="both"/>
        <w:rPr>
          <w:rFonts w:cstheme="minorHAnsi"/>
          <w:sz w:val="24"/>
          <w:szCs w:val="24"/>
        </w:rPr>
      </w:pPr>
      <w:r w:rsidRPr="001C713C">
        <w:rPr>
          <w:rFonts w:cstheme="minorHAnsi"/>
          <w:sz w:val="24"/>
          <w:szCs w:val="24"/>
        </w:rPr>
        <w:t>Despite</w:t>
      </w:r>
      <w:r w:rsidR="00F158D5" w:rsidRPr="001C713C">
        <w:rPr>
          <w:rFonts w:cstheme="minorHAnsi"/>
          <w:sz w:val="24"/>
          <w:szCs w:val="24"/>
        </w:rPr>
        <w:t xml:space="preserve"> everything</w:t>
      </w:r>
      <w:r w:rsidR="0050171E" w:rsidRPr="001C713C">
        <w:rPr>
          <w:rFonts w:cstheme="minorHAnsi"/>
          <w:sz w:val="24"/>
          <w:szCs w:val="24"/>
        </w:rPr>
        <w:t xml:space="preserve"> in</w:t>
      </w:r>
      <w:r w:rsidR="00F158D5" w:rsidRPr="001C713C">
        <w:rPr>
          <w:rFonts w:cstheme="minorHAnsi"/>
          <w:sz w:val="24"/>
          <w:szCs w:val="24"/>
        </w:rPr>
        <w:t xml:space="preserve"> support</w:t>
      </w:r>
      <w:r w:rsidR="0050171E" w:rsidRPr="001C713C">
        <w:rPr>
          <w:rFonts w:cstheme="minorHAnsi"/>
          <w:sz w:val="24"/>
          <w:szCs w:val="24"/>
        </w:rPr>
        <w:t xml:space="preserve"> of</w:t>
      </w:r>
      <w:r w:rsidR="00F158D5" w:rsidRPr="001C713C">
        <w:rPr>
          <w:rFonts w:cstheme="minorHAnsi"/>
          <w:sz w:val="24"/>
          <w:szCs w:val="24"/>
        </w:rPr>
        <w:t xml:space="preserve"> the hypothesis of residential mobility</w:t>
      </w:r>
      <w:r w:rsidR="0050171E" w:rsidRPr="001C713C">
        <w:rPr>
          <w:rFonts w:cstheme="minorHAnsi"/>
          <w:sz w:val="24"/>
          <w:szCs w:val="24"/>
        </w:rPr>
        <w:t xml:space="preserve"> mentioned </w:t>
      </w:r>
      <w:r w:rsidR="000F4F90" w:rsidRPr="001C713C">
        <w:rPr>
          <w:rFonts w:cstheme="minorHAnsi"/>
          <w:sz w:val="24"/>
          <w:szCs w:val="24"/>
        </w:rPr>
        <w:t>throughout</w:t>
      </w:r>
      <w:r w:rsidRPr="001C713C">
        <w:rPr>
          <w:rFonts w:cstheme="minorHAnsi"/>
          <w:sz w:val="24"/>
          <w:szCs w:val="24"/>
        </w:rPr>
        <w:t xml:space="preserve"> this section</w:t>
      </w:r>
      <w:r w:rsidR="00F158D5" w:rsidRPr="001C713C">
        <w:rPr>
          <w:rFonts w:cstheme="minorHAnsi"/>
          <w:sz w:val="24"/>
          <w:szCs w:val="24"/>
        </w:rPr>
        <w:t>, s</w:t>
      </w:r>
      <w:r w:rsidR="00F96F1E" w:rsidRPr="001C713C">
        <w:rPr>
          <w:rFonts w:cstheme="minorHAnsi"/>
          <w:sz w:val="24"/>
          <w:szCs w:val="24"/>
        </w:rPr>
        <w:t>ome argue</w:t>
      </w:r>
      <w:r w:rsidR="003963CC" w:rsidRPr="001C713C">
        <w:rPr>
          <w:rFonts w:cstheme="minorHAnsi"/>
          <w:sz w:val="24"/>
          <w:szCs w:val="24"/>
        </w:rPr>
        <w:t xml:space="preserve"> that one may omit residential mobility as a variable from their model because it acts like a “catch up” variable </w:t>
      </w:r>
      <w:r w:rsidR="00F97E09">
        <w:rPr>
          <w:rFonts w:cstheme="minorHAnsi"/>
          <w:sz w:val="24"/>
          <w:szCs w:val="24"/>
        </w:rPr>
        <w:t>that</w:t>
      </w:r>
      <w:r w:rsidR="003963CC" w:rsidRPr="001C713C">
        <w:rPr>
          <w:rFonts w:cstheme="minorHAnsi"/>
          <w:sz w:val="24"/>
          <w:szCs w:val="24"/>
        </w:rPr>
        <w:t xml:space="preserve"> incorporates a lot of </w:t>
      </w:r>
      <w:r w:rsidR="00692E9B">
        <w:rPr>
          <w:rFonts w:cstheme="minorHAnsi"/>
          <w:sz w:val="24"/>
          <w:szCs w:val="24"/>
        </w:rPr>
        <w:t>hidden</w:t>
      </w:r>
      <w:r w:rsidR="003963CC" w:rsidRPr="001C713C">
        <w:rPr>
          <w:rFonts w:cstheme="minorHAnsi"/>
          <w:sz w:val="24"/>
          <w:szCs w:val="24"/>
        </w:rPr>
        <w:t xml:space="preserve"> (unobservable) factors like personal valuation, discrimination, diligence, etc. However, some </w:t>
      </w:r>
      <w:r w:rsidR="003963CC" w:rsidRPr="001C713C">
        <w:rPr>
          <w:rFonts w:cstheme="minorHAnsi"/>
          <w:sz w:val="24"/>
          <w:szCs w:val="24"/>
        </w:rPr>
        <w:lastRenderedPageBreak/>
        <w:t xml:space="preserve">results were statistically significant, therefore, the interpretation of residential mobility as a mild factor between family structure and education </w:t>
      </w:r>
      <w:r w:rsidR="00F158D5" w:rsidRPr="001C713C">
        <w:rPr>
          <w:rFonts w:cstheme="minorHAnsi"/>
          <w:sz w:val="24"/>
          <w:szCs w:val="24"/>
        </w:rPr>
        <w:t xml:space="preserve">can be used </w:t>
      </w:r>
      <w:r w:rsidR="0095212D" w:rsidRPr="001C713C">
        <w:rPr>
          <w:rFonts w:cstheme="minorHAnsi"/>
          <w:sz w:val="24"/>
          <w:szCs w:val="24"/>
        </w:rPr>
        <w:t xml:space="preserve">as a tool of causal inference </w:t>
      </w:r>
      <w:r w:rsidR="003963CC" w:rsidRPr="001C713C">
        <w:rPr>
          <w:rFonts w:cstheme="minorHAnsi"/>
          <w:sz w:val="24"/>
          <w:szCs w:val="24"/>
        </w:rPr>
        <w:fldChar w:fldCharType="begin" w:fldLock="1"/>
      </w:r>
      <w:r w:rsidR="003963CC" w:rsidRPr="001C713C">
        <w:rPr>
          <w:rFonts w:cstheme="minorHAnsi"/>
          <w:sz w:val="24"/>
          <w:szCs w:val="24"/>
        </w:rPr>
        <w:instrText>ADDIN CSL_CITATION {"citationItems":[{"id":"ITEM-1","itemData":{"DOI":"10.1300/J087v32n01_08","ISSN":"1050-2556","author":[{"dropping-particle":"","family":"Jeynes","given":"William H.","non-dropping-particle":"","parse-names":false,"suffix":""}],"container-title":"Journal of Divorce &amp; Remarriage","id":"ITEM-1","issue":"1-2","issued":{"date-parts":[["1999","9"]]},"page":"123-143","title":"The Role of Family Residential Mobility in Explaining the Lower Academic Achievement of High School Children from Reconstituted Families","type":"article-journal","volume":"32"},"uris":["http://www.mendeley.com/documents/?uuid=d659ea57-9f72-4358-a3fc-7f38f637ab42"]}],"mendeley":{"formattedCitation":"(Jeynes, 1999)","plainTextFormattedCitation":"(Jeynes, 1999)","previouslyFormattedCitation":"(Jeynes, 1999)"},"properties":{"noteIndex":0},"schema":"https://github.com/citation-style-language/schema/raw/master/csl-citation.json"}</w:instrText>
      </w:r>
      <w:r w:rsidR="003963CC" w:rsidRPr="001C713C">
        <w:rPr>
          <w:rFonts w:cstheme="minorHAnsi"/>
          <w:sz w:val="24"/>
          <w:szCs w:val="24"/>
        </w:rPr>
        <w:fldChar w:fldCharType="separate"/>
      </w:r>
      <w:r w:rsidR="003963CC" w:rsidRPr="001C713C">
        <w:rPr>
          <w:rFonts w:cstheme="minorHAnsi"/>
          <w:noProof/>
          <w:sz w:val="24"/>
          <w:szCs w:val="24"/>
        </w:rPr>
        <w:t>(Jeynes, 1999)</w:t>
      </w:r>
      <w:r w:rsidR="003963CC" w:rsidRPr="001C713C">
        <w:rPr>
          <w:rFonts w:cstheme="minorHAnsi"/>
          <w:sz w:val="24"/>
          <w:szCs w:val="24"/>
        </w:rPr>
        <w:fldChar w:fldCharType="end"/>
      </w:r>
      <w:r w:rsidR="003963CC" w:rsidRPr="001C713C">
        <w:rPr>
          <w:rFonts w:cstheme="minorHAnsi"/>
          <w:sz w:val="24"/>
          <w:szCs w:val="24"/>
        </w:rPr>
        <w:t>.</w:t>
      </w:r>
    </w:p>
    <w:p w14:paraId="508866D4" w14:textId="528F5122" w:rsidR="001D4B6E" w:rsidRPr="001C713C" w:rsidRDefault="00DB2D7D" w:rsidP="005944F8">
      <w:pPr>
        <w:pStyle w:val="Heading2"/>
      </w:pPr>
      <w:bookmarkStart w:id="16" w:name="_Toc64591258"/>
      <w:r>
        <w:t xml:space="preserve">2.3. </w:t>
      </w:r>
      <w:r w:rsidR="001D4B6E" w:rsidRPr="001C713C">
        <w:t>Dependent variables</w:t>
      </w:r>
      <w:bookmarkEnd w:id="16"/>
    </w:p>
    <w:p w14:paraId="1BDDBA92" w14:textId="3C41C2E1" w:rsidR="001D4B6E" w:rsidRPr="001C713C" w:rsidRDefault="00DB2D7D" w:rsidP="006E2B80">
      <w:pPr>
        <w:pStyle w:val="Heading3"/>
        <w:rPr>
          <w:rFonts w:asciiTheme="minorHAnsi" w:hAnsiTheme="minorHAnsi" w:cstheme="minorHAnsi"/>
        </w:rPr>
      </w:pPr>
      <w:bookmarkStart w:id="17" w:name="_Toc64591259"/>
      <w:r>
        <w:rPr>
          <w:rFonts w:asciiTheme="minorHAnsi" w:hAnsiTheme="minorHAnsi" w:cstheme="minorHAnsi"/>
        </w:rPr>
        <w:t xml:space="preserve">2.3.1. </w:t>
      </w:r>
      <w:r w:rsidR="001D4B6E" w:rsidRPr="001C713C">
        <w:rPr>
          <w:rFonts w:asciiTheme="minorHAnsi" w:hAnsiTheme="minorHAnsi" w:cstheme="minorHAnsi"/>
        </w:rPr>
        <w:t>Grades and Test Scores</w:t>
      </w:r>
      <w:bookmarkEnd w:id="17"/>
    </w:p>
    <w:p w14:paraId="364CFB7C" w14:textId="77777777" w:rsidR="00AE68D9" w:rsidRPr="001C713C" w:rsidRDefault="001D4B6E" w:rsidP="006E2B80">
      <w:pPr>
        <w:spacing w:line="360" w:lineRule="auto"/>
        <w:ind w:firstLine="397"/>
        <w:jc w:val="both"/>
        <w:rPr>
          <w:rFonts w:cstheme="minorHAnsi"/>
          <w:sz w:val="24"/>
          <w:szCs w:val="24"/>
        </w:rPr>
      </w:pPr>
      <w:r w:rsidRPr="001C713C">
        <w:rPr>
          <w:rFonts w:cstheme="minorHAnsi"/>
          <w:sz w:val="24"/>
          <w:szCs w:val="24"/>
        </w:rPr>
        <w:t>To reiterate,</w:t>
      </w:r>
      <w:r w:rsidR="00AE68D9" w:rsidRPr="001C713C">
        <w:rPr>
          <w:rFonts w:cstheme="minorHAnsi"/>
          <w:sz w:val="24"/>
          <w:szCs w:val="24"/>
        </w:rPr>
        <w:t xml:space="preserve"> a</w:t>
      </w:r>
      <w:r w:rsidRPr="001C713C">
        <w:rPr>
          <w:rFonts w:cstheme="minorHAnsi"/>
          <w:sz w:val="24"/>
          <w:szCs w:val="24"/>
        </w:rPr>
        <w:t xml:space="preserve">dolescents who are part of a single-parent or stepparent household are prone to have lower GPAs, test scores, poorer attendance records, and more conflicts with school authorities </w:t>
      </w:r>
      <w:r w:rsidRPr="001C713C">
        <w:rPr>
          <w:rFonts w:cstheme="minorHAnsi"/>
          <w:sz w:val="24"/>
          <w:szCs w:val="24"/>
        </w:rPr>
        <w:fldChar w:fldCharType="begin" w:fldLock="1"/>
      </w:r>
      <w:r w:rsidRPr="001C713C">
        <w:rPr>
          <w:rFonts w:cstheme="minorHAnsi"/>
          <w:sz w:val="24"/>
          <w:szCs w:val="24"/>
        </w:rPr>
        <w:instrText>ADDIN CSL_CITATION {"citationItems":[{"id":"ITEM-1","itemData":{"DOI":"10.2307/2061791","ISSN":"00703370","PMID":"7890092","abstract":"This paper examines the hypothesis that high levels of residential mobility among nonintact families account for part of the well-known association between living in a nonintact family and dropping out of high school. Children from single-parent families and stepfamilies are more likely than children from two-parent families to move during the school year. As much as 30% of the difference in the risk of dropping out between children from stepfamilies and children from intact families can be explained by differences in residential mobility. Previously, mechanisms explaining school failure on the part of children in nonintact families were more plausible for children in single-parent families than for children in stepfamilies; high levels of residential mobility apply to both groups of children. In addition, residential mobility lends itself to manipulation by public policy, with potentially remedial effects for vulnerable children. Earlier versions of this paper were presented at the 1990 meetings of the American Sociological Association, held in Washington DC, and at the 1991 meetings of the Eastern Sociological Society held in Providence. We are grateful to Andrew Cherlin, Melvin Kohn, Gary Sandefur, and several anonymous referees for their valuable comments, to Robert Davis for his computational assistance, and to Tobey H. Sohn and Teresa A. Withers for secretarial help. Support to the senior author was provided by the National Institute on Aging under Grant HD 19375-03 and by the W.T. Grant Faculty Scholars Award. Support for computing facilities was provided by a grant to the Hopkins Population Center (PD30 H006268-19). 1994 Population Association of America © 1994 Population Association of America.","author":[{"dropping-particle":"","family":"Astone","given":"Nan Marie","non-dropping-particle":"","parse-names":false,"suffix":""},{"dropping-particle":"","family":"McLanahan","given":"Sara S.","non-dropping-particle":"","parse-names":false,"suffix":""}],"container-title":"Demography","id":"ITEM-1","issue":"4","issued":{"date-parts":[["1994"]]},"page":"575-584","title":"Family structure, residential mobility, and school dropout: A research note","type":"article-journal","volume":"31"},"uris":["http://www.mendeley.com/documents/?uuid=5e92417f-de9c-4fff-9bff-4f19f3fb027b"]}],"mendeley":{"formattedCitation":"(Astone &amp; McLanahan, 1994)","plainTextFormattedCitation":"(Astone &amp; McLanahan, 1994)","previouslyFormattedCitation":"(Astone &amp; McLanahan,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(Astone &amp; McLanahan, 1994)</w:t>
      </w:r>
      <w:r w:rsidRPr="001C713C">
        <w:rPr>
          <w:rFonts w:cstheme="minorHAnsi"/>
          <w:sz w:val="24"/>
          <w:szCs w:val="24"/>
        </w:rPr>
        <w:fldChar w:fldCharType="end"/>
      </w:r>
      <w:r w:rsidRPr="001C713C">
        <w:rPr>
          <w:rFonts w:cstheme="minorHAnsi"/>
          <w:sz w:val="24"/>
          <w:szCs w:val="24"/>
        </w:rPr>
        <w:t xml:space="preserve">. </w:t>
      </w:r>
      <w:r w:rsidR="00AE68D9" w:rsidRPr="001C713C">
        <w:rPr>
          <w:rFonts w:cstheme="minorHAnsi"/>
          <w:sz w:val="24"/>
          <w:szCs w:val="24"/>
        </w:rPr>
        <w:t>These effects are constituted in the enumerated channels of economic resources, rate of parental involvement, and residential mobility.</w:t>
      </w:r>
    </w:p>
    <w:p w14:paraId="1B447561" w14:textId="27C164A2" w:rsidR="00AE68D9" w:rsidRPr="001C713C" w:rsidRDefault="00AE68D9" w:rsidP="006E2B80">
      <w:pPr>
        <w:spacing w:line="360" w:lineRule="auto"/>
        <w:ind w:firstLine="397"/>
        <w:jc w:val="both"/>
        <w:rPr>
          <w:rFonts w:cstheme="minorHAnsi"/>
          <w:sz w:val="24"/>
          <w:szCs w:val="24"/>
        </w:rPr>
      </w:pPr>
      <w:r w:rsidRPr="001C713C">
        <w:rPr>
          <w:rFonts w:cstheme="minorHAnsi"/>
          <w:sz w:val="24"/>
          <w:szCs w:val="24"/>
        </w:rPr>
        <w:t>Even though the effects are modest, scholars reported that parental divorce was associated with lower scores in reading, math, interpersonal skills, self-control, while it increased the inter and externalizing problems. On the contrary, the loss of a parent also affects the children but lacked statistical significance due to the small sample size as it only explained the decline in math scores and the effect of internalization problems. Comparing the magnitude of significant coefficients, they argued that the size of the effect is roughly the same for parental loss and divorce</w:t>
      </w:r>
      <w:r w:rsidR="00AF0152">
        <w:rPr>
          <w:rFonts w:cstheme="minorHAnsi"/>
          <w:sz w:val="24"/>
          <w:szCs w:val="24"/>
        </w:rPr>
        <w:t>, however, we should note that the study considered a kinde</w:t>
      </w:r>
      <w:r w:rsidR="00740440">
        <w:rPr>
          <w:rFonts w:cstheme="minorHAnsi"/>
          <w:sz w:val="24"/>
          <w:szCs w:val="24"/>
        </w:rPr>
        <w:t>rgart</w:t>
      </w:r>
      <w:r w:rsidR="00AF0152">
        <w:rPr>
          <w:rFonts w:cstheme="minorHAnsi"/>
          <w:sz w:val="24"/>
          <w:szCs w:val="24"/>
        </w:rPr>
        <w:t>en cohort which differs from our age group.</w:t>
      </w:r>
      <w:r w:rsidRPr="001C713C">
        <w:rPr>
          <w:rFonts w:cstheme="minorHAnsi"/>
          <w:sz w:val="24"/>
          <w:szCs w:val="24"/>
        </w:rPr>
        <w:t xml:space="preserve"> </w:t>
      </w:r>
      <w:r w:rsidRPr="001C713C">
        <w:rPr>
          <w:rFonts w:cstheme="minorHAnsi"/>
          <w:sz w:val="24"/>
          <w:szCs w:val="24"/>
        </w:rPr>
        <w:fldChar w:fldCharType="begin" w:fldLock="1"/>
      </w:r>
      <w:r w:rsidRPr="001C713C">
        <w:rPr>
          <w:rFonts w:cstheme="minorHAnsi"/>
          <w:sz w:val="24"/>
          <w:szCs w:val="24"/>
        </w:rPr>
        <w:instrText>ADDIN CSL_CITATION {"citationItems":[{"id":"ITEM-1","itemData":{"DOI":"10.1111/jomf.12100","ISSN":"00222445","abstract":"The authors used child fixed effects models to estimate the effects of parental divorce and death on a variety of outcomes using 2 large national data sets: (a) the Early Childhood Longitudinal Study, Kindergarten Cohort (kindergarten through the 5th grade) and (b) the National Educational Longitudinal Study (8th grade to the senior year of high school). In both data sets, divorce and death were associated with multiple negative outcomes among children. Although evidence for a causal effect of divorce on children was reasonably strong, effect sizes were small in magnitude. A second analysis revealed a substantial degree of variability in children's outcomes following parental divorce, with some children declining, others improving, and most not changing at all. The estimated effects of divorce appeared to be strongest among children with the highest propensity to experience parental divorce. © National Council on Family Relations, 2014.","author":[{"dropping-particle":"","family":"Amato","given":"Paul R.","non-dropping-particle":"","parse-names":false,"suffix":""},{"dropping-particle":"","family":"Anthony","given":"Christopher J.","non-dropping-particle":"","parse-names":false,"suffix":""}],"container-title":"Journal of Marriage and Family","id":"ITEM-1","issue":"2","issued":{"date-parts":[["2014"]]},"page":"370-386","title":"Estimating the effects of parental divorce and death with fixed effects models","type":"article-journal","volume":"76"},"uris":["http://www.mendeley.com/documents/?uuid=aece7321-e797-43e7-9f65-2fa2bca71867"]}],"mendeley":{"formattedCitation":"(Amato &amp; Anthony, 2014)","plainTextFormattedCitation":"(Amato &amp; Anthony, 2014)","previouslyFormattedCitation":"(Amato &amp; Anthony, 2014)"},"properties":{"noteIndex":0},"schema":"https://github.com/citation-style-language/schema/raw/master/csl-citation.json"}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(Amato &amp; Anthony, 2014)</w:t>
      </w:r>
      <w:r w:rsidRPr="001C713C">
        <w:rPr>
          <w:rFonts w:cstheme="minorHAnsi"/>
          <w:sz w:val="24"/>
          <w:szCs w:val="24"/>
        </w:rPr>
        <w:fldChar w:fldCharType="end"/>
      </w:r>
    </w:p>
    <w:p w14:paraId="39406D6B" w14:textId="6C7F4A46" w:rsidR="00565551" w:rsidRPr="001C713C" w:rsidRDefault="00565551" w:rsidP="006E2B80">
      <w:pPr>
        <w:spacing w:line="360" w:lineRule="auto"/>
        <w:ind w:firstLine="397"/>
        <w:jc w:val="both"/>
        <w:rPr>
          <w:rFonts w:cstheme="minorHAnsi"/>
          <w:sz w:val="24"/>
          <w:szCs w:val="24"/>
        </w:rPr>
      </w:pPr>
      <w:r w:rsidRPr="001C713C">
        <w:rPr>
          <w:rFonts w:cstheme="minorHAnsi"/>
          <w:sz w:val="24"/>
          <w:szCs w:val="24"/>
        </w:rPr>
        <w:t>The magnitude of school problems across different types of disrupted families seems to be similar for each group. Grade</w:t>
      </w:r>
      <w:r w:rsidR="000A7C88">
        <w:rPr>
          <w:rFonts w:cstheme="minorHAnsi"/>
          <w:sz w:val="24"/>
          <w:szCs w:val="24"/>
        </w:rPr>
        <w:t>-</w:t>
      </w:r>
      <w:r w:rsidRPr="001C713C">
        <w:rPr>
          <w:rFonts w:cstheme="minorHAnsi"/>
          <w:sz w:val="24"/>
          <w:szCs w:val="24"/>
        </w:rPr>
        <w:t xml:space="preserve">wise, remarriage does not worsen the grade difference between the non-intact families, as it is rather explained by the control variables. As regards the college expectations, the family structure differences among non-intact families were also not existential given the remaining covariates </w:t>
      </w:r>
      <w:r w:rsidRPr="001C713C">
        <w:rPr>
          <w:rFonts w:cstheme="minorHAnsi"/>
          <w:sz w:val="24"/>
          <w:szCs w:val="24"/>
        </w:rPr>
        <w:fldChar w:fldCharType="begin" w:fldLock="1"/>
      </w:r>
      <w:r w:rsidRPr="001C713C">
        <w:rPr>
          <w:rFonts w:cstheme="minorHAnsi"/>
          <w:sz w:val="24"/>
          <w:szCs w:val="24"/>
        </w:rPr>
        <w:instrText>ADDIN CSL_CITATION {"citationItems":[{"id":"ITEM-1","itemData":{"DOI":"10.1111/j.1741-3737.2003.00876.x","ISSN":"0022-2445","author":[{"dropping-particle":"","family":"Manning","given":"Wendy D.","non-dropping-particle":"","parse-names":false,"suffix":""},{"dropping-particle":"","family":"Lamb","given":"Kathleen A.","non-dropping-particle":"","parse-names":false,"suffix":""}],"container-title":"Journal of Marriage and Family","id":"ITEM-1","issue":"4","issued":{"date-parts":[["2003","11"]]},"page":"876-893","title":"Adolescent Well-Being in Cohabiting, Married, and Single-Parent Families","type":"article-journal","volume":"65"},"uris":["http://www.mendeley.com/documents/?uuid=69a9cb67-50e9-49ee-95ab-ff2465543b6a"]}],"mendeley":{"formattedCitation":"(Manning &amp; Lamb, 2003)","plainTextFormattedCitation":"(Manning &amp; Lamb, 2003)","previouslyFormattedCitation":"(Manning &amp; Lamb, 2003)"},"properties":{"noteIndex":0},"schema":"https://github.com/citation-style-language/schema/raw/master/csl-citation.json"}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(Manning &amp; Lamb, 2003)</w:t>
      </w:r>
      <w:r w:rsidRPr="001C713C">
        <w:rPr>
          <w:rFonts w:cstheme="minorHAnsi"/>
          <w:sz w:val="24"/>
          <w:szCs w:val="24"/>
        </w:rPr>
        <w:fldChar w:fldCharType="end"/>
      </w:r>
      <w:r w:rsidRPr="001C713C">
        <w:rPr>
          <w:rFonts w:cstheme="minorHAnsi"/>
          <w:sz w:val="24"/>
          <w:szCs w:val="24"/>
        </w:rPr>
        <w:t xml:space="preserve">. </w:t>
      </w:r>
    </w:p>
    <w:p w14:paraId="7239A5D0" w14:textId="6FD9BE02" w:rsidR="001D4B6E" w:rsidRPr="001C713C" w:rsidRDefault="00DB2D7D" w:rsidP="006E2B80">
      <w:pPr>
        <w:pStyle w:val="Heading3"/>
        <w:rPr>
          <w:rFonts w:asciiTheme="minorHAnsi" w:hAnsiTheme="minorHAnsi" w:cstheme="minorHAnsi"/>
        </w:rPr>
      </w:pPr>
      <w:bookmarkStart w:id="18" w:name="_Toc64591260"/>
      <w:r>
        <w:rPr>
          <w:rFonts w:asciiTheme="minorHAnsi" w:hAnsiTheme="minorHAnsi" w:cstheme="minorHAnsi"/>
        </w:rPr>
        <w:t xml:space="preserve">2.3.2. </w:t>
      </w:r>
      <w:r w:rsidR="001D4B6E" w:rsidRPr="001C713C">
        <w:rPr>
          <w:rFonts w:asciiTheme="minorHAnsi" w:hAnsiTheme="minorHAnsi" w:cstheme="minorHAnsi"/>
        </w:rPr>
        <w:t>Classroom Behavior</w:t>
      </w:r>
      <w:bookmarkEnd w:id="18"/>
    </w:p>
    <w:p w14:paraId="289B08FC" w14:textId="24169C51"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As far as delinquent acts </w:t>
      </w:r>
      <w:r w:rsidR="00CC4BE3" w:rsidRPr="001C713C">
        <w:rPr>
          <w:rFonts w:cstheme="minorHAnsi"/>
          <w:sz w:val="24"/>
          <w:szCs w:val="24"/>
        </w:rPr>
        <w:t>within</w:t>
      </w:r>
      <w:r w:rsidRPr="001C713C">
        <w:rPr>
          <w:rFonts w:cstheme="minorHAnsi"/>
          <w:sz w:val="24"/>
          <w:szCs w:val="24"/>
        </w:rPr>
        <w:t xml:space="preserve"> </w:t>
      </w:r>
      <w:r w:rsidR="00436F07" w:rsidRPr="001C713C">
        <w:rPr>
          <w:rFonts w:cstheme="minorHAnsi"/>
          <w:sz w:val="24"/>
          <w:szCs w:val="24"/>
        </w:rPr>
        <w:t xml:space="preserve">the </w:t>
      </w:r>
      <w:r w:rsidRPr="001C713C">
        <w:rPr>
          <w:rFonts w:cstheme="minorHAnsi"/>
          <w:sz w:val="24"/>
          <w:szCs w:val="24"/>
        </w:rPr>
        <w:t xml:space="preserve">school are concerned, remarried stepfather families have greater levels of misbehavior in comparison with single-mother families, but similar to that of the cohabiting stepfather families when we account for the intermediary factors, therefore the number of transitions determines the patterns of delinquency. </w:t>
      </w:r>
      <w:r w:rsidRPr="001C713C">
        <w:rPr>
          <w:rFonts w:cstheme="minorHAnsi"/>
          <w:sz w:val="24"/>
          <w:szCs w:val="24"/>
        </w:rPr>
        <w:fldChar w:fldCharType="begin" w:fldLock="1"/>
      </w:r>
      <w:r w:rsidRPr="001C713C">
        <w:rPr>
          <w:rFonts w:cstheme="minorHAnsi"/>
          <w:sz w:val="24"/>
          <w:szCs w:val="24"/>
        </w:rPr>
        <w:instrText>ADDIN CSL_CITATION {"citationItems":[{"id":"ITEM-1","itemData":{"DOI":"10.1111/j.1741-3737.2003.00876.x","ISSN":"0022-2445","author":[{"dropping-particle":"","family":"Manning","given":"Wendy D.","non-dropping-particle":"","parse-names":false,"suffix":""},{"dropping-particle":"","family":"Lamb","given":"Kathleen A.","non-dropping-particle":"","parse-names":false,"suffix":""}],"container-title":"Journal of Marriage and Family","id":"ITEM-1","issue":"4","issued":{"date-parts":[["2003","11"]]},"page":"876-893","title":"Adolescent Well-Being in Cohabiting, Married, and Single-Parent Families","type":"article-journal","volume":"65"},"uris":["http://www.mendeley.com/documents/?uuid=69a9cb67-50e9-49ee-95ab-ff2465543b6a"]}],"mendeley":{"formattedCitation":"(Manning &amp; Lamb, 2003)","plainTextFormattedCitation":"(Manning &amp; Lamb, 2003)","previouslyFormattedCitation":"(Manning &amp; Lamb, 2003)"},"properties":{"noteIndex":0},"schema":"https://github.com/citation-style-language/schema/raw/master/csl-citation.json"}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(Manning &amp; Lamb, 2003)</w:t>
      </w:r>
      <w:r w:rsidRPr="001C713C">
        <w:rPr>
          <w:rFonts w:cstheme="minorHAnsi"/>
          <w:sz w:val="24"/>
          <w:szCs w:val="24"/>
        </w:rPr>
        <w:fldChar w:fldCharType="end"/>
      </w:r>
      <w:r w:rsidRPr="001C713C">
        <w:rPr>
          <w:rFonts w:cstheme="minorHAnsi"/>
          <w:sz w:val="24"/>
          <w:szCs w:val="24"/>
        </w:rPr>
        <w:t xml:space="preserve">. </w:t>
      </w:r>
    </w:p>
    <w:p w14:paraId="4D7C8380" w14:textId="628FAD32"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lastRenderedPageBreak/>
        <w:t xml:space="preserve">From the teachers’ perspective, they have also noticed that those children who are living in a single-parent family found it difficult to adapt to the school’s expectations. A teacher's assessment in 1994 comparing a group of students in intact and nonintact families, confirmed that children from disrupted families were less productive, rigid, and passive upon coping with themselves compared to their peers from the other group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{"citationItems":[{"id":"ITEM-1","itemData":{"author":[{"dropping-particle":"","family":"Kurtz","given":"Linda","non-dropping-particle":"","parse-names":false,"suffix":""}],"container-title":"American Educational Research Association","id":"ITEM-1","issued":{"date-parts":[["1994","4"]]},"title":"Teacher Assessments of Coping Styles in Children of Divorce.","type":"article-journal"},"uris":["http://www.mendeley.com/documents/?uuid=0bd2bb7f-d52f-4d0c-afbc-0fde810a7f05"]}],"mendeley":{"formattedCitation":"(Kurtz, 1994)","plainTextFormattedCitation":"(Kurtz, 1994)","previouslyFormattedCitation":"(Kurtz, 1994)"},"properties":{"noteIndex":0},"schema":"https://github.com/citation-style-language/schema/raw/master/csl-citation.json"}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(Kurtz, 1994)</w:t>
      </w:r>
      <w:r w:rsidRPr="001C713C">
        <w:rPr>
          <w:rFonts w:cstheme="minorHAnsi"/>
          <w:sz w:val="24"/>
          <w:szCs w:val="24"/>
        </w:rPr>
        <w:fldChar w:fldCharType="end"/>
      </w:r>
      <w:r w:rsidRPr="001C713C">
        <w:rPr>
          <w:rFonts w:cstheme="minorHAnsi"/>
          <w:sz w:val="24"/>
          <w:szCs w:val="24"/>
        </w:rPr>
        <w:t>. Another group reported negative behavior changes in two-thirds of the divorces groups, as they either cannot concentrate on schoolwork, suffered from an emotional breakdown</w:t>
      </w:r>
      <w:r w:rsidR="00740440">
        <w:rPr>
          <w:rFonts w:cstheme="minorHAnsi"/>
          <w:sz w:val="24"/>
          <w:szCs w:val="24"/>
        </w:rPr>
        <w:t>,</w:t>
      </w:r>
      <w:r w:rsidRPr="001C713C">
        <w:rPr>
          <w:rFonts w:cstheme="minorHAnsi"/>
          <w:sz w:val="24"/>
          <w:szCs w:val="24"/>
        </w:rPr>
        <w:t xml:space="preserve"> and w</w:t>
      </w:r>
      <w:r w:rsidR="00F97E09">
        <w:rPr>
          <w:rFonts w:cstheme="minorHAnsi"/>
          <w:sz w:val="24"/>
          <w:szCs w:val="24"/>
        </w:rPr>
        <w:t>ere</w:t>
      </w:r>
      <w:r w:rsidRPr="001C713C">
        <w:rPr>
          <w:rFonts w:cstheme="minorHAnsi"/>
          <w:sz w:val="24"/>
          <w:szCs w:val="24"/>
        </w:rPr>
        <w:t xml:space="preserve"> in extreme need of teacher’s attention as their next best source of adult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{"citationItems":[{"id":"ITEM-1","itemData":{"author":[{"dropping-particle":"","family":"Wallerstein","given":"Judith S.","non-dropping-particle":"","parse-names":false,"suffix":""},{"dropping-particle":"","family":"Kelly","given":"Joan","non-dropping-particle":"","parse-names":false,"suffix":""}],"container-title":"New York: Basic Books","id":"ITEM-1","issued":{"date-parts":[["1980","5"]]},"title":"Surviving the Breakup: How Children and Parents Cope with Divorce.","type":"book"},"uris":["http://www.mendeley.com/documents/?uuid=e4b4726a-cfa0-4726-b453-c9877cbca065"]}],"mendeley":{"formattedCitation":"(Wallerstein &amp; Kelly, 1980)","plainTextFormattedCitation":"(Wallerstein &amp; Kelly, 1980)","previouslyFormattedCitation":"(Wallerstein &amp; Kelly, 1980)"},"properties":{"noteIndex":0},"schema":"https://github.com/citation-style-language/schema/raw/master/csl-citation.json"}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(Wallerstein &amp; Kelly, 1980)</w:t>
      </w:r>
      <w:r w:rsidRPr="001C713C">
        <w:rPr>
          <w:rFonts w:cstheme="minorHAnsi"/>
          <w:sz w:val="24"/>
          <w:szCs w:val="24"/>
        </w:rPr>
        <w:fldChar w:fldCharType="end"/>
      </w:r>
      <w:r w:rsidRPr="001C713C">
        <w:rPr>
          <w:rFonts w:cstheme="minorHAnsi"/>
          <w:sz w:val="24"/>
          <w:szCs w:val="24"/>
        </w:rPr>
        <w:t xml:space="preserve">. </w:t>
      </w:r>
    </w:p>
    <w:p w14:paraId="3CCD9FCA" w14:textId="304AAE1C" w:rsidR="001D4B6E" w:rsidRPr="001C713C" w:rsidRDefault="00DB2D7D" w:rsidP="006E2B80">
      <w:pPr>
        <w:pStyle w:val="Heading3"/>
        <w:rPr>
          <w:rFonts w:asciiTheme="minorHAnsi" w:hAnsiTheme="minorHAnsi" w:cstheme="minorHAnsi"/>
        </w:rPr>
      </w:pPr>
      <w:bookmarkStart w:id="19" w:name="_Toc64591261"/>
      <w:r>
        <w:rPr>
          <w:rFonts w:asciiTheme="minorHAnsi" w:hAnsiTheme="minorHAnsi" w:cstheme="minorHAnsi"/>
        </w:rPr>
        <w:t xml:space="preserve">2.3.3. </w:t>
      </w:r>
      <w:r w:rsidR="001D4B6E" w:rsidRPr="001C713C">
        <w:rPr>
          <w:rFonts w:asciiTheme="minorHAnsi" w:hAnsiTheme="minorHAnsi" w:cstheme="minorHAnsi"/>
        </w:rPr>
        <w:t xml:space="preserve">Expel and </w:t>
      </w:r>
      <w:proofErr w:type="gramStart"/>
      <w:r w:rsidR="001D4B6E" w:rsidRPr="001C713C">
        <w:rPr>
          <w:rFonts w:asciiTheme="minorHAnsi" w:hAnsiTheme="minorHAnsi" w:cstheme="minorHAnsi"/>
        </w:rPr>
        <w:t>Suspension</w:t>
      </w:r>
      <w:bookmarkEnd w:id="19"/>
      <w:proofErr w:type="gramEnd"/>
    </w:p>
    <w:p w14:paraId="0C795E88" w14:textId="5C69CE04"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A paper supported the hypothesis that the causal effect between misbehavior and poor academic performance works both ways </w:t>
      </w:r>
      <w:r w:rsidRPr="001C713C">
        <w:rPr>
          <w:rFonts w:cstheme="minorHAnsi"/>
          <w:sz w:val="24"/>
          <w:szCs w:val="24"/>
        </w:rPr>
        <w:fldChar w:fldCharType="begin" w:fldLock="1"/>
      </w:r>
      <w:r w:rsidRPr="001C713C">
        <w:rPr>
          <w:rFonts w:cstheme="minorHAnsi"/>
          <w:sz w:val="24"/>
          <w:szCs w:val="24"/>
        </w:rPr>
        <w:instrText>ADDIN CSL_CITATION {"citationItems":[{"id":"ITEM-1","itemData":{"DOI":"10.2307/2112616","ISSN":"00380407","author":[{"dropping-particle":"","family":"Myers","given":"David E","non-dropping-particle":"","parse-names":false,"suffix":""},{"dropping-particle":"","family":"Milne","given":"Ann M.","non-dropping-particle":"","parse-names":false,"suffix":""},{"dropping-particle":"","family":"Baker","given":"Keith","non-dropping-particle":"","parse-names":false,"suffix":""},{"dropping-particle":"","family":"Ginsburg","given":"Alan","non-dropping-particle":"","parse-names":false,"suffix":""}],"container-title":"Sociology of Education","id":"ITEM-1","issue":"1","issued":{"date-parts":[["1987","1"]]},"page":"18","title":"Student Discipline and High School Performance","type":"article-journal","volume":"60"},"uris":["http://www.mendeley.com/documents/?uuid=f17f8075-6704-426c-a4c1-8840225be45b"]}],"mendeley":{"formattedCitation":"(Myers et al., 1987)","plainTextFormattedCitation":"(Myers et al., 1987)","previouslyFormattedCitation":"(Myers et al., 1987)"},"properties":{"noteIndex":0},"schema":"https://github.com/citation-style-language/schema/raw/master/csl-citation.json"}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(Myers et al., 1987)</w:t>
      </w:r>
      <w:r w:rsidRPr="001C713C">
        <w:rPr>
          <w:rFonts w:cstheme="minorHAnsi"/>
          <w:sz w:val="24"/>
          <w:szCs w:val="24"/>
        </w:rPr>
        <w:fldChar w:fldCharType="end"/>
      </w:r>
      <w:r w:rsidRPr="001C713C">
        <w:rPr>
          <w:rFonts w:cstheme="minorHAnsi"/>
          <w:sz w:val="24"/>
          <w:szCs w:val="24"/>
        </w:rPr>
        <w:t xml:space="preserve">. However, another study reported that if we control for instrument variables such as the principals’ preference toward discipline, and selection effects, the negative correlation between the chance of suspension and academic performance disappears </w:t>
      </w:r>
      <w:r w:rsidRPr="001C713C">
        <w:rPr>
          <w:rFonts w:cstheme="minorHAnsi"/>
          <w:sz w:val="24"/>
          <w:szCs w:val="24"/>
        </w:rPr>
        <w:fldChar w:fldCharType="begin" w:fldLock="1"/>
      </w:r>
      <w:r w:rsidRPr="001C713C">
        <w:rPr>
          <w:rFonts w:cstheme="minorHAnsi"/>
          <w:sz w:val="24"/>
          <w:szCs w:val="24"/>
        </w:rPr>
        <w:instrText>ADDIN CSL_CITATION {"citationItems":[{"id":"ITEM-1","itemData":{"DOI":"10.2139/ssrn.2172022","ISSN":"1556-5068","author":[{"dropping-particle":"","family":"Canon","given":"Maria E","non-dropping-particle":"","parse-names":false,"suffix":""}],"container-title":"SSRN Electronic Journal","id":"ITEM-1","issued":{"date-parts":[["2012"]]},"title":"Out-of-School Suspensions and Parental Involvement in Children's Education","type":"article-journal"},"uris":["http://www.mendeley.com/documents/?uuid=a6069e63-c511-4194-8356-83db7ba3e8dc"]}],"mendeley":{"formattedCitation":"(Canon, 2012)","plainTextFormattedCitation":"(Canon, 2012)","previouslyFormattedCitation":"(Canon, 2012)"},"properties":{"noteIndex":0},"schema":"https://github.com/citation-style-language/schema/raw/master/csl-citation.json"}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(Canon, 2012)</w:t>
      </w:r>
      <w:r w:rsidRPr="001C713C">
        <w:rPr>
          <w:rFonts w:cstheme="minorHAnsi"/>
          <w:sz w:val="24"/>
          <w:szCs w:val="24"/>
        </w:rPr>
        <w:fldChar w:fldCharType="end"/>
      </w:r>
      <w:r w:rsidRPr="001C713C">
        <w:rPr>
          <w:rFonts w:cstheme="minorHAnsi"/>
          <w:sz w:val="24"/>
          <w:szCs w:val="24"/>
        </w:rPr>
        <w:t>.</w:t>
      </w:r>
    </w:p>
    <w:p w14:paraId="272C3185" w14:textId="44FDCECE" w:rsidR="001D4B6E" w:rsidRPr="001C713C" w:rsidRDefault="000A7C88" w:rsidP="006E2B80">
      <w:pPr>
        <w:spacing w:line="360" w:lineRule="auto"/>
        <w:ind w:firstLine="397"/>
        <w:jc w:val="both"/>
        <w:rPr>
          <w:rFonts w:cstheme="minorHAnsi"/>
          <w:sz w:val="24"/>
          <w:szCs w:val="24"/>
        </w:rPr>
      </w:pPr>
      <w:r>
        <w:rPr>
          <w:rFonts w:cstheme="minorHAnsi"/>
          <w:sz w:val="24"/>
          <w:szCs w:val="24"/>
        </w:rPr>
        <w:t xml:space="preserve">Having </w:t>
      </w:r>
      <w:r w:rsidR="001D4B6E" w:rsidRPr="001C713C">
        <w:rPr>
          <w:rFonts w:cstheme="minorHAnsi"/>
          <w:sz w:val="24"/>
          <w:szCs w:val="24"/>
        </w:rPr>
        <w:t>investigat</w:t>
      </w:r>
      <w:r>
        <w:rPr>
          <w:rFonts w:cstheme="minorHAnsi"/>
          <w:sz w:val="24"/>
          <w:szCs w:val="24"/>
        </w:rPr>
        <w:t>ed</w:t>
      </w:r>
      <w:r w:rsidR="001D4B6E" w:rsidRPr="001C713C">
        <w:rPr>
          <w:rFonts w:cstheme="minorHAnsi"/>
          <w:sz w:val="24"/>
          <w:szCs w:val="24"/>
        </w:rPr>
        <w:t xml:space="preserve"> the rate of suspension and expel among students of disrupted families</w:t>
      </w:r>
      <w:r>
        <w:rPr>
          <w:rFonts w:cstheme="minorHAnsi"/>
          <w:sz w:val="24"/>
          <w:szCs w:val="24"/>
        </w:rPr>
        <w:t xml:space="preserve"> </w:t>
      </w:r>
      <w:r w:rsidRPr="001C713C">
        <w:rPr>
          <w:rFonts w:cstheme="minorHAnsi"/>
          <w:noProof/>
          <w:sz w:val="24"/>
          <w:szCs w:val="24"/>
        </w:rPr>
        <w:t xml:space="preserve">Manning &amp; Lamb (2003) </w:t>
      </w:r>
      <w:r w:rsidR="001D4B6E" w:rsidRPr="001C713C">
        <w:rPr>
          <w:rFonts w:cstheme="minorHAnsi"/>
          <w:sz w:val="24"/>
          <w:szCs w:val="24"/>
        </w:rPr>
        <w:t xml:space="preserve">told that adolescents in cohabiting stepfather families are exposed to 122% higher </w:t>
      </w:r>
      <w:r w:rsidR="003E1CB6">
        <w:rPr>
          <w:rFonts w:cstheme="minorHAnsi"/>
          <w:sz w:val="24"/>
          <w:szCs w:val="24"/>
        </w:rPr>
        <w:t>odds</w:t>
      </w:r>
      <w:r w:rsidR="001D4B6E" w:rsidRPr="001C713C">
        <w:rPr>
          <w:rFonts w:cstheme="minorHAnsi"/>
          <w:sz w:val="24"/>
          <w:szCs w:val="24"/>
        </w:rPr>
        <w:t xml:space="preserve"> of being suspended from school coupled with a greater chance of delinquency and </w:t>
      </w:r>
      <w:r w:rsidR="000111E9" w:rsidRPr="001C713C">
        <w:rPr>
          <w:rFonts w:cstheme="minorHAnsi"/>
          <w:sz w:val="24"/>
          <w:szCs w:val="24"/>
        </w:rPr>
        <w:t>misbehavior</w:t>
      </w:r>
      <w:r w:rsidR="001D4B6E" w:rsidRPr="001C713C">
        <w:rPr>
          <w:rFonts w:cstheme="minorHAnsi"/>
          <w:sz w:val="24"/>
          <w:szCs w:val="24"/>
        </w:rPr>
        <w:t xml:space="preserve">. Concerning the difference whether married or cohabiting stepfamily has larger downward effects on children on a bivariate, teenagers living in the married structure prone to have significantly less chance of being suspended or expelled from school than teens of cohabiting structure. Controlling for SES and parenting variables (marital relationship, and monitoring) the </w:t>
      </w:r>
      <w:r w:rsidR="003E1CB6">
        <w:rPr>
          <w:rFonts w:cstheme="minorHAnsi"/>
          <w:sz w:val="24"/>
          <w:szCs w:val="24"/>
        </w:rPr>
        <w:t>odds</w:t>
      </w:r>
      <w:r w:rsidR="001D4B6E" w:rsidRPr="001C713C">
        <w:rPr>
          <w:rFonts w:cstheme="minorHAnsi"/>
          <w:sz w:val="24"/>
          <w:szCs w:val="24"/>
        </w:rPr>
        <w:t xml:space="preserve"> of suspension are the same for remarried and cohabiting types. Finally, the effect of stepfather families (either married or cohabiting) does not differ from that of their respective group in single-mother families, independently from the controlling variables </w:t>
      </w:r>
      <w:r w:rsidR="001D4B6E" w:rsidRPr="001C713C">
        <w:rPr>
          <w:rFonts w:cstheme="minorHAnsi"/>
          <w:sz w:val="24"/>
          <w:szCs w:val="24"/>
        </w:rPr>
        <w:fldChar w:fldCharType="begin" w:fldLock="1"/>
      </w:r>
      <w:r w:rsidR="001D4B6E" w:rsidRPr="001C713C">
        <w:rPr>
          <w:rFonts w:cstheme="minorHAnsi"/>
          <w:sz w:val="24"/>
          <w:szCs w:val="24"/>
        </w:rPr>
        <w:instrText>ADDIN CSL_CITATION {"citationItems":[{"id":"ITEM-1","itemData":{"DOI":"10.1111/j.1741-3737.2003.00876.x","ISSN":"0022-2445","author":[{"dropping-particle":"","family":"Manning","given":"Wendy D.","non-dropping-particle":"","parse-names":false,"suffix":""},{"dropping-particle":"","family":"Lamb","given":"Kathleen A.","non-dropping-particle":"","parse-names":false,"suffix":""}],"container-title":"Journal of Marriage and Family","id":"ITEM-1","issue":"4","issued":{"date-parts":[["2003","11"]]},"page":"876-893","title":"Adolescent Well-Being in Cohabiting, Married, and Single-Parent Families","type":"article-journal","volume":"65"},"uris":["http://www.mendeley.com/documents/?uuid=69a9cb67-50e9-49ee-95ab-ff2465543b6a"]}],"mendeley":{"formattedCitation":"(Manning &amp; Lamb, 2003)","plainTextFormattedCitation":"(Manning &amp; Lamb, 2003)","previouslyFormattedCitation":"(Manning &amp; Lamb, 2003)"},"properties":{"noteIndex":0},"schema":"https://github.com/citation-style-language/schema/raw/master/csl-citation.json"}</w:instrText>
      </w:r>
      <w:r w:rsidR="001D4B6E" w:rsidRPr="001C713C">
        <w:rPr>
          <w:rFonts w:cstheme="minorHAnsi"/>
          <w:sz w:val="24"/>
          <w:szCs w:val="24"/>
        </w:rPr>
        <w:fldChar w:fldCharType="separate"/>
      </w:r>
      <w:r w:rsidR="001D4B6E" w:rsidRPr="001C713C">
        <w:rPr>
          <w:rFonts w:cstheme="minorHAnsi"/>
          <w:noProof/>
          <w:sz w:val="24"/>
          <w:szCs w:val="24"/>
        </w:rPr>
        <w:t>(Manning &amp; Lamb, 2003)</w:t>
      </w:r>
      <w:r w:rsidR="001D4B6E" w:rsidRPr="001C713C">
        <w:rPr>
          <w:rFonts w:cstheme="minorHAnsi"/>
          <w:sz w:val="24"/>
          <w:szCs w:val="24"/>
        </w:rPr>
        <w:fldChar w:fldCharType="end"/>
      </w:r>
      <w:r w:rsidR="001D4B6E" w:rsidRPr="001C713C">
        <w:rPr>
          <w:rFonts w:cstheme="minorHAnsi"/>
          <w:sz w:val="24"/>
          <w:szCs w:val="24"/>
        </w:rPr>
        <w:t xml:space="preserve">. </w:t>
      </w:r>
    </w:p>
    <w:p w14:paraId="657471F0" w14:textId="14500EB8" w:rsidR="001D4B6E" w:rsidRPr="001C713C" w:rsidRDefault="00DB2D7D" w:rsidP="006E2B80">
      <w:pPr>
        <w:pStyle w:val="Heading3"/>
        <w:rPr>
          <w:rFonts w:asciiTheme="minorHAnsi" w:hAnsiTheme="minorHAnsi" w:cstheme="minorHAnsi"/>
        </w:rPr>
      </w:pPr>
      <w:bookmarkStart w:id="20" w:name="_Toc64591262"/>
      <w:r>
        <w:rPr>
          <w:rFonts w:asciiTheme="minorHAnsi" w:hAnsiTheme="minorHAnsi" w:cstheme="minorHAnsi"/>
        </w:rPr>
        <w:t xml:space="preserve">2.3.4. </w:t>
      </w:r>
      <w:r w:rsidR="001D4B6E" w:rsidRPr="001C713C">
        <w:rPr>
          <w:rFonts w:asciiTheme="minorHAnsi" w:hAnsiTheme="minorHAnsi" w:cstheme="minorHAnsi"/>
        </w:rPr>
        <w:t>Grade Repeat and Dropping Out</w:t>
      </w:r>
      <w:bookmarkEnd w:id="20"/>
    </w:p>
    <w:p w14:paraId="2C0DC8AC" w14:textId="6C668861"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It has been confirmed by numerous previous studies, which accounted and controlled for each kind of family background, that the structural change as early as the first grade increases the likelihood of dropping out during high school, while those students who are part of a single-parent or a female-headed household are two to three times more likely to drop out </w:t>
      </w:r>
      <w:r w:rsidRPr="001C713C">
        <w:rPr>
          <w:rFonts w:cstheme="minorHAnsi"/>
          <w:sz w:val="24"/>
          <w:szCs w:val="24"/>
        </w:rPr>
        <w:lastRenderedPageBreak/>
        <w:t xml:space="preserve">compared to the two-parent families, especially minorities. The direction of a causal effect between the breakdown in the family and the financial deprivation was considered so that the structure change causes child poverty and a possible dropout or termination of future studies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019251300021002001","ISBN":"0893-3200","ISSN":"0192-513X","author":[{"dropping-particle":"","family":"Pong","given":"Suet-Ling","non-dropping-particle":"","parse-names":false,"suffix":""},{"dropping-particle":"","family":"Ju","given":"Dong-Beom","non-dropping-particle":"","parse-names":false,"suffix":""}],"container-title":"Journal of Family Issues","id":"ITEM-1","issue":"2","issued":{"date-parts":[["2000","3","30"]]},"page":"147-169","title":"The Effects of Change in Family Structure and Income on Dropping Out of Middle and High School","type":"article-journal","volume":"21"},"uris":["http://www.mendeley.com/documents/?uuid=5a026a94-ac6f-4fbe-99b1-ec4e3b56b71b"]}],"mendeley":{"formattedCitation":"(Pong &amp; Ju, 2000)","plainTextFormattedCitation":"(Pong &amp; Ju, 2000)","previouslyFormattedCitation":"(Pong &amp; Ju, 2000)"},"properties":{"noteIndex":0},"schema":"https://github.com/citation-style-language/schema/raw/master/csl-citation.json"}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(Pong &amp; Ju, 2000)</w:t>
      </w:r>
      <w:r w:rsidRPr="001C713C">
        <w:rPr>
          <w:rFonts w:cstheme="minorHAnsi"/>
          <w:sz w:val="24"/>
          <w:szCs w:val="24"/>
        </w:rPr>
        <w:fldChar w:fldCharType="end"/>
      </w:r>
      <w:r w:rsidRPr="001C713C">
        <w:rPr>
          <w:rFonts w:cstheme="minorHAnsi"/>
          <w:sz w:val="24"/>
          <w:szCs w:val="24"/>
        </w:rPr>
        <w:t>.</w:t>
      </w:r>
    </w:p>
    <w:p w14:paraId="27D82615" w14:textId="38F224EB"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A study between 1988 and 1992 using the data of the National Education Longitudinal Study </w:t>
      </w:r>
      <w:r w:rsidR="000B3080" w:rsidRPr="001C713C">
        <w:rPr>
          <w:rFonts w:cstheme="minorHAnsi"/>
          <w:sz w:val="24"/>
          <w:szCs w:val="24"/>
        </w:rPr>
        <w:t xml:space="preserve">(NELS) </w:t>
      </w:r>
      <w:r w:rsidRPr="001C713C">
        <w:rPr>
          <w:rFonts w:cstheme="minorHAnsi"/>
          <w:sz w:val="24"/>
          <w:szCs w:val="24"/>
        </w:rPr>
        <w:t xml:space="preserve">confirmed that the disruption of two-parent families increases the </w:t>
      </w:r>
      <w:r w:rsidR="003E1CB6">
        <w:rPr>
          <w:rFonts w:cstheme="minorHAnsi"/>
          <w:sz w:val="24"/>
          <w:szCs w:val="24"/>
        </w:rPr>
        <w:t>odds</w:t>
      </w:r>
      <w:r w:rsidRPr="001C713C">
        <w:rPr>
          <w:rFonts w:cstheme="minorHAnsi"/>
          <w:sz w:val="24"/>
          <w:szCs w:val="24"/>
        </w:rPr>
        <w:t xml:space="preserve"> of dropping out of high school. In fact, for those children who have experienced a change to a single-parent, stepfamily, the risk of being a dropout in the future is two times higher. The most affected group was mother-only families, as they were strongly associated with income decrease or entry into poverty, while the likelihood of dropout was the highest </w:t>
      </w:r>
      <w:r w:rsidRPr="001C713C">
        <w:rPr>
          <w:rFonts w:cstheme="minorHAnsi"/>
          <w:sz w:val="24"/>
          <w:szCs w:val="24"/>
        </w:rPr>
        <w:fldChar w:fldCharType="begin" w:fldLock="1"/>
      </w:r>
      <w:r w:rsidRPr="001C713C">
        <w:rPr>
          <w:rFonts w:cstheme="minorHAnsi"/>
          <w:sz w:val="24"/>
          <w:szCs w:val="24"/>
        </w:rPr>
        <w:instrText>ADDIN CSL_CITATION {"citationItems":[{"id":"ITEM-1","itemData":{"DOI":"10.1177/019251300021002001","ISBN":"0893-3200","ISSN":"0192-513X","author":[{"dropping-particle":"","family":"Pong","given":"Suet-Ling","non-dropping-particle":"","parse-names":false,"suffix":""},{"dropping-particle":"","family":"Ju","given":"Dong-Beom","non-dropping-particle":"","parse-names":false,"suffix":""}],"container-title":"Journal of Family Issues","id":"ITEM-1","issue":"2","issued":{"date-parts":[["2000","3","30"]]},"page":"147-169","title":"The Effects of Change in Family Structure and Income on Dropping Out of Middle and High School","type":"article-journal","volume":"21"},"uris":["http://www.mendeley.com/documents/?uuid=5a026a94-ac6f-4fbe-99b1-ec4e3b56b71b"]},{"id":"ITEM-2","itemData":{"DOI":"10.1177/019251394015001006","ISSN":"15525481","abstract":"Very little is known about the academic performance of children from single-father families. How do they achieve in school relative to children from single-mother and two-parent families? Do the same processes posited to explain the school performance of children from single-mother households account for the educational performance of children in single-father homes? These questions are addressed using a nationally representative sample of 8th graders from the National Longitudinal Study of 1988. Eight different educational outcomes are compared for 409 children in single-father, 3,483 in single-mother, and 14,269 children in biological two-parent families. Children from single-father and single-mother families perform roughly the same in school, but both are outperformed by children from two-parent families. The intervening processes explaining school performance for children from single-father and single-mother families are somewhat different, however. Economic deprivation, or the lack of economic resources, is more useful for understanding the school difficulties of children from single-mother families, whereas interpersonal deprivation, or the lack of interpersonal parental resources, provide a more accurate description for why children from single-father families do poorly in school. © 1994, SAGE Periodicals Press. All rights reserved.","author":[{"dropping-particle":"","family":"Downey","given":"Douglas B.","non-dropping-particle":"","parse-names":false,"suffix":""}],"container-title":"Journal of Family Issues","id":"ITEM-2","issue":"1","issued":{"date-parts":[["1994"]]},"page":"129-147","title":"The School Performance of Children From Single-Mother and Single-Father Families:: Economic or Interpersonal Deprivation?","type":"article-journal","volume":"15"},"uris":["http://www.mendeley.com/documents/?uuid=1ef1a13a-6c20-4896-bbe4-b6f34a39655b"]}],"mendeley":{"formattedCitation":"(Downey, 1994; Pong &amp; Ju, 2000)","plainTextFormattedCitation":"(Downey, 1994; Pong &amp; Ju, 2000)","previouslyFormattedCitation":"(Downey, 1994; Pong &amp; Ju, 2000)"},"properties":{"noteIndex":0},"schema":"https://github.com/citation-style-language/schema/raw/master/csl-citation.json"}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(Downey, 1994; Pong &amp; Ju, 2000)</w:t>
      </w:r>
      <w:r w:rsidRPr="001C713C">
        <w:rPr>
          <w:rFonts w:cstheme="minorHAnsi"/>
          <w:sz w:val="24"/>
          <w:szCs w:val="24"/>
        </w:rPr>
        <w:fldChar w:fldCharType="end"/>
      </w:r>
      <w:r w:rsidRPr="001C713C">
        <w:rPr>
          <w:rFonts w:cstheme="minorHAnsi"/>
          <w:sz w:val="24"/>
          <w:szCs w:val="24"/>
        </w:rPr>
        <w:t>.</w:t>
      </w:r>
    </w:p>
    <w:p w14:paraId="2A39C4EE" w14:textId="4CAFAF25" w:rsidR="001D4B6E" w:rsidRPr="001C713C" w:rsidRDefault="00C66752" w:rsidP="006E2B80">
      <w:pPr>
        <w:spacing w:line="360" w:lineRule="auto"/>
        <w:ind w:firstLine="397"/>
        <w:jc w:val="both"/>
        <w:rPr>
          <w:rFonts w:cstheme="minorHAnsi"/>
          <w:sz w:val="24"/>
          <w:szCs w:val="24"/>
        </w:rPr>
      </w:pPr>
      <w:r w:rsidRPr="001C713C">
        <w:rPr>
          <w:rFonts w:cstheme="minorHAnsi"/>
          <w:sz w:val="24"/>
          <w:szCs w:val="24"/>
        </w:rPr>
        <w:t>As expected</w:t>
      </w:r>
      <w:r w:rsidR="001D4B6E" w:rsidRPr="001C713C">
        <w:rPr>
          <w:rFonts w:cstheme="minorHAnsi"/>
          <w:sz w:val="24"/>
          <w:szCs w:val="24"/>
        </w:rPr>
        <w:t xml:space="preserve">, if we control for family income change and initial poverty status, it eliminated the effect of changing to a single-parent family. Regarding the change to the stepparent family, the effect appears to be unrelated to the income change, which can be explained by the </w:t>
      </w:r>
      <w:r w:rsidR="005B4CDC">
        <w:rPr>
          <w:rFonts w:cstheme="minorHAnsi"/>
          <w:sz w:val="24"/>
          <w:szCs w:val="24"/>
        </w:rPr>
        <w:t>add</w:t>
      </w:r>
      <w:r w:rsidR="001D4B6E" w:rsidRPr="001C713C">
        <w:rPr>
          <w:rFonts w:cstheme="minorHAnsi"/>
          <w:sz w:val="24"/>
          <w:szCs w:val="24"/>
        </w:rPr>
        <w:t xml:space="preserve">itional income of the stepparent. Students who were below the $15.000 per year threshold income, were 1.8 times more likely to drop out of school, and the risk is even higher if they experienced the drop in income during the period when the study was conducted. Thereby, both variables, the family structure, and financial stability individually and jointly contribute to the academic performance and chances of dropping out, even in two-parent families </w:t>
      </w:r>
      <w:r w:rsidR="001D4B6E" w:rsidRPr="001C713C">
        <w:rPr>
          <w:rFonts w:cstheme="minorHAnsi"/>
          <w:sz w:val="24"/>
          <w:szCs w:val="24"/>
        </w:rPr>
        <w:fldChar w:fldCharType="begin" w:fldLock="1"/>
      </w:r>
      <w:r w:rsidR="001D4B6E" w:rsidRPr="001C713C">
        <w:rPr>
          <w:rFonts w:cstheme="minorHAnsi"/>
          <w:sz w:val="24"/>
          <w:szCs w:val="24"/>
        </w:rPr>
        <w:instrText>ADDIN CSL_CITATION {"citationItems":[{"id":"ITEM-1","itemData":{"DOI":"10.1177/019251300021002001","ISBN":"0893-3200","ISSN":"0192-513X","author":[{"dropping-particle":"","family":"Pong","given":"Suet-Ling","non-dropping-particle":"","parse-names":false,"suffix":""},{"dropping-particle":"","family":"Ju","given":"Dong-Beom","non-dropping-particle":"","parse-names":false,"suffix":""}],"container-title":"Journal of Family Issues","id":"ITEM-1","issue":"2","issued":{"date-parts":[["2000","3","30"]]},"page":"147-169","title":"The Effects of Change in Family Structure and Income on Dropping Out of Middle and High School","type":"article-journal","volume":"21"},"uris":["http://www.mendeley.com/documents/?uuid=5a026a94-ac6f-4fbe-99b1-ec4e3b56b71b"]}],"mendeley":{"formattedCitation":"(Pong &amp; Ju, 2000)","plainTextFormattedCitation":"(Pong &amp; Ju, 2000)","previouslyFormattedCitation":"(Pong &amp; Ju, 2000)"},"properties":{"noteIndex":0},"schema":"https://github.com/citation-style-language/schema/raw/master/csl-citation.json"}</w:instrText>
      </w:r>
      <w:r w:rsidR="001D4B6E" w:rsidRPr="001C713C">
        <w:rPr>
          <w:rFonts w:cstheme="minorHAnsi"/>
          <w:sz w:val="24"/>
          <w:szCs w:val="24"/>
        </w:rPr>
        <w:fldChar w:fldCharType="separate"/>
      </w:r>
      <w:r w:rsidR="001D4B6E" w:rsidRPr="001C713C">
        <w:rPr>
          <w:rFonts w:cstheme="minorHAnsi"/>
          <w:noProof/>
          <w:sz w:val="24"/>
          <w:szCs w:val="24"/>
        </w:rPr>
        <w:t>(Pong &amp; Ju, 2000)</w:t>
      </w:r>
      <w:r w:rsidR="001D4B6E" w:rsidRPr="001C713C">
        <w:rPr>
          <w:rFonts w:cstheme="minorHAnsi"/>
          <w:sz w:val="24"/>
          <w:szCs w:val="24"/>
        </w:rPr>
        <w:fldChar w:fldCharType="end"/>
      </w:r>
      <w:r w:rsidR="001D4B6E" w:rsidRPr="001C713C">
        <w:rPr>
          <w:rFonts w:cstheme="minorHAnsi"/>
          <w:sz w:val="24"/>
          <w:szCs w:val="24"/>
        </w:rPr>
        <w:t>.</w:t>
      </w:r>
    </w:p>
    <w:p w14:paraId="22740036" w14:textId="7C595B83" w:rsidR="000220AE" w:rsidRPr="001C713C" w:rsidRDefault="000220AE" w:rsidP="006E2B80">
      <w:pPr>
        <w:spacing w:line="360" w:lineRule="auto"/>
        <w:ind w:firstLine="397"/>
        <w:jc w:val="both"/>
        <w:rPr>
          <w:rFonts w:cstheme="minorHAnsi"/>
          <w:sz w:val="24"/>
          <w:szCs w:val="24"/>
        </w:rPr>
      </w:pPr>
      <w:r w:rsidRPr="001C713C">
        <w:rPr>
          <w:rFonts w:cstheme="minorHAnsi"/>
          <w:sz w:val="24"/>
          <w:szCs w:val="24"/>
        </w:rPr>
        <w:t xml:space="preserve">Undoubtedly, income plays a huge part in fostering a child’s education. </w:t>
      </w:r>
      <w:r w:rsidR="000A7C88" w:rsidRPr="001C713C">
        <w:rPr>
          <w:rFonts w:cstheme="minorHAnsi"/>
          <w:sz w:val="24"/>
          <w:szCs w:val="24"/>
        </w:rPr>
        <w:t>Lower</w:t>
      </w:r>
      <w:r w:rsidR="000A7C88">
        <w:rPr>
          <w:rFonts w:cstheme="minorHAnsi"/>
          <w:sz w:val="24"/>
          <w:szCs w:val="24"/>
        </w:rPr>
        <w:t xml:space="preserve"> income</w:t>
      </w:r>
      <w:r w:rsidR="00997883">
        <w:rPr>
          <w:rFonts w:cstheme="minorHAnsi"/>
          <w:sz w:val="24"/>
          <w:szCs w:val="24"/>
        </w:rPr>
        <w:t>s</w:t>
      </w:r>
      <w:r w:rsidRPr="001C713C">
        <w:rPr>
          <w:rFonts w:cstheme="minorHAnsi"/>
          <w:sz w:val="24"/>
          <w:szCs w:val="24"/>
        </w:rPr>
        <w:t xml:space="preserve"> can result in the lack of educational resources and eventually a grade repeat or in worse case scenarios a dropout. It has been shown that a percentage rase in income raises the </w:t>
      </w:r>
      <w:r w:rsidR="003E1CB6">
        <w:rPr>
          <w:rFonts w:cstheme="minorHAnsi"/>
          <w:sz w:val="24"/>
          <w:szCs w:val="24"/>
        </w:rPr>
        <w:t>odds</w:t>
      </w:r>
      <w:r w:rsidRPr="001C713C">
        <w:rPr>
          <w:rFonts w:cstheme="minorHAnsi"/>
          <w:sz w:val="24"/>
          <w:szCs w:val="24"/>
        </w:rPr>
        <w:t xml:space="preserve"> of not repeating a grade, hence we can also interpret it reversely which implies that a decrease in income increases the chance of grade repeat, which is exactly what happens when a parent leaves the household. Interestingly, parental involvement does not explain the rate of grade repeat for children, which may since sometimes fewer but better consultations with parents pay off and it is difficult to measure the quality of these interactions </w:t>
      </w:r>
      <w:r w:rsidRPr="001C713C">
        <w:rPr>
          <w:rFonts w:cstheme="minorHAnsi"/>
          <w:sz w:val="24"/>
          <w:szCs w:val="24"/>
        </w:rPr>
        <w:fldChar w:fldCharType="begin" w:fldLock="1"/>
      </w:r>
      <w:r w:rsidRPr="001C713C">
        <w:rPr>
          <w:rFonts w:cstheme="minorHAnsi"/>
          <w:sz w:val="24"/>
          <w:szCs w:val="24"/>
        </w:rPr>
        <w:instrText>ADDIN CSL_CITATION {"citationItems":[{"id":"ITEM-1","itemData":{"DOI":"10.1016/j.childyouth.2004.02.008","ISSN":"01907409","abstract":"This study examines the critical factors that determine children's performance in school with the national representative data set (NSFH) wave I and wave II. The result confirms previous conclusions based on the human capital theory and other frameworks. The article pays special attentions to the effect of different types of family structure on the children's educational performance. © 2004 Elsevier Ltd. All rights reserved.","author":[{"dropping-particle":"","family":"Kim","given":"Hak Ju","non-dropping-particle":"","parse-names":false,"suffix":""}],"container-title":"Children and Youth Services Review","id":"ITEM-1","issue":"6","issued":{"date-parts":[["2004"]]},"page":"529-536","title":"Family resources and children's academic performance","type":"article-journal","volume":"26"},"uris":["http://www.mendeley.com/documents/?uuid=2480f9f0-6002-459f-8cb6-c67554c3ebde"]}],"mendeley":{"formattedCitation":"(Kim, 2004)","plainTextFormattedCitation":"(Kim, 2004)","previouslyFormattedCitation":"(Kim, 2004)"},"properties":{"noteIndex":0},"schema":"https://github.com/citation-style-language/schema/raw/master/csl-citation.json"}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(Kim, 2004)</w:t>
      </w:r>
      <w:r w:rsidRPr="001C713C">
        <w:rPr>
          <w:rFonts w:cstheme="minorHAnsi"/>
          <w:sz w:val="24"/>
          <w:szCs w:val="24"/>
        </w:rPr>
        <w:fldChar w:fldCharType="end"/>
      </w:r>
      <w:r w:rsidRPr="001C713C">
        <w:rPr>
          <w:rFonts w:cstheme="minorHAnsi"/>
          <w:sz w:val="24"/>
          <w:szCs w:val="24"/>
        </w:rPr>
        <w:t xml:space="preserve">. </w:t>
      </w:r>
    </w:p>
    <w:p w14:paraId="05449503" w14:textId="7D016443" w:rsidR="001D4B6E" w:rsidRPr="001C713C" w:rsidRDefault="00DB2D7D" w:rsidP="006E2B80">
      <w:pPr>
        <w:pStyle w:val="Heading3"/>
        <w:rPr>
          <w:rFonts w:asciiTheme="minorHAnsi" w:hAnsiTheme="minorHAnsi" w:cstheme="minorHAnsi"/>
        </w:rPr>
      </w:pPr>
      <w:bookmarkStart w:id="21" w:name="_Toc64591263"/>
      <w:r>
        <w:rPr>
          <w:rFonts w:asciiTheme="minorHAnsi" w:hAnsiTheme="minorHAnsi" w:cstheme="minorHAnsi"/>
        </w:rPr>
        <w:lastRenderedPageBreak/>
        <w:t xml:space="preserve">2.3.5. </w:t>
      </w:r>
      <w:r w:rsidR="001D4B6E" w:rsidRPr="001C713C">
        <w:rPr>
          <w:rFonts w:asciiTheme="minorHAnsi" w:hAnsiTheme="minorHAnsi" w:cstheme="minorHAnsi"/>
        </w:rPr>
        <w:t>Educational Attainment</w:t>
      </w:r>
      <w:bookmarkEnd w:id="21"/>
    </w:p>
    <w:p w14:paraId="3315508F" w14:textId="5BA6E3C1"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Not only the family structure affects the grades in school, but also has an impact on the educational expectation. Controlling for other </w:t>
      </w:r>
      <w:r w:rsidR="001359C7">
        <w:rPr>
          <w:rFonts w:cstheme="minorHAnsi"/>
          <w:sz w:val="24"/>
          <w:szCs w:val="24"/>
        </w:rPr>
        <w:t>covariates</w:t>
      </w:r>
      <w:r w:rsidRPr="001C713C">
        <w:rPr>
          <w:rFonts w:cstheme="minorHAnsi"/>
          <w:sz w:val="24"/>
          <w:szCs w:val="24"/>
        </w:rPr>
        <w:t xml:space="preserve"> (e.g. race, gender, parental education, socioeconomic status)</w:t>
      </w:r>
      <w:r w:rsidR="001359C7">
        <w:rPr>
          <w:rFonts w:cstheme="minorHAnsi"/>
          <w:sz w:val="24"/>
          <w:szCs w:val="24"/>
        </w:rPr>
        <w:t>,</w:t>
      </w:r>
      <w:r w:rsidRPr="001C713C">
        <w:rPr>
          <w:rFonts w:cstheme="minorHAnsi"/>
          <w:sz w:val="24"/>
          <w:szCs w:val="24"/>
        </w:rPr>
        <w:t xml:space="preserve"> children in single-parent families are less likely to finish high school or attend tertiary education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{"citationItems":[{"id":"ITEM-1","itemData":{"author":[{"dropping-particle":"","family":"Biblarz","given":"Timothy J","non-dropping-particle":"","parse-names":false,"suffix":""},{"dropping-particle":"","family":"Gottainer","given":"Greg","non-dropping-particle":"","parse-names":false,"suffix":""},{"dropping-particle":"","family":"Journal","given":"Source","non-dropping-particle":"","parse-names":false,"suffix":""},{"dropping-particle":"","family":"May","given":"No","non-dropping-particle":"","parse-names":false,"suffix":""}],"id":"ITEM-1","issue":"2","issued":{"date-parts":[["2016"]]},"page":"533-548","title":"Family Structure and Children ' s Success : A Comparison of Widowed and Divorced Single- Mother Families Published by : National Council on Family Relations Stable URL : http://www.jstor.org/stable/1566757 Family Structure and Children ' s Success : A Com","type":"article-journal","volume":"62"},"uris":["http://www.mendeley.com/documents/?uuid=25ecc8af-629b-4516-b375-985dba9d4c18"]},{"id":"ITEM-2","itemData":{"DOI":"10.2307/2061791","ISSN":"00703370","PMID":"7890092","abstract":"This paper examines the hypothesis that high levels of residential mobility among nonintact families account for part of the well-known association between living in a nonintact family and dropping out of high school. Children from single-parent families and stepfamilies are more likely than children from two-parent families to move during the school year. As much as 30% of the difference in the risk of dropping out between children from stepfamilies and children from intact families can be explained by differences in residential mobility. Previously, mechanisms explaining school failure on the part of children in nonintact families were more plausible for children in single-parent families than for children in stepfamilies; high levels of residential mobility apply to both groups of children. In addition, residential mobility lends itself to manipulation by public policy, with potentially remedial effects for vulnerable children. Earlier versions of this paper were presented at the 1990 meetings of the American Sociological Association, held in Washington DC, and at the 1991 meetings of the Eastern Sociological Society held in Providence. We are grateful to Andrew Cherlin, Melvin Kohn, Gary Sandefur, and several anonymous referees for their valuable comments, to Robert Davis for his computational assistance, and to Tobey H. Sohn and Teresa A. Withers for secretarial help. Support to the senior author was provided by the National Institute on Aging under Grant HD 19375-03 and by the W.T. Grant Faculty Scholars Award. Support for computing facilities was provided by a grant to the Hopkins Population Center (PD30 H006268-19). 1994 Population Association of America © 1994 Population Association of America.","author":[{"dropping-particle":"","family":"Astone","given":"Nan Marie","non-dropping-particle":"","parse-names":false,"suffix":""},{"dropping-particle":"","family":"McLanahan","given":"Sara S.","non-dropping-particle":"","parse-names":false,"suffix":""}],"container-title":"Demography","id":"ITEM-2","issue":"4","issued":{"date-parts":[["1994"]]},"page":"575-584","title":"Family structure, residential mobility, and school dropout: A research note","type":"article-journal","volume":"31"},"uris":["http://www.mendeley.com/documents/?uuid=5e92417f-de9c-4fff-9bff-4f19f3fb027b"]}],"mendeley":{"formattedCitation":"(Astone &amp; McLanahan, 1994; Biblarz et al., 2016)","plainTextFormattedCitation":"(Astone &amp; McLanahan, 1994; Biblarz et al., 2016)","previouslyFormattedCitation":"(Astone &amp; McLanahan, 1994; Biblarz et al., 2016)"},"properties":{"noteIndex":0},"schema":"https://github.com/citation-style-language/schema/raw/master/csl-citation.json"}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(Astone &amp; McLanahan, 1994; Biblarz et al., 2016)</w:t>
      </w:r>
      <w:r w:rsidRPr="001C713C">
        <w:rPr>
          <w:rFonts w:cstheme="minorHAnsi"/>
          <w:sz w:val="24"/>
          <w:szCs w:val="24"/>
        </w:rPr>
        <w:fldChar w:fldCharType="end"/>
      </w:r>
      <w:r w:rsidRPr="001C713C">
        <w:rPr>
          <w:rFonts w:cstheme="minorHAnsi"/>
          <w:sz w:val="24"/>
          <w:szCs w:val="24"/>
        </w:rPr>
        <w:t xml:space="preserve">. There is also hard evidence on the </w:t>
      </w:r>
      <w:r w:rsidR="001359C7">
        <w:rPr>
          <w:rFonts w:cstheme="minorHAnsi"/>
          <w:sz w:val="24"/>
          <w:szCs w:val="24"/>
        </w:rPr>
        <w:t>phenomena</w:t>
      </w:r>
      <w:r w:rsidRPr="001C713C">
        <w:rPr>
          <w:rFonts w:cstheme="minorHAnsi"/>
          <w:sz w:val="24"/>
          <w:szCs w:val="24"/>
        </w:rPr>
        <w:t xml:space="preserve"> that single-parent families  (especially mother-only families) tend to be less advantageous financially which is reflected in </w:t>
      </w:r>
      <w:r w:rsidR="000A50B2" w:rsidRPr="001C713C">
        <w:rPr>
          <w:rFonts w:cstheme="minorHAnsi"/>
          <w:sz w:val="24"/>
          <w:szCs w:val="24"/>
        </w:rPr>
        <w:t xml:space="preserve">the </w:t>
      </w:r>
      <w:r w:rsidRPr="001C713C">
        <w:rPr>
          <w:rFonts w:cstheme="minorHAnsi"/>
          <w:sz w:val="24"/>
          <w:szCs w:val="24"/>
        </w:rPr>
        <w:t xml:space="preserve">income difference between in high school graduation between intact and nonintact families (30 to 50%), while can explain the phenomenon of educational attainment. </w:t>
      </w:r>
      <w:r w:rsidRPr="001C713C">
        <w:rPr>
          <w:rFonts w:cstheme="minorHAnsi"/>
          <w:sz w:val="24"/>
          <w:szCs w:val="24"/>
        </w:rPr>
        <w:fldChar w:fldCharType="begin" w:fldLock="1"/>
      </w:r>
      <w:r w:rsidRPr="001C713C">
        <w:rPr>
          <w:rFonts w:cstheme="minorHAnsi"/>
          <w:sz w:val="24"/>
          <w:szCs w:val="24"/>
        </w:rPr>
        <w:instrText>ADDIN CSL_CITATION {"citationItems":[{"id":"ITEM-1","itemData":{"DOI":"10.2307/2096106","ISBN":"9788578110796","ISSN":"00031224","PMID":"25246403","abstract":"Acinetobacter baumannii contains RND-family efflux systems AdeABC and AdeIJK, which pump out a wide range of antimicrobial compounds, as judged from the MIC changes occurring upon deletion of the responsible genes. However, these studies may miss changes because of the high backgrounds generated by the remaining pumps and by β-lactamases, and it is unclear how the activities of these pumps compare quantitatively with those of the well-studied AcrAB-TolC system of Escherichia coli. We expressed adeABC and adeIJK of A. baumannii, as well as E. coli acrAB, in an E. coli host from which acrAB was deleted. The A. baumannii pumps were functional in E. coli, and the MIC changes that were observed largely confirmed the substrate range already reported, with important differences. Thus, the AdeABC system pumped out all β-lactams, an activity that was often missed in deletion studies. When the expression level of the pump genes was adjusted to a similar level for a comparison with AcrAB-TolC, we found that both A. baumannii efflux systems pumped out a wide range of compounds, but AdeABC was less effective than AcrAB-TolC in the extrusion of lipophilic β-lactams, novobiocin, and ethidium bromide, although it was more effective at tetracycline efflux. AdeIJK was remarkably more effective than a similar level of AcrAB-TolC in the efflux of β-lactams, novobiocin, and ethidium bromide, although it was less so in the efflux of erythromycin. These results thus allow us to compare these efflux systems on a quantitative basis, if we can assume that the heterologous systems are fully functional in the E. coli host.","author":[{"dropping-particle":"","family":"Astone","given":"Nan Marie","non-dropping-particle":"","parse-names":false,"suffix":""},{"dropping-particle":"","family":"McLanahan","given":"Sara S.","non-dropping-particle":"","parse-names":false,"suffix":""}],"container-title":"American Sociological Review","editor":[{"dropping-particle":"","family":"Intergovernmental Panel on Climate Change","given":"","non-dropping-particle":"","parse-names":false,"suffix":""}],"id":"ITEM-1","issue":"3","issued":{"date-parts":[["1991","6","7"]]},"page":"309","publisher":"Cambridge University Press","publisher-place":"Cambridge","title":"Family Structure, Parental Practices and High School Completion","type":"article-journal","volume":"56"},"uris":["http://www.mendeley.com/documents/?uuid=fc1c9ec4-b814-4216-a69b-bc659bfc87f3"]}],"mendeley":{"formattedCitation":"(Astone &amp; McLanahan, 1991)","plainTextFormattedCitation":"(Astone &amp; McLanahan, 1991)","previouslyFormattedCitation":"(Astone &amp; McLanahan, 1991)"},"properties":{"noteIndex":0},"schema":"https://github.com/citation-style-language/schema/raw/master/csl-citation.json"}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(Astone &amp; McLanahan, 1991)</w:t>
      </w:r>
      <w:r w:rsidRPr="001C713C">
        <w:rPr>
          <w:rFonts w:cstheme="minorHAnsi"/>
          <w:sz w:val="24"/>
          <w:szCs w:val="24"/>
        </w:rPr>
        <w:fldChar w:fldCharType="end"/>
      </w:r>
      <w:r w:rsidRPr="001C713C">
        <w:rPr>
          <w:rFonts w:cstheme="minorHAnsi"/>
          <w:sz w:val="24"/>
          <w:szCs w:val="24"/>
        </w:rPr>
        <w:t xml:space="preserve">. </w:t>
      </w:r>
    </w:p>
    <w:p w14:paraId="19EDAD8D" w14:textId="384ACA3B" w:rsidR="001D4B6E" w:rsidRPr="001C713C" w:rsidRDefault="001D4B6E" w:rsidP="006E2B80">
      <w:pPr>
        <w:spacing w:line="360" w:lineRule="auto"/>
        <w:ind w:firstLine="397"/>
        <w:jc w:val="both"/>
        <w:rPr>
          <w:rFonts w:cstheme="minorHAnsi"/>
          <w:sz w:val="24"/>
          <w:szCs w:val="24"/>
        </w:rPr>
      </w:pPr>
      <w:r w:rsidRPr="001C713C">
        <w:rPr>
          <w:rFonts w:cstheme="minorHAnsi"/>
          <w:sz w:val="24"/>
          <w:szCs w:val="24"/>
        </w:rPr>
        <w:t xml:space="preserve">Previous studies have shown that the educational attainment for men who grew up in a male-headed single-parent family was lower than that of men who grew up alongside their single-mother. The former group completed a year less schooling averagely compared to their cohort, while the latter group was had a disadvantage of half-year below average </w:t>
      </w:r>
      <w:r w:rsidRPr="001C713C">
        <w:rPr>
          <w:rFonts w:cstheme="minorHAnsi"/>
          <w:sz w:val="24"/>
          <w:szCs w:val="24"/>
        </w:rPr>
        <w:fldChar w:fldCharType="begin" w:fldLock="1"/>
      </w:r>
      <w:r w:rsidRPr="001C713C">
        <w:rPr>
          <w:rFonts w:cstheme="minorHAnsi"/>
          <w:sz w:val="24"/>
          <w:szCs w:val="24"/>
        </w:rPr>
        <w:instrText>ADDIN CSL_CITATION {"citationItems":[{"id":"ITEM-1","itemData":{"author":[{"dropping-particle":"","family":"Featherman","given":"David L","non-dropping-particle":"","parse-names":false,"suffix":""},{"dropping-particle":"","family":"Hauser","given":"Robert Mason","non-dropping-particle":"","parse-names":false,"suffix":""}],"id":"ITEM-1","issued":{"date-parts":[["1978"]]},"publisher":"Academic Press","publisher-place":"New York","title":"Opportunity and change","type":"book"},"uris":["http://www.mendeley.com/documents/?uuid=4d8d07d9-23e7-45d4-8e61-cb08f1c8c779"]}],"mendeley":{"formattedCitation":"(Featherman &amp; Hauser, 1978)","plainTextFormattedCitation":"(Featherman &amp; Hauser, 1978)","previouslyFormattedCitation":"(Featherman &amp; Hauser, 1978)"},"properties":{"noteIndex":0},"schema":"https://github.com/citation-style-language/schema/raw/master/csl-citation.json"}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(Featherman &amp; Hauser, 1978)</w:t>
      </w:r>
      <w:r w:rsidRPr="001C713C">
        <w:rPr>
          <w:rFonts w:cstheme="minorHAnsi"/>
          <w:sz w:val="24"/>
          <w:szCs w:val="24"/>
        </w:rPr>
        <w:fldChar w:fldCharType="end"/>
      </w:r>
      <w:r w:rsidRPr="001C713C">
        <w:rPr>
          <w:rFonts w:cstheme="minorHAnsi"/>
          <w:sz w:val="24"/>
          <w:szCs w:val="24"/>
        </w:rPr>
        <w:t xml:space="preserve">. It seems that the main problem of single-mother families is not the loss of a male partner but rather the loss of income produced by the father. In contrast, the opposite theory may be applied to the issue of single-father families, where they often miss a helping hand in coping with the children and cannot offer the same emotional support as mothers. </w:t>
      </w:r>
    </w:p>
    <w:p w14:paraId="28FF5640" w14:textId="4474964B" w:rsidR="00450154" w:rsidRPr="00AD1936" w:rsidRDefault="00DB2D7D" w:rsidP="00AD1936">
      <w:pPr>
        <w:pStyle w:val="Heading2"/>
      </w:pPr>
      <w:bookmarkStart w:id="22" w:name="_Toc64591264"/>
      <w:r>
        <w:t>2.4.</w:t>
      </w:r>
      <w:r w:rsidR="008F2196" w:rsidRPr="001C713C">
        <w:t xml:space="preserve"> C</w:t>
      </w:r>
      <w:r w:rsidR="00F65CE3" w:rsidRPr="001C713C">
        <w:t>ontrol Variables</w:t>
      </w:r>
      <w:bookmarkEnd w:id="22"/>
      <w:r w:rsidR="00F65CE3" w:rsidRPr="001C713C">
        <w:rPr>
          <w:rFonts w:cstheme="minorHAnsi"/>
          <w:sz w:val="24"/>
          <w:szCs w:val="24"/>
        </w:rPr>
        <w:t xml:space="preserve"> </w:t>
      </w:r>
    </w:p>
    <w:p w14:paraId="732913C8" w14:textId="43D4CA4B" w:rsidR="00450154" w:rsidRPr="001C713C" w:rsidRDefault="00DB2D7D" w:rsidP="006E2B80">
      <w:pPr>
        <w:pStyle w:val="Heading3"/>
        <w:rPr>
          <w:rFonts w:asciiTheme="minorHAnsi" w:hAnsiTheme="minorHAnsi" w:cstheme="minorHAnsi"/>
        </w:rPr>
      </w:pPr>
      <w:bookmarkStart w:id="23" w:name="_Toc64591265"/>
      <w:r>
        <w:rPr>
          <w:rFonts w:asciiTheme="minorHAnsi" w:hAnsiTheme="minorHAnsi" w:cstheme="minorHAnsi"/>
        </w:rPr>
        <w:t>2.4.</w:t>
      </w:r>
      <w:r w:rsidR="00AD1936">
        <w:rPr>
          <w:rFonts w:asciiTheme="minorHAnsi" w:hAnsiTheme="minorHAnsi" w:cstheme="minorHAnsi"/>
        </w:rPr>
        <w:t>1</w:t>
      </w:r>
      <w:r>
        <w:rPr>
          <w:rFonts w:asciiTheme="minorHAnsi" w:hAnsiTheme="minorHAnsi" w:cstheme="minorHAnsi"/>
        </w:rPr>
        <w:t>.</w:t>
      </w:r>
      <w:r w:rsidR="00B7204D" w:rsidRPr="001C713C">
        <w:rPr>
          <w:rFonts w:asciiTheme="minorHAnsi" w:hAnsiTheme="minorHAnsi" w:cstheme="minorHAnsi"/>
        </w:rPr>
        <w:t xml:space="preserve"> </w:t>
      </w:r>
      <w:r w:rsidR="00450154" w:rsidRPr="001C713C">
        <w:rPr>
          <w:rFonts w:asciiTheme="minorHAnsi" w:hAnsiTheme="minorHAnsi" w:cstheme="minorHAnsi"/>
        </w:rPr>
        <w:t xml:space="preserve">Age </w:t>
      </w:r>
      <w:r w:rsidR="00B7204D" w:rsidRPr="001C713C">
        <w:rPr>
          <w:rFonts w:asciiTheme="minorHAnsi" w:hAnsiTheme="minorHAnsi" w:cstheme="minorHAnsi"/>
        </w:rPr>
        <w:t>D</w:t>
      </w:r>
      <w:r w:rsidR="00450154" w:rsidRPr="001C713C">
        <w:rPr>
          <w:rFonts w:asciiTheme="minorHAnsi" w:hAnsiTheme="minorHAnsi" w:cstheme="minorHAnsi"/>
        </w:rPr>
        <w:t>ifferences</w:t>
      </w:r>
      <w:bookmarkEnd w:id="23"/>
    </w:p>
    <w:p w14:paraId="2D842924" w14:textId="29E5D6B3" w:rsidR="005E2289" w:rsidRPr="001C713C" w:rsidRDefault="006A26FB" w:rsidP="00A7350C">
      <w:pPr>
        <w:spacing w:line="360" w:lineRule="auto"/>
        <w:ind w:firstLine="397"/>
        <w:jc w:val="both"/>
        <w:rPr>
          <w:rFonts w:cstheme="minorHAnsi"/>
          <w:sz w:val="24"/>
          <w:szCs w:val="24"/>
        </w:rPr>
      </w:pPr>
      <w:r>
        <w:rPr>
          <w:rFonts w:cstheme="minorHAnsi"/>
          <w:sz w:val="24"/>
          <w:szCs w:val="24"/>
        </w:rPr>
        <w:t xml:space="preserve">Let us turn to the discussion of control variables </w:t>
      </w:r>
      <w:r w:rsidR="00740440">
        <w:rPr>
          <w:rFonts w:cstheme="minorHAnsi"/>
          <w:sz w:val="24"/>
          <w:szCs w:val="24"/>
        </w:rPr>
        <w:t>that</w:t>
      </w:r>
      <w:r>
        <w:rPr>
          <w:rFonts w:cstheme="minorHAnsi"/>
          <w:sz w:val="24"/>
          <w:szCs w:val="24"/>
        </w:rPr>
        <w:t xml:space="preserve"> affect student and school characteristics. </w:t>
      </w:r>
      <w:r w:rsidR="005E2289" w:rsidRPr="001C713C">
        <w:rPr>
          <w:rFonts w:cstheme="minorHAnsi"/>
          <w:sz w:val="24"/>
          <w:szCs w:val="24"/>
        </w:rPr>
        <w:t>The preschool years (</w:t>
      </w:r>
      <w:r w:rsidR="000A7C88" w:rsidRPr="001C713C">
        <w:rPr>
          <w:rFonts w:cstheme="minorHAnsi"/>
          <w:sz w:val="24"/>
          <w:szCs w:val="24"/>
        </w:rPr>
        <w:t>aged 0</w:t>
      </w:r>
      <w:r w:rsidR="005E2289" w:rsidRPr="001C713C">
        <w:rPr>
          <w:rFonts w:cstheme="minorHAnsi"/>
          <w:sz w:val="24"/>
          <w:szCs w:val="24"/>
        </w:rPr>
        <w:t xml:space="preserve"> – 5.5) seems to be the most sensitive period for the children as in the case of white males and black females who spent their whole preschool period in single-parent family types, the time spent in education was shortened by half to one year, controlling for income. Such an effect for those who were in elementary or high school in the post-separation period was not significant for any race-sex groups </w:t>
      </w:r>
      <w:r w:rsidR="005E2289" w:rsidRPr="001C713C">
        <w:rPr>
          <w:rFonts w:cstheme="minorHAnsi"/>
          <w:sz w:val="24"/>
          <w:szCs w:val="24"/>
        </w:rPr>
        <w:fldChar w:fldCharType="begin" w:fldLock="1"/>
      </w:r>
      <w:r w:rsidR="005E2289" w:rsidRPr="001C713C">
        <w:rPr>
          <w:rFonts w:cstheme="minorHAnsi"/>
          <w:sz w:val="24"/>
          <w:szCs w:val="24"/>
        </w:rPr>
        <w:instrText>ADDIN CSL_CITATION {"citationItems":[{"id":"ITEM-1","itemData":{"DOI":"10.2307/2061290","ISSN":"00703370","PMID":"3396748","abstract":"This article examines the effect of living in a single-parent family on educational attainment by gender and race. According to household production theory, the reduction in parental resources for human capital investment in children living in a single-parent family should lower their educational attainment. Using matched mother-daughter and mother-son samples from the National Longitudinal Surveys, we constructed precise measures of the age and length of time a child lived in a single-parent family. Empirical findings show that the negative effect of living in a single-parent family (I) increases with the number of years spent in this type of family, (2) is greatest during the preschool years, and (3) is larger for boys than girls. © 1988 Population Association of America.","author":[{"dropping-particle":"","family":"Krein","given":"Sheila Fitzgerald","non-dropping-particle":"","parse-names":false,"suffix":""},{"dropping-particle":"","family":"Beller","given":"Andrea H.","non-dropping-particle":"","parse-names":false,"suffix":""}],"container-title":"Demography","id":"ITEM-1","issue":"2","issued":{"date-parts":[["1988"]]},"page":"221-234","title":"Educational attainment of children from single-parent families: Differences by exposure, gender, and race","type":"article-journal","volume":"25"},"uris":["http://www.mendeley.com/documents/?uuid=623c7982-5580-464a-970b-d7a8f4bbe7a8"]}],"mendeley":{"formattedCitation":"(Krein &amp; Beller, 1988)","plainTextFormattedCitation":"(Krein &amp; Beller, 1988)","previouslyFormattedCitation":"(Krein &amp; Beller, 1988)"},"properties":{"noteIndex":0},"schema":"https://github.com/citation-style-language/schema/raw/master/csl-citation.json"}</w:instrText>
      </w:r>
      <w:r w:rsidR="005E2289" w:rsidRPr="001C713C">
        <w:rPr>
          <w:rFonts w:cstheme="minorHAnsi"/>
          <w:sz w:val="24"/>
          <w:szCs w:val="24"/>
        </w:rPr>
        <w:fldChar w:fldCharType="separate"/>
      </w:r>
      <w:r w:rsidR="005E2289" w:rsidRPr="001C713C">
        <w:rPr>
          <w:rFonts w:cstheme="minorHAnsi"/>
          <w:noProof/>
          <w:sz w:val="24"/>
          <w:szCs w:val="24"/>
        </w:rPr>
        <w:t>(Krein &amp; Beller, 1988)</w:t>
      </w:r>
      <w:r w:rsidR="005E2289" w:rsidRPr="001C713C">
        <w:rPr>
          <w:rFonts w:cstheme="minorHAnsi"/>
          <w:sz w:val="24"/>
          <w:szCs w:val="24"/>
        </w:rPr>
        <w:fldChar w:fldCharType="end"/>
      </w:r>
      <w:r w:rsidR="005E2289" w:rsidRPr="001C713C">
        <w:rPr>
          <w:rFonts w:cstheme="minorHAnsi"/>
          <w:sz w:val="24"/>
          <w:szCs w:val="24"/>
        </w:rPr>
        <w:t>.</w:t>
      </w:r>
    </w:p>
    <w:p w14:paraId="739EAF2D" w14:textId="4812E346" w:rsidR="0089181A" w:rsidRPr="001C713C" w:rsidRDefault="0089181A" w:rsidP="006E2B80">
      <w:pPr>
        <w:spacing w:line="360" w:lineRule="auto"/>
        <w:ind w:firstLine="397"/>
        <w:jc w:val="both"/>
        <w:rPr>
          <w:rFonts w:cstheme="minorHAnsi"/>
          <w:sz w:val="24"/>
          <w:szCs w:val="24"/>
        </w:rPr>
      </w:pPr>
      <w:r w:rsidRPr="001C713C">
        <w:rPr>
          <w:rFonts w:cstheme="minorHAnsi"/>
          <w:sz w:val="24"/>
          <w:szCs w:val="24"/>
        </w:rPr>
        <w:t xml:space="preserve">Entering the school-aged group, the separation seems especially difficult because, at the age of six-to-eight, the children feel that they are rejected by one of their parents, which reflects their academic performance and diminishing well-being. At this age group, </w:t>
      </w:r>
      <w:proofErr w:type="spellStart"/>
      <w:r w:rsidR="00261DC3" w:rsidRPr="001C713C">
        <w:rPr>
          <w:rFonts w:cstheme="minorHAnsi"/>
          <w:sz w:val="24"/>
          <w:szCs w:val="24"/>
        </w:rPr>
        <w:t>Teyber</w:t>
      </w:r>
      <w:proofErr w:type="spellEnd"/>
      <w:r w:rsidR="00261DC3" w:rsidRPr="001C713C">
        <w:rPr>
          <w:rFonts w:cstheme="minorHAnsi"/>
          <w:sz w:val="24"/>
          <w:szCs w:val="24"/>
        </w:rPr>
        <w:t xml:space="preserve"> (2001)</w:t>
      </w:r>
      <w:r w:rsidRPr="001C713C">
        <w:rPr>
          <w:rFonts w:cstheme="minorHAnsi"/>
          <w:sz w:val="24"/>
          <w:szCs w:val="24"/>
        </w:rPr>
        <w:t xml:space="preserve"> </w:t>
      </w:r>
      <w:r w:rsidR="00D05BF5" w:rsidRPr="001C713C">
        <w:rPr>
          <w:rFonts w:cstheme="minorHAnsi"/>
          <w:sz w:val="24"/>
          <w:szCs w:val="24"/>
        </w:rPr>
        <w:t xml:space="preserve">also </w:t>
      </w:r>
      <w:r w:rsidRPr="001C713C">
        <w:rPr>
          <w:rFonts w:cstheme="minorHAnsi"/>
          <w:sz w:val="24"/>
          <w:szCs w:val="24"/>
        </w:rPr>
        <w:t>noticed a change in the primary feeling as it shifted from sadness to anger for the nine-to-twelve-year-</w:t>
      </w:r>
      <w:proofErr w:type="spellStart"/>
      <w:r w:rsidRPr="001C713C">
        <w:rPr>
          <w:rFonts w:cstheme="minorHAnsi"/>
          <w:sz w:val="24"/>
          <w:szCs w:val="24"/>
        </w:rPr>
        <w:t>olds</w:t>
      </w:r>
      <w:proofErr w:type="spellEnd"/>
      <w:r w:rsidRPr="001C713C">
        <w:rPr>
          <w:rFonts w:cstheme="minorHAnsi"/>
          <w:sz w:val="24"/>
          <w:szCs w:val="24"/>
        </w:rPr>
        <w:t xml:space="preserve">. Lastly, he argued that in the group of adolescents, the responses </w:t>
      </w:r>
      <w:r w:rsidRPr="001C713C">
        <w:rPr>
          <w:rFonts w:cstheme="minorHAnsi"/>
          <w:sz w:val="24"/>
          <w:szCs w:val="24"/>
        </w:rPr>
        <w:lastRenderedPageBreak/>
        <w:t xml:space="preserve">varied greatly, but they were generally less affected, considering they were starting to become independent and loosen their bond with the family. On the other hand, some adolescents become depressed and cannot concentrate on themselves, thereby lost their peers, ambitions, and educational aspirations </w:t>
      </w:r>
      <w:r w:rsidRPr="001C713C">
        <w:rPr>
          <w:rFonts w:cstheme="minorHAnsi"/>
          <w:sz w:val="24"/>
          <w:szCs w:val="24"/>
        </w:rPr>
        <w:fldChar w:fldCharType="begin" w:fldLock="1"/>
      </w:r>
      <w:r w:rsidRPr="001C713C">
        <w:rPr>
          <w:rFonts w:cstheme="minorHAnsi"/>
          <w:sz w:val="24"/>
          <w:szCs w:val="24"/>
        </w:rPr>
        <w:instrText>ADDIN CSL_CITATION {"citationItems":[{"id":"ITEM-1","itemData":{"ISBN":"9780787955540","author":[{"dropping-particle":"","family":"Teyber","given":"Edward","non-dropping-particle":"","parse-names":false,"suffix":""}],"id":"ITEM-1","issued":{"date-parts":[["2001"]]},"publisher":"John Wiley &amp; Sons, Inc. (US)","title":"Helping Children Cope With Divorce","type":"book"},"uris":["http://www.mendeley.com/documents/?uuid=5aa8529b-eef9-4eac-9622-716add200d73"]}],"mendeley":{"formattedCitation":"(Teyber, 2001)","plainTextFormattedCitation":"(Teyber, 2001)","previouslyFormattedCitation":"(Teyber, 2001)"},"properties":{"noteIndex":0},"schema":"https://github.com/citation-style-language/schema/raw/master/csl-citation.json"}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(Teyber, 2001)</w:t>
      </w:r>
      <w:r w:rsidRPr="001C713C">
        <w:rPr>
          <w:rFonts w:cstheme="minorHAnsi"/>
          <w:sz w:val="24"/>
          <w:szCs w:val="24"/>
        </w:rPr>
        <w:fldChar w:fldCharType="end"/>
      </w:r>
      <w:r w:rsidRPr="001C713C">
        <w:rPr>
          <w:rFonts w:cstheme="minorHAnsi"/>
          <w:sz w:val="24"/>
          <w:szCs w:val="24"/>
        </w:rPr>
        <w:t>.</w:t>
      </w:r>
    </w:p>
    <w:p w14:paraId="169D253E" w14:textId="727D0FC1" w:rsidR="00B12DBC" w:rsidRPr="001C713C" w:rsidRDefault="00211A69" w:rsidP="006E2B80">
      <w:pPr>
        <w:spacing w:line="360" w:lineRule="auto"/>
        <w:ind w:firstLine="397"/>
        <w:jc w:val="both"/>
        <w:rPr>
          <w:rFonts w:cstheme="minorHAnsi"/>
          <w:sz w:val="24"/>
          <w:szCs w:val="24"/>
        </w:rPr>
      </w:pPr>
      <w:r w:rsidRPr="001C713C">
        <w:rPr>
          <w:rFonts w:cstheme="minorHAnsi"/>
          <w:sz w:val="24"/>
          <w:szCs w:val="24"/>
        </w:rPr>
        <w:t xml:space="preserve">Regarding the time horizon of the separation, </w:t>
      </w:r>
      <w:r w:rsidR="0089181A" w:rsidRPr="001C713C">
        <w:rPr>
          <w:rFonts w:cstheme="minorHAnsi"/>
          <w:sz w:val="24"/>
          <w:szCs w:val="24"/>
        </w:rPr>
        <w:t>Amato (1987) claimed that negatives responses for instance general distress, sadness, confusion, etc. were more frequent if the separation occurred within five years compared to when it was six or more years ago. He also noticed that neutral feelings were more common in the age of adolescents, which may due to the better understanding of social relationships which makes them aware of the parental conflict, and can prepare themselves for the separation</w:t>
      </w:r>
      <w:r w:rsidR="007A6B34" w:rsidRPr="001C713C">
        <w:rPr>
          <w:rFonts w:cstheme="minorHAnsi"/>
          <w:sz w:val="24"/>
          <w:szCs w:val="24"/>
        </w:rPr>
        <w:t xml:space="preserve"> </w:t>
      </w:r>
      <w:r w:rsidR="0089181A" w:rsidRPr="001C713C">
        <w:rPr>
          <w:rFonts w:cstheme="minorHAnsi"/>
          <w:sz w:val="24"/>
          <w:szCs w:val="24"/>
        </w:rPr>
        <w:fldChar w:fldCharType="begin" w:fldLock="1"/>
      </w:r>
      <w:r w:rsidR="0089181A" w:rsidRPr="001C713C">
        <w:rPr>
          <w:rFonts w:cstheme="minorHAnsi"/>
          <w:sz w:val="24"/>
          <w:szCs w:val="24"/>
        </w:rPr>
        <w:instrText>ADDIN CSL_CITATION {"citationItems":[{"id":"ITEM-1","itemData":{"DOI":"10.2307/352303","ISSN":"00222445","abstract":"In a study of the effects of divorce and remarriage on the adjustment and development of children, primary school children (n = 172) and adolescents (n = 170) reported on processes in three types of families: mother-custody one-parent, mother-custody stepparent, and intact two-parent. Children reported similar levels of support and punishment from mothers, regardless of family type. Compared with children in intact families, children in one-parent families reported less father support, less father control, less father punishment, more autonomy, more household responsibility, more conflict with siblings, and less family cohesion. Stepfathers were said to provide less support, control, and punishment than biological fathers in intact families, although stepfather involvement was positively associated with the number of years stepfamilies had been together.","author":[{"dropping-particle":"","family":"Amato","given":"Paul R.","non-dropping-particle":"","parse-names":false,"suffix":""}],"container-title":"Journal of Marriage and the Family","id":"ITEM-1","issue":"2","issued":{"date-parts":[["1987"]]},"page":"327","title":"Family Processes in One-Parent, Stepparent, and Intact Families: The Child's Point of View","type":"article-journal","volume":"49"},"uris":["http://www.mendeley.com/documents/?uuid=4f471101-4508-4724-939c-22f01517aab4"]}],"mendeley":{"formattedCitation":"(Amato, 1987b)","plainTextFormattedCitation":"(Amato, 1987b)","previouslyFormattedCitation":"(Amato, 1987b)"},"properties":{"noteIndex":0},"schema":"https://github.com/citation-style-language/schema/raw/master/csl-citation.json"}</w:instrText>
      </w:r>
      <w:r w:rsidR="0089181A" w:rsidRPr="001C713C">
        <w:rPr>
          <w:rFonts w:cstheme="minorHAnsi"/>
          <w:sz w:val="24"/>
          <w:szCs w:val="24"/>
        </w:rPr>
        <w:fldChar w:fldCharType="separate"/>
      </w:r>
      <w:r w:rsidR="0089181A" w:rsidRPr="001C713C">
        <w:rPr>
          <w:rFonts w:cstheme="minorHAnsi"/>
          <w:noProof/>
          <w:sz w:val="24"/>
          <w:szCs w:val="24"/>
        </w:rPr>
        <w:t>(Amato, 1987b)</w:t>
      </w:r>
      <w:r w:rsidR="0089181A" w:rsidRPr="001C713C">
        <w:rPr>
          <w:rFonts w:cstheme="minorHAnsi"/>
          <w:sz w:val="24"/>
          <w:szCs w:val="24"/>
        </w:rPr>
        <w:fldChar w:fldCharType="end"/>
      </w:r>
      <w:r w:rsidR="0089181A" w:rsidRPr="001C713C">
        <w:rPr>
          <w:rFonts w:cstheme="minorHAnsi"/>
          <w:sz w:val="24"/>
          <w:szCs w:val="24"/>
        </w:rPr>
        <w:t>.</w:t>
      </w:r>
      <w:r w:rsidR="006A39C7" w:rsidRPr="001C713C">
        <w:rPr>
          <w:rFonts w:cstheme="minorHAnsi"/>
          <w:sz w:val="24"/>
          <w:szCs w:val="24"/>
        </w:rPr>
        <w:t xml:space="preserve"> Each </w:t>
      </w:r>
      <w:r w:rsidR="005B4CDC">
        <w:rPr>
          <w:rFonts w:cstheme="minorHAnsi"/>
          <w:sz w:val="24"/>
          <w:szCs w:val="24"/>
        </w:rPr>
        <w:t>add</w:t>
      </w:r>
      <w:r w:rsidR="006A39C7" w:rsidRPr="001C713C">
        <w:rPr>
          <w:rFonts w:cstheme="minorHAnsi"/>
          <w:sz w:val="24"/>
          <w:szCs w:val="24"/>
        </w:rPr>
        <w:t xml:space="preserve">itional year spent in a single-parent family is responsible for a one-tenth reduction in the years of schooling for white males (significant at 1%). Those who spent an average duration in such family type (5.1 years) tend to have 0.5 fewer years of education than those in two-parent families, whereas those who spent their pre, elementary, and high school years in single-parent families (ages 0-18) had 1.7 years less education </w:t>
      </w:r>
      <w:r w:rsidR="006A39C7" w:rsidRPr="001C713C">
        <w:rPr>
          <w:rFonts w:cstheme="minorHAnsi"/>
          <w:sz w:val="24"/>
          <w:szCs w:val="24"/>
        </w:rPr>
        <w:fldChar w:fldCharType="begin" w:fldLock="1"/>
      </w:r>
      <w:r w:rsidR="006A39C7" w:rsidRPr="001C713C">
        <w:rPr>
          <w:rFonts w:cstheme="minorHAnsi"/>
          <w:sz w:val="24"/>
          <w:szCs w:val="24"/>
        </w:rPr>
        <w:instrText>ADDIN CSL_CITATION {"citationItems":[{"id":"ITEM-1","itemData":{"DOI":"10.2307/2061290","ISSN":"00703370","PMID":"3396748","abstract":"This article examines the effect of living in a single-parent family on educational attainment by gender and race. According to household production theory, the reduction in parental resources for human capital investment in children living in a single-parent family should lower their educational attainment. Using matched mother-daughter and mother-son samples from the National Longitudinal Surveys, we constructed precise measures of the age and length of time a child lived in a single-parent family. Empirical findings show that the negative effect of living in a single-parent family (I) increases with the number of years spent in this type of family, (2) is greatest during the preschool years, and (3) is larger for boys than girls. © 1988 Population Association of America.","author":[{"dropping-particle":"","family":"Krein","given":"Sheila Fitzgerald","non-dropping-particle":"","parse-names":false,"suffix":""},{"dropping-particle":"","family":"Beller","given":"Andrea H.","non-dropping-particle":"","parse-names":false,"suffix":""}],"container-title":"Demography","id":"ITEM-1","issue":"2","issued":{"date-parts":[["1988"]]},"page":"221-234","title":"Educational attainment of children from single-parent families: Differences by exposure, gender, and race","type":"article-journal","volume":"25"},"uris":["http://www.mendeley.com/documents/?uuid=623c7982-5580-464a-970b-d7a8f4bbe7a8"]}],"mendeley":{"formattedCitation":"(Krein &amp; Beller, 1988)","plainTextFormattedCitation":"(Krein &amp; Beller, 1988)","previouslyFormattedCitation":"(Krein &amp; Beller, 1988)"},"properties":{"noteIndex":0},"schema":"https://github.com/citation-style-language/schema/raw/master/csl-citation.json"}</w:instrText>
      </w:r>
      <w:r w:rsidR="006A39C7" w:rsidRPr="001C713C">
        <w:rPr>
          <w:rFonts w:cstheme="minorHAnsi"/>
          <w:sz w:val="24"/>
          <w:szCs w:val="24"/>
        </w:rPr>
        <w:fldChar w:fldCharType="separate"/>
      </w:r>
      <w:r w:rsidR="006A39C7" w:rsidRPr="001C713C">
        <w:rPr>
          <w:rFonts w:cstheme="minorHAnsi"/>
          <w:noProof/>
          <w:sz w:val="24"/>
          <w:szCs w:val="24"/>
        </w:rPr>
        <w:t>(Krein &amp; Beller, 1988)</w:t>
      </w:r>
      <w:r w:rsidR="006A39C7" w:rsidRPr="001C713C">
        <w:rPr>
          <w:rFonts w:cstheme="minorHAnsi"/>
          <w:sz w:val="24"/>
          <w:szCs w:val="24"/>
        </w:rPr>
        <w:fldChar w:fldCharType="end"/>
      </w:r>
      <w:r w:rsidR="006A39C7" w:rsidRPr="001C713C">
        <w:rPr>
          <w:rFonts w:cstheme="minorHAnsi"/>
          <w:sz w:val="24"/>
          <w:szCs w:val="24"/>
        </w:rPr>
        <w:t xml:space="preserve">. </w:t>
      </w:r>
    </w:p>
    <w:p w14:paraId="6DF112E0" w14:textId="4B89FAE0" w:rsidR="00261DC3" w:rsidRPr="001C713C" w:rsidRDefault="00DB2D7D" w:rsidP="006E2B80">
      <w:pPr>
        <w:pStyle w:val="Heading3"/>
        <w:rPr>
          <w:rFonts w:asciiTheme="minorHAnsi" w:hAnsiTheme="minorHAnsi" w:cstheme="minorHAnsi"/>
        </w:rPr>
      </w:pPr>
      <w:bookmarkStart w:id="24" w:name="_Toc64591266"/>
      <w:r>
        <w:rPr>
          <w:rFonts w:asciiTheme="minorHAnsi" w:hAnsiTheme="minorHAnsi" w:cstheme="minorHAnsi"/>
        </w:rPr>
        <w:t>2.4.</w:t>
      </w:r>
      <w:r w:rsidR="00AD1936">
        <w:rPr>
          <w:rFonts w:asciiTheme="minorHAnsi" w:hAnsiTheme="minorHAnsi" w:cstheme="minorHAnsi"/>
        </w:rPr>
        <w:t>2</w:t>
      </w:r>
      <w:r>
        <w:rPr>
          <w:rFonts w:asciiTheme="minorHAnsi" w:hAnsiTheme="minorHAnsi" w:cstheme="minorHAnsi"/>
        </w:rPr>
        <w:t xml:space="preserve">. </w:t>
      </w:r>
      <w:r w:rsidR="00261DC3" w:rsidRPr="001C713C">
        <w:rPr>
          <w:rFonts w:asciiTheme="minorHAnsi" w:hAnsiTheme="minorHAnsi" w:cstheme="minorHAnsi"/>
        </w:rPr>
        <w:t>Gender Differences</w:t>
      </w:r>
      <w:bookmarkEnd w:id="24"/>
    </w:p>
    <w:p w14:paraId="546E1163" w14:textId="2ED3377F" w:rsidR="00261DC3" w:rsidRPr="001C713C" w:rsidRDefault="00261DC3" w:rsidP="006E2B80">
      <w:pPr>
        <w:spacing w:line="360" w:lineRule="auto"/>
        <w:ind w:firstLine="397"/>
        <w:jc w:val="both"/>
        <w:rPr>
          <w:rFonts w:cstheme="minorHAnsi"/>
          <w:sz w:val="24"/>
          <w:szCs w:val="24"/>
        </w:rPr>
      </w:pPr>
      <w:r w:rsidRPr="001C713C">
        <w:rPr>
          <w:rFonts w:cstheme="minorHAnsi"/>
          <w:sz w:val="24"/>
          <w:szCs w:val="24"/>
        </w:rPr>
        <w:t xml:space="preserve">A convincing majority of papers have shown that in mother-only families, boys are suffering more as they exhibit anti-social, aggressive behavior while having conflicts occasionally with their parents, teacher, and peers. Hargreaves (1992) claimed that boys of elementary school age who witnessed a divorce are more sensitive to the separation, while girls have a delayed reaction during their adolescence </w:t>
      </w:r>
      <w:r w:rsidRPr="001C713C">
        <w:rPr>
          <w:rFonts w:cstheme="minorHAnsi"/>
          <w:sz w:val="24"/>
          <w:szCs w:val="24"/>
        </w:rPr>
        <w:fldChar w:fldCharType="begin" w:fldLock="1"/>
      </w:r>
      <w:r w:rsidRPr="001C713C">
        <w:rPr>
          <w:rFonts w:cstheme="minorHAnsi"/>
          <w:sz w:val="24"/>
          <w:szCs w:val="24"/>
        </w:rPr>
        <w:instrText>ADDIN CSL_CITATION {"citationItems":[{"id":"ITEM-1","itemData":{"ISBN":"9780810822870","author":[{"dropping-particle":"","family":"Hargreaves","given":"Margaret Barnwell","non-dropping-particle":"","parse-names":false,"suffix":""}],"container-title":"Scarecrow Press (1992)","id":"ITEM-1","issued":{"date-parts":[["1992"]]},"title":"Learning Under Stress: Children of Single Parents and the Schools","type":"book"},"uris":["http://www.mendeley.com/documents/?uuid=ef8da933-3849-4226-a329-bf9022195ff7"]}],"mendeley":{"formattedCitation":"(Hargreaves, 1992)","plainTextFormattedCitation":"(Hargreaves, 1992)","previouslyFormattedCitation":"(Hargreaves, 1992)"},"properties":{"noteIndex":0},"schema":"https://github.com/citation-style-language/schema/raw/master/csl-citation.json"}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(Hargreaves, 1992)</w:t>
      </w:r>
      <w:r w:rsidRPr="001C713C">
        <w:rPr>
          <w:rFonts w:cstheme="minorHAnsi"/>
          <w:sz w:val="24"/>
          <w:szCs w:val="24"/>
        </w:rPr>
        <w:fldChar w:fldCharType="end"/>
      </w:r>
      <w:r w:rsidRPr="001C713C">
        <w:rPr>
          <w:rFonts w:cstheme="minorHAnsi"/>
          <w:sz w:val="24"/>
          <w:szCs w:val="24"/>
        </w:rPr>
        <w:t xml:space="preserve">. </w:t>
      </w:r>
    </w:p>
    <w:p w14:paraId="7804BF14" w14:textId="1EC14479" w:rsidR="002C7F74" w:rsidRPr="001C713C" w:rsidRDefault="002C7F74" w:rsidP="006E2B80">
      <w:pPr>
        <w:spacing w:line="360" w:lineRule="auto"/>
        <w:ind w:firstLine="397"/>
        <w:jc w:val="both"/>
        <w:rPr>
          <w:rFonts w:cstheme="minorHAnsi"/>
          <w:sz w:val="24"/>
          <w:szCs w:val="24"/>
        </w:rPr>
      </w:pPr>
      <w:proofErr w:type="spellStart"/>
      <w:r w:rsidRPr="001C713C">
        <w:rPr>
          <w:rFonts w:cstheme="minorHAnsi"/>
          <w:sz w:val="24"/>
          <w:szCs w:val="24"/>
        </w:rPr>
        <w:t>Teyber</w:t>
      </w:r>
      <w:proofErr w:type="spellEnd"/>
      <w:r w:rsidRPr="001C713C">
        <w:rPr>
          <w:rFonts w:cstheme="minorHAnsi"/>
          <w:sz w:val="24"/>
          <w:szCs w:val="24"/>
        </w:rPr>
        <w:t xml:space="preserve"> (2001) found that in the preschool age group, both genders have experienced shock and long-term sadness. Boys in single-mother families have more adverse adjustment problems in the long-term compared to girls in single-mother families as younger ones seek more attention, and older boys are more aggressive and disobedient </w:t>
      </w:r>
      <w:r w:rsidRPr="001C713C">
        <w:rPr>
          <w:rFonts w:cstheme="minorHAnsi"/>
          <w:sz w:val="24"/>
          <w:szCs w:val="24"/>
        </w:rPr>
        <w:fldChar w:fldCharType="begin" w:fldLock="1"/>
      </w:r>
      <w:r w:rsidRPr="001C713C">
        <w:rPr>
          <w:rFonts w:cstheme="minorHAnsi"/>
          <w:sz w:val="24"/>
          <w:szCs w:val="24"/>
        </w:rPr>
        <w:instrText>ADDIN CSL_CITATION {"citationItems":[{"id":"ITEM-1","itemData":{"ISBN":"9780787955540","author":[{"dropping-particle":"","family":"Teyber","given":"Edward","non-dropping-particle":"","parse-names":false,"suffix":""}],"id":"ITEM-1","issued":{"date-parts":[["2001"]]},"publisher":"John Wiley &amp; Sons, Inc. (US)","title":"Helping Children Cope With Divorce","type":"book"},"uris":["http://www.mendeley.com/documents/?uuid=5aa8529b-eef9-4eac-9622-716add200d73"]}],"mendeley":{"formattedCitation":"(Teyber, 2001)","plainTextFormattedCitation":"(Teyber, 2001)","previouslyFormattedCitation":"(Teyber, 2001)"},"properties":{"noteIndex":0},"schema":"https://github.com/citation-style-language/schema/raw/master/csl-citation.json"}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(Teyber, 2001)</w:t>
      </w:r>
      <w:r w:rsidRPr="001C713C">
        <w:rPr>
          <w:rFonts w:cstheme="minorHAnsi"/>
          <w:sz w:val="24"/>
          <w:szCs w:val="24"/>
        </w:rPr>
        <w:fldChar w:fldCharType="end"/>
      </w:r>
      <w:r w:rsidRPr="001C713C">
        <w:rPr>
          <w:rFonts w:cstheme="minorHAnsi"/>
          <w:sz w:val="24"/>
          <w:szCs w:val="24"/>
        </w:rPr>
        <w:t xml:space="preserve">. Stressful times among girls are rather associated with late adolescence and young adulthood, which can be attributed to the phenomena that when they start to arrive at the stage where they face marriage and love, they recall the memories of the unsuccessful marriage. </w:t>
      </w:r>
      <w:r w:rsidRPr="001C713C">
        <w:rPr>
          <w:rFonts w:cstheme="minorHAnsi"/>
          <w:sz w:val="24"/>
          <w:szCs w:val="24"/>
        </w:rPr>
        <w:fldChar w:fldCharType="begin" w:fldLock="1"/>
      </w:r>
      <w:r w:rsidRPr="001C713C">
        <w:rPr>
          <w:rFonts w:cstheme="minorHAnsi"/>
          <w:sz w:val="24"/>
          <w:szCs w:val="24"/>
        </w:rPr>
        <w:instrText>ADDIN CSL_CITATION {"citationItems":[{"id":"ITEM-1","itemData":{"DOI":"10.1111/j.1939-0025.1989.tb02749.x","ISSN":"1939-0025","author":[{"dropping-particle":"","family":"Wallerstein","given":"Judith S.","non-dropping-particle":"","parse-names":false,"suffix":""},{"dropping-particle":"","family":"Corbin","given":"Shauna B.","non-dropping-particle":"","parse-names":false,"suffix":""}],"container-title":"American Journal of Orthopsychiatry","id":"ITEM-1","issue":"4","issued":{"date-parts":[["1989"]]},"page":"593-604","title":"Daughters of divorce: Report from a ten-year follow-up.","type":"article-journal","volume":"59"},"uris":["http://www.mendeley.com/documents/?uuid=08624d1d-d949-403e-9b6e-7aa6012f802b"]}],"mendeley":{"formattedCitation":"(Wallerstein &amp; Corbin, 1989)","plainTextFormattedCitation":"(Wallerstein &amp; Corbin, 1989)","previouslyFormattedCitation":"(Wallerstein &amp; Corbin, 1989)"},"properties":{"noteIndex":0},"schema":"https://github.com/citation-style-language/schema/raw/master/csl-citation.json"}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(Wallerstein &amp; Corbin, 1989)</w:t>
      </w:r>
      <w:r w:rsidRPr="001C713C">
        <w:rPr>
          <w:rFonts w:cstheme="minorHAnsi"/>
          <w:sz w:val="24"/>
          <w:szCs w:val="24"/>
        </w:rPr>
        <w:fldChar w:fldCharType="end"/>
      </w:r>
      <w:r w:rsidRPr="001C713C">
        <w:rPr>
          <w:rFonts w:cstheme="minorHAnsi"/>
          <w:sz w:val="24"/>
          <w:szCs w:val="24"/>
        </w:rPr>
        <w:t xml:space="preserve">. </w:t>
      </w:r>
    </w:p>
    <w:p w14:paraId="1D9DE01A" w14:textId="26864993" w:rsidR="00261DC3" w:rsidRPr="001C713C" w:rsidRDefault="00261DC3" w:rsidP="006E2B80">
      <w:pPr>
        <w:spacing w:line="360" w:lineRule="auto"/>
        <w:ind w:firstLine="397"/>
        <w:jc w:val="both"/>
        <w:rPr>
          <w:rFonts w:cstheme="minorHAnsi"/>
          <w:sz w:val="24"/>
          <w:szCs w:val="24"/>
        </w:rPr>
      </w:pPr>
      <w:r w:rsidRPr="001C713C">
        <w:rPr>
          <w:rFonts w:cstheme="minorHAnsi"/>
          <w:sz w:val="24"/>
          <w:szCs w:val="24"/>
        </w:rPr>
        <w:lastRenderedPageBreak/>
        <w:t>The difference between the two genders can be explained by the interruption of the father-son connection, while the boys are more exposed to marital conflict. It is often assumed that parents are more involved in disciplining their same-sex child, thus when the father leaves the household, there are fewer disciplinary actions, and less authority taken towards the boy, especially if the father withdraws his interest from their children (</w:t>
      </w:r>
      <w:r w:rsidR="000A7C88" w:rsidRPr="001C713C">
        <w:rPr>
          <w:rFonts w:cstheme="minorHAnsi"/>
          <w:sz w:val="24"/>
          <w:szCs w:val="24"/>
        </w:rPr>
        <w:t>e.g.,</w:t>
      </w:r>
      <w:r w:rsidRPr="001C713C">
        <w:rPr>
          <w:rFonts w:cstheme="minorHAnsi"/>
          <w:sz w:val="24"/>
          <w:szCs w:val="24"/>
        </w:rPr>
        <w:t xml:space="preserve"> stops paying for the </w:t>
      </w:r>
      <w:r w:rsidR="00A966F9" w:rsidRPr="001C713C">
        <w:rPr>
          <w:rFonts w:cstheme="minorHAnsi"/>
          <w:sz w:val="24"/>
          <w:szCs w:val="24"/>
        </w:rPr>
        <w:t>childcare</w:t>
      </w:r>
      <w:r w:rsidRPr="001C713C">
        <w:rPr>
          <w:rFonts w:cstheme="minorHAnsi"/>
          <w:sz w:val="24"/>
          <w:szCs w:val="24"/>
        </w:rPr>
        <w:t xml:space="preserve"> and visits less often). Since in the large share of cases (nearly 90%), the single-parent family is mother-only, elementary school-age boys are more likely to be exposed to the family transition and adjust slower than girls </w:t>
      </w:r>
      <w:r w:rsidRPr="001C713C">
        <w:rPr>
          <w:rFonts w:cstheme="minorHAnsi"/>
          <w:sz w:val="24"/>
          <w:szCs w:val="24"/>
        </w:rPr>
        <w:fldChar w:fldCharType="begin" w:fldLock="1"/>
      </w:r>
      <w:r w:rsidRPr="001C713C">
        <w:rPr>
          <w:rFonts w:cstheme="minorHAnsi"/>
          <w:sz w:val="24"/>
          <w:szCs w:val="24"/>
        </w:rPr>
        <w:instrText>ADDIN CSL_CITATION {"citationItems":[{"id":"ITEM-1","itemData":{"ISBN":"9780810822870","author":[{"dropping-particle":"","family":"Hargreaves","given":"Margaret Barnwell","non-dropping-particle":"","parse-names":false,"suffix":""}],"container-title":"Scarecrow Press (1992)","id":"ITEM-1","issued":{"date-parts":[["1992"]]},"title":"Learning Under Stress: Children of Single Parents and the Schools","type":"book"},"uris":["http://www.mendeley.com/documents/?uuid=ef8da933-3849-4226-a329-bf9022195ff7"]}],"mendeley":{"formattedCitation":"(Hargreaves, 1992)","plainTextFormattedCitation":"(Hargreaves, 1992)","previouslyFormattedCitation":"(Hargreaves, 1992)"},"properties":{"noteIndex":0},"schema":"https://github.com/citation-style-language/schema/raw/master/csl-citation.json"}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(Hargreaves, 1992)</w:t>
      </w:r>
      <w:r w:rsidRPr="001C713C">
        <w:rPr>
          <w:rFonts w:cstheme="minorHAnsi"/>
          <w:sz w:val="24"/>
          <w:szCs w:val="24"/>
        </w:rPr>
        <w:fldChar w:fldCharType="end"/>
      </w:r>
      <w:r w:rsidRPr="001C713C">
        <w:rPr>
          <w:rFonts w:cstheme="minorHAnsi"/>
          <w:sz w:val="24"/>
          <w:szCs w:val="24"/>
        </w:rPr>
        <w:t xml:space="preserve">. </w:t>
      </w:r>
    </w:p>
    <w:p w14:paraId="7AF33AB9" w14:textId="2A21DB67" w:rsidR="0089181A" w:rsidRPr="001C713C" w:rsidRDefault="00DB2D7D" w:rsidP="006E2B80">
      <w:pPr>
        <w:pStyle w:val="Heading3"/>
        <w:rPr>
          <w:rFonts w:asciiTheme="minorHAnsi" w:hAnsiTheme="minorHAnsi" w:cstheme="minorHAnsi"/>
        </w:rPr>
      </w:pPr>
      <w:bookmarkStart w:id="25" w:name="_Toc64591267"/>
      <w:r>
        <w:rPr>
          <w:rFonts w:asciiTheme="minorHAnsi" w:hAnsiTheme="minorHAnsi" w:cstheme="minorHAnsi"/>
        </w:rPr>
        <w:t>2.4.</w:t>
      </w:r>
      <w:r w:rsidR="00AD1936">
        <w:rPr>
          <w:rFonts w:asciiTheme="minorHAnsi" w:hAnsiTheme="minorHAnsi" w:cstheme="minorHAnsi"/>
        </w:rPr>
        <w:t>3</w:t>
      </w:r>
      <w:r>
        <w:rPr>
          <w:rFonts w:asciiTheme="minorHAnsi" w:hAnsiTheme="minorHAnsi" w:cstheme="minorHAnsi"/>
        </w:rPr>
        <w:t xml:space="preserve">. </w:t>
      </w:r>
      <w:r w:rsidR="0089181A" w:rsidRPr="001C713C">
        <w:rPr>
          <w:rFonts w:asciiTheme="minorHAnsi" w:hAnsiTheme="minorHAnsi" w:cstheme="minorHAnsi"/>
        </w:rPr>
        <w:t xml:space="preserve">Ethnic and </w:t>
      </w:r>
      <w:r w:rsidR="00F65CE3" w:rsidRPr="001C713C">
        <w:rPr>
          <w:rFonts w:asciiTheme="minorHAnsi" w:hAnsiTheme="minorHAnsi" w:cstheme="minorHAnsi"/>
        </w:rPr>
        <w:t>R</w:t>
      </w:r>
      <w:r w:rsidR="0089181A" w:rsidRPr="001C713C">
        <w:rPr>
          <w:rFonts w:asciiTheme="minorHAnsi" w:hAnsiTheme="minorHAnsi" w:cstheme="minorHAnsi"/>
        </w:rPr>
        <w:t xml:space="preserve">acial </w:t>
      </w:r>
      <w:r w:rsidR="00F65CE3" w:rsidRPr="001C713C">
        <w:rPr>
          <w:rFonts w:asciiTheme="minorHAnsi" w:hAnsiTheme="minorHAnsi" w:cstheme="minorHAnsi"/>
        </w:rPr>
        <w:t>D</w:t>
      </w:r>
      <w:r w:rsidR="0089181A" w:rsidRPr="001C713C">
        <w:rPr>
          <w:rFonts w:asciiTheme="minorHAnsi" w:hAnsiTheme="minorHAnsi" w:cstheme="minorHAnsi"/>
        </w:rPr>
        <w:t>ifferences</w:t>
      </w:r>
      <w:bookmarkEnd w:id="25"/>
    </w:p>
    <w:p w14:paraId="7AA7C930" w14:textId="462C2CB9" w:rsidR="00D056A2" w:rsidRPr="001C713C" w:rsidRDefault="00B11ACD" w:rsidP="006E2B80">
      <w:pPr>
        <w:spacing w:line="360" w:lineRule="auto"/>
        <w:ind w:firstLine="397"/>
        <w:jc w:val="both"/>
        <w:rPr>
          <w:rFonts w:cstheme="minorHAnsi"/>
          <w:sz w:val="24"/>
          <w:szCs w:val="24"/>
        </w:rPr>
      </w:pPr>
      <w:r w:rsidRPr="001C713C">
        <w:rPr>
          <w:rFonts w:cstheme="minorHAnsi"/>
          <w:sz w:val="24"/>
          <w:szCs w:val="24"/>
        </w:rPr>
        <w:t xml:space="preserve">The </w:t>
      </w:r>
      <w:r w:rsidR="0089181A" w:rsidRPr="001C713C">
        <w:rPr>
          <w:rFonts w:cstheme="minorHAnsi"/>
          <w:sz w:val="24"/>
          <w:szCs w:val="24"/>
        </w:rPr>
        <w:t>effect of family structure varies across different racial back</w:t>
      </w:r>
      <w:r w:rsidR="00CB7D14" w:rsidRPr="001C713C">
        <w:rPr>
          <w:rFonts w:cstheme="minorHAnsi"/>
          <w:sz w:val="24"/>
          <w:szCs w:val="24"/>
        </w:rPr>
        <w:t>g</w:t>
      </w:r>
      <w:r w:rsidR="0089181A" w:rsidRPr="001C713C">
        <w:rPr>
          <w:rFonts w:cstheme="minorHAnsi"/>
          <w:sz w:val="24"/>
          <w:szCs w:val="24"/>
        </w:rPr>
        <w:t xml:space="preserve">rounds. </w:t>
      </w:r>
      <w:r w:rsidR="00DB2D7D" w:rsidRPr="001C713C">
        <w:rPr>
          <w:rFonts w:cstheme="minorHAnsi"/>
          <w:sz w:val="24"/>
          <w:szCs w:val="24"/>
        </w:rPr>
        <w:t>Most of the</w:t>
      </w:r>
      <w:r w:rsidR="00753283" w:rsidRPr="001C713C">
        <w:rPr>
          <w:rFonts w:cstheme="minorHAnsi"/>
          <w:sz w:val="24"/>
          <w:szCs w:val="24"/>
        </w:rPr>
        <w:t xml:space="preserve"> literature believes that b</w:t>
      </w:r>
      <w:r w:rsidR="0089181A" w:rsidRPr="001C713C">
        <w:rPr>
          <w:rFonts w:cstheme="minorHAnsi"/>
          <w:sz w:val="24"/>
          <w:szCs w:val="24"/>
        </w:rPr>
        <w:t>lacks</w:t>
      </w:r>
      <w:r w:rsidR="00753283" w:rsidRPr="001C713C">
        <w:rPr>
          <w:rFonts w:cstheme="minorHAnsi"/>
          <w:sz w:val="24"/>
          <w:szCs w:val="24"/>
        </w:rPr>
        <w:t xml:space="preserve"> or any other minorities</w:t>
      </w:r>
      <w:r w:rsidR="0089181A" w:rsidRPr="001C713C">
        <w:rPr>
          <w:rFonts w:cstheme="minorHAnsi"/>
          <w:sz w:val="24"/>
          <w:szCs w:val="24"/>
        </w:rPr>
        <w:t xml:space="preserve"> are more likely to live in a single-parent family compared to their white peers. </w:t>
      </w:r>
      <w:proofErr w:type="spellStart"/>
      <w:r w:rsidR="0089181A" w:rsidRPr="001C713C">
        <w:rPr>
          <w:rFonts w:cstheme="minorHAnsi"/>
          <w:sz w:val="24"/>
          <w:szCs w:val="24"/>
        </w:rPr>
        <w:t>Krein</w:t>
      </w:r>
      <w:proofErr w:type="spellEnd"/>
      <w:r w:rsidR="0089181A" w:rsidRPr="001C713C">
        <w:rPr>
          <w:rFonts w:cstheme="minorHAnsi"/>
          <w:sz w:val="24"/>
          <w:szCs w:val="24"/>
        </w:rPr>
        <w:t xml:space="preserve"> &amp; </w:t>
      </w:r>
      <w:proofErr w:type="spellStart"/>
      <w:r w:rsidR="0089181A" w:rsidRPr="001C713C">
        <w:rPr>
          <w:rFonts w:cstheme="minorHAnsi"/>
          <w:sz w:val="24"/>
          <w:szCs w:val="24"/>
        </w:rPr>
        <w:t>Beller</w:t>
      </w:r>
      <w:proofErr w:type="spellEnd"/>
      <w:r w:rsidR="0089181A" w:rsidRPr="001C713C">
        <w:rPr>
          <w:rFonts w:cstheme="minorHAnsi"/>
          <w:sz w:val="24"/>
          <w:szCs w:val="24"/>
        </w:rPr>
        <w:t xml:space="preserve"> (1988) provided support for such </w:t>
      </w:r>
      <w:r w:rsidR="00CB7D14" w:rsidRPr="001C713C">
        <w:rPr>
          <w:rFonts w:cstheme="minorHAnsi"/>
          <w:sz w:val="24"/>
          <w:szCs w:val="24"/>
        </w:rPr>
        <w:t xml:space="preserve">a </w:t>
      </w:r>
      <w:r w:rsidR="0089181A" w:rsidRPr="001C713C">
        <w:rPr>
          <w:rFonts w:cstheme="minorHAnsi"/>
          <w:sz w:val="24"/>
          <w:szCs w:val="24"/>
        </w:rPr>
        <w:t xml:space="preserve">hypothesis as </w:t>
      </w:r>
      <w:r w:rsidR="00CB7D14" w:rsidRPr="001C713C">
        <w:rPr>
          <w:rFonts w:cstheme="minorHAnsi"/>
          <w:sz w:val="24"/>
          <w:szCs w:val="24"/>
        </w:rPr>
        <w:t xml:space="preserve">black men </w:t>
      </w:r>
      <w:r w:rsidR="0089181A" w:rsidRPr="001C713C">
        <w:rPr>
          <w:rFonts w:cstheme="minorHAnsi"/>
          <w:sz w:val="24"/>
          <w:szCs w:val="24"/>
        </w:rPr>
        <w:t>and women were 2.5 times more likely to live in a single-parent family due to a divorce or parental death</w:t>
      </w:r>
      <w:r w:rsidR="007E1C81">
        <w:rPr>
          <w:rFonts w:cstheme="minorHAnsi"/>
          <w:sz w:val="24"/>
          <w:szCs w:val="24"/>
        </w:rPr>
        <w:t>.</w:t>
      </w:r>
      <w:r w:rsidR="0089181A" w:rsidRPr="001C713C">
        <w:rPr>
          <w:rFonts w:cstheme="minorHAnsi"/>
          <w:sz w:val="24"/>
          <w:szCs w:val="24"/>
        </w:rPr>
        <w:t xml:space="preserve"> </w:t>
      </w:r>
      <w:r w:rsidR="00CB7D14" w:rsidRPr="001C713C">
        <w:rPr>
          <w:rFonts w:cstheme="minorHAnsi"/>
          <w:sz w:val="24"/>
          <w:szCs w:val="24"/>
        </w:rPr>
        <w:t>Furthermore,</w:t>
      </w:r>
      <w:r w:rsidR="0089181A" w:rsidRPr="001C713C">
        <w:rPr>
          <w:rFonts w:cstheme="minorHAnsi"/>
          <w:sz w:val="24"/>
          <w:szCs w:val="24"/>
        </w:rPr>
        <w:t xml:space="preserve"> they reported that blacks spend more time in single-parent structures on average</w:t>
      </w:r>
      <w:r w:rsidR="00F779AC">
        <w:rPr>
          <w:rFonts w:cstheme="minorHAnsi"/>
          <w:sz w:val="24"/>
          <w:szCs w:val="24"/>
        </w:rPr>
        <w:t xml:space="preserve">, however, </w:t>
      </w:r>
      <w:r w:rsidR="00F779AC" w:rsidRPr="001C713C">
        <w:rPr>
          <w:rFonts w:cstheme="minorHAnsi"/>
          <w:sz w:val="24"/>
          <w:szCs w:val="24"/>
        </w:rPr>
        <w:t>the negative impact is more substantial for whites especially for those who spent a greater duration in a single-parent structure</w:t>
      </w:r>
      <w:r w:rsidR="000D229E" w:rsidRPr="001C713C">
        <w:rPr>
          <w:rFonts w:cstheme="minorHAnsi"/>
          <w:sz w:val="24"/>
          <w:szCs w:val="24"/>
        </w:rPr>
        <w:t xml:space="preserve"> </w:t>
      </w:r>
      <w:r w:rsidR="000D229E" w:rsidRPr="001C713C">
        <w:rPr>
          <w:rFonts w:cstheme="minorHAnsi"/>
          <w:sz w:val="24"/>
          <w:szCs w:val="24"/>
        </w:rPr>
        <w:fldChar w:fldCharType="begin" w:fldLock="1"/>
      </w:r>
      <w:r w:rsidR="004E51E3" w:rsidRPr="001C713C">
        <w:rPr>
          <w:rFonts w:cstheme="minorHAnsi"/>
          <w:sz w:val="24"/>
          <w:szCs w:val="24"/>
        </w:rPr>
        <w:instrText>ADDIN CSL_CITATION {"citationItems":[{"id":"ITEM-1","itemData":{"DOI":"10.2307/2061290","ISSN":"00703370","PMID":"3396748","abstract":"This article examines the effect of living in a single-parent family on educational attainment by gender and race. According to household production theory, the reduction in parental resources for human capital investment in children living in a single-parent family should lower their educational attainment. Using matched mother-daughter and mother-son samples from the National Longitudinal Surveys, we constructed precise measures of the age and length of time a child lived in a single-parent family. Empirical findings show that the negative effect of living in a single-parent family (I) increases with the number of years spent in this type of family, (2) is greatest during the preschool years, and (3) is larger for boys than girls. © 1988 Population Association of America.","author":[{"dropping-particle":"","family":"Krein","given":"Sheila Fitzgerald","non-dropping-particle":"","parse-names":false,"suffix":""},{"dropping-particle":"","family":"Beller","given":"Andrea H.","non-dropping-particle":"","parse-names":false,"suffix":""}],"container-title":"Demography","id":"ITEM-1","issue":"2","issued":{"date-parts":[["1988"]]},"page":"221-234","title":"Educational attainment of children from single-parent families: Differences by exposure, gender, and race","type":"article-journal","volume":"25"},"uris":["http://www.mendeley.com/documents/?uuid=623c7982-5580-464a-970b-d7a8f4bbe7a8"]},{"id":"ITEM-2","itemData":{"DOI":"10.1111/jomf.12625","ISSN":"0022-2445","author":[{"dropping-particle":"","family":"Cross","given":"Christina J.","non-dropping-particle":"","parse-names":false,"suffix":""}],"container-title":"Journal of Marriage and Family","id":"ITEM-2","issue":"2","issued":{"date-parts":[["2020","4","3"]]},"page":"691-712","title":"Racial/Ethnic Differences in the Association Between Family Structure and Children's Education","type":"article-journal","volume":"82"},"uris":["http://www.mendeley.com/documents/?uuid=49cae92b-7adb-4daa-baee-a3bbfd632c36"]}],"mendeley":{"formattedCitation":"(Cross, 2020; Krein &amp; Beller, 1988)","plainTextFormattedCitation":"(Cross, 2020; Krein &amp; Beller, 1988)","previouslyFormattedCitation":"(Cross, 2020; Krein &amp; Beller, 1988)"},"properties":{"noteIndex":0},"schema":"https://github.com/citation-style-language/schema/raw/master/csl-citation.json"}</w:instrText>
      </w:r>
      <w:r w:rsidR="000D229E" w:rsidRPr="001C713C">
        <w:rPr>
          <w:rFonts w:cstheme="minorHAnsi"/>
          <w:sz w:val="24"/>
          <w:szCs w:val="24"/>
        </w:rPr>
        <w:fldChar w:fldCharType="separate"/>
      </w:r>
      <w:r w:rsidR="006B64E1" w:rsidRPr="001C713C">
        <w:rPr>
          <w:rFonts w:cstheme="minorHAnsi"/>
          <w:noProof/>
          <w:sz w:val="24"/>
          <w:szCs w:val="24"/>
        </w:rPr>
        <w:t>(Cross, 2020; Krein &amp; Beller, 1988)</w:t>
      </w:r>
      <w:r w:rsidR="000D229E" w:rsidRPr="001C713C">
        <w:rPr>
          <w:rFonts w:cstheme="minorHAnsi"/>
          <w:sz w:val="24"/>
          <w:szCs w:val="24"/>
        </w:rPr>
        <w:fldChar w:fldCharType="end"/>
      </w:r>
      <w:r w:rsidR="0089181A" w:rsidRPr="001C713C">
        <w:rPr>
          <w:rFonts w:cstheme="minorHAnsi"/>
          <w:sz w:val="24"/>
          <w:szCs w:val="24"/>
        </w:rPr>
        <w:t xml:space="preserve">. </w:t>
      </w:r>
    </w:p>
    <w:p w14:paraId="48D16E5B" w14:textId="66A4596F" w:rsidR="00140912" w:rsidRDefault="00A60965" w:rsidP="00140912">
      <w:pPr>
        <w:spacing w:line="360" w:lineRule="auto"/>
        <w:ind w:firstLine="397"/>
        <w:jc w:val="both"/>
        <w:rPr>
          <w:rFonts w:cstheme="minorHAnsi"/>
          <w:sz w:val="24"/>
          <w:szCs w:val="24"/>
        </w:rPr>
      </w:pPr>
      <w:r w:rsidRPr="001C713C">
        <w:rPr>
          <w:rFonts w:cstheme="minorHAnsi"/>
          <w:sz w:val="24"/>
          <w:szCs w:val="24"/>
        </w:rPr>
        <w:t xml:space="preserve">A recent paper </w:t>
      </w:r>
      <w:r w:rsidR="00436F07" w:rsidRPr="001C713C">
        <w:rPr>
          <w:rFonts w:cstheme="minorHAnsi"/>
          <w:sz w:val="24"/>
          <w:szCs w:val="24"/>
        </w:rPr>
        <w:t>by</w:t>
      </w:r>
      <w:r w:rsidRPr="001C713C">
        <w:rPr>
          <w:rFonts w:cstheme="minorHAnsi"/>
          <w:sz w:val="24"/>
          <w:szCs w:val="24"/>
        </w:rPr>
        <w:t xml:space="preserve"> </w:t>
      </w:r>
      <w:r w:rsidR="006B64E1" w:rsidRPr="001C713C">
        <w:rPr>
          <w:rFonts w:cstheme="minorHAnsi"/>
          <w:sz w:val="24"/>
          <w:szCs w:val="24"/>
        </w:rPr>
        <w:t>Cross (2020) claimed that the more time spent in a single-parent or stepparent family the less likely the children will finish high school on time and enroll in college.</w:t>
      </w:r>
      <w:r w:rsidR="002B6410" w:rsidRPr="001C713C">
        <w:rPr>
          <w:rFonts w:cstheme="minorHAnsi"/>
          <w:sz w:val="24"/>
          <w:szCs w:val="24"/>
        </w:rPr>
        <w:t xml:space="preserve"> </w:t>
      </w:r>
      <w:r w:rsidR="006B64E1" w:rsidRPr="001C713C">
        <w:rPr>
          <w:rFonts w:cstheme="minorHAnsi"/>
          <w:sz w:val="24"/>
          <w:szCs w:val="24"/>
        </w:rPr>
        <w:t>Mapping such phenomena to the ethnic groups, minorities were less likely to complete secondary education on time compared to whites. The joint effect of the single-mother and race on completion on-time yielded a positive and highly significant coefficient for the black children. The difference between the Hispanic and white groups was not statistically feasible. Including the socioeconomic stressors (</w:t>
      </w:r>
      <w:r w:rsidR="000A7C88" w:rsidRPr="001C713C">
        <w:rPr>
          <w:rFonts w:cstheme="minorHAnsi"/>
          <w:sz w:val="24"/>
          <w:szCs w:val="24"/>
        </w:rPr>
        <w:t>e.g.,</w:t>
      </w:r>
      <w:r w:rsidR="006B64E1" w:rsidRPr="001C713C">
        <w:rPr>
          <w:rFonts w:cstheme="minorHAnsi"/>
          <w:sz w:val="24"/>
          <w:szCs w:val="24"/>
        </w:rPr>
        <w:t xml:space="preserve"> family income, parents’ </w:t>
      </w:r>
      <w:proofErr w:type="gramStart"/>
      <w:r w:rsidR="006B64E1" w:rsidRPr="001C713C">
        <w:rPr>
          <w:rFonts w:cstheme="minorHAnsi"/>
          <w:sz w:val="24"/>
          <w:szCs w:val="24"/>
        </w:rPr>
        <w:t>education</w:t>
      </w:r>
      <w:proofErr w:type="gramEnd"/>
      <w:r w:rsidR="006B64E1" w:rsidRPr="001C713C">
        <w:rPr>
          <w:rFonts w:cstheme="minorHAnsi"/>
          <w:sz w:val="24"/>
          <w:szCs w:val="24"/>
        </w:rPr>
        <w:t xml:space="preserve"> and age at childbirth) and family embe</w:t>
      </w:r>
      <w:r w:rsidR="00F97E09">
        <w:rPr>
          <w:rFonts w:cstheme="minorHAnsi"/>
          <w:sz w:val="24"/>
          <w:szCs w:val="24"/>
        </w:rPr>
        <w:t>dd</w:t>
      </w:r>
      <w:r w:rsidR="006B64E1" w:rsidRPr="001C713C">
        <w:rPr>
          <w:rFonts w:cstheme="minorHAnsi"/>
          <w:sz w:val="24"/>
          <w:szCs w:val="24"/>
        </w:rPr>
        <w:t>edness (co</w:t>
      </w:r>
      <w:r w:rsidR="009E357D" w:rsidRPr="001C713C">
        <w:rPr>
          <w:rFonts w:cstheme="minorHAnsi"/>
          <w:sz w:val="24"/>
          <w:szCs w:val="24"/>
        </w:rPr>
        <w:t>-</w:t>
      </w:r>
      <w:r w:rsidR="006B64E1" w:rsidRPr="001C713C">
        <w:rPr>
          <w:rFonts w:cstheme="minorHAnsi"/>
          <w:sz w:val="24"/>
          <w:szCs w:val="24"/>
        </w:rPr>
        <w:t>residence with external family and practical, emotional support) the effect of the interaction term diminished and happens to be no longer significant, therefore the explain most of the variation (22 to 48% and 15 to 20% respectively) between blacks and whites when it comes to high-school completion</w:t>
      </w:r>
      <w:r w:rsidR="00F779AC">
        <w:rPr>
          <w:rFonts w:cstheme="minorHAnsi"/>
          <w:sz w:val="24"/>
          <w:szCs w:val="24"/>
        </w:rPr>
        <w:t xml:space="preserve">. </w:t>
      </w:r>
      <w:r w:rsidR="000A50B2" w:rsidRPr="001C713C">
        <w:rPr>
          <w:rFonts w:cstheme="minorHAnsi"/>
          <w:sz w:val="24"/>
          <w:szCs w:val="24"/>
        </w:rPr>
        <w:t xml:space="preserve">In terms of </w:t>
      </w:r>
      <w:r w:rsidR="00F779AC">
        <w:rPr>
          <w:rFonts w:cstheme="minorHAnsi"/>
          <w:sz w:val="24"/>
          <w:szCs w:val="24"/>
        </w:rPr>
        <w:t>economic resources</w:t>
      </w:r>
      <w:r w:rsidR="000A50B2" w:rsidRPr="001C713C">
        <w:rPr>
          <w:rFonts w:cstheme="minorHAnsi"/>
          <w:sz w:val="24"/>
          <w:szCs w:val="24"/>
        </w:rPr>
        <w:t xml:space="preserve">, </w:t>
      </w:r>
      <w:r w:rsidR="000A7C88">
        <w:rPr>
          <w:rFonts w:cstheme="minorHAnsi"/>
          <w:sz w:val="24"/>
          <w:szCs w:val="24"/>
        </w:rPr>
        <w:t>the</w:t>
      </w:r>
      <w:r w:rsidR="00F779AC">
        <w:rPr>
          <w:rFonts w:cstheme="minorHAnsi"/>
          <w:sz w:val="24"/>
          <w:szCs w:val="24"/>
        </w:rPr>
        <w:t xml:space="preserve"> </w:t>
      </w:r>
      <w:r w:rsidR="006B64E1" w:rsidRPr="001C713C">
        <w:rPr>
          <w:rFonts w:cstheme="minorHAnsi"/>
          <w:sz w:val="24"/>
          <w:szCs w:val="24"/>
        </w:rPr>
        <w:t xml:space="preserve">average family wealth of whites </w:t>
      </w:r>
      <w:r w:rsidR="00F779AC">
        <w:rPr>
          <w:rFonts w:cstheme="minorHAnsi"/>
          <w:sz w:val="24"/>
          <w:szCs w:val="24"/>
        </w:rPr>
        <w:t xml:space="preserve">is </w:t>
      </w:r>
      <w:r w:rsidR="006B64E1" w:rsidRPr="001C713C">
        <w:rPr>
          <w:rFonts w:cstheme="minorHAnsi"/>
          <w:sz w:val="24"/>
          <w:szCs w:val="24"/>
        </w:rPr>
        <w:t xml:space="preserve">1.5 times higher than that of </w:t>
      </w:r>
      <w:r w:rsidR="00F779AC" w:rsidRPr="001C713C">
        <w:rPr>
          <w:rFonts w:cstheme="minorHAnsi"/>
          <w:sz w:val="24"/>
          <w:szCs w:val="24"/>
        </w:rPr>
        <w:t>black and Hispanic children</w:t>
      </w:r>
      <w:r w:rsidR="006B64E1" w:rsidRPr="001C713C">
        <w:rPr>
          <w:rFonts w:cstheme="minorHAnsi"/>
          <w:sz w:val="24"/>
          <w:szCs w:val="24"/>
        </w:rPr>
        <w:t xml:space="preserve">. Also, whites were 1.5 times more likely to report a better </w:t>
      </w:r>
      <w:r w:rsidR="006B64E1" w:rsidRPr="001C713C">
        <w:rPr>
          <w:rFonts w:cstheme="minorHAnsi"/>
          <w:sz w:val="24"/>
          <w:szCs w:val="24"/>
        </w:rPr>
        <w:lastRenderedPageBreak/>
        <w:t xml:space="preserve">neighborhood and community around them which can also foster their educational aspirations </w:t>
      </w:r>
      <w:r w:rsidR="006B64E1" w:rsidRPr="001C713C">
        <w:rPr>
          <w:rFonts w:cstheme="minorHAnsi"/>
          <w:sz w:val="24"/>
          <w:szCs w:val="24"/>
        </w:rPr>
        <w:fldChar w:fldCharType="begin" w:fldLock="1"/>
      </w:r>
      <w:r w:rsidR="006B64E1" w:rsidRPr="001C713C">
        <w:rPr>
          <w:rFonts w:cstheme="minorHAnsi"/>
          <w:sz w:val="24"/>
          <w:szCs w:val="24"/>
        </w:rPr>
        <w:instrText>ADDIN CSL_CITATION {"citationItems":[{"id":"ITEM-1","itemData":{"DOI":"10.1111/jomf.12625","ISSN":"0022-2445","author":[{"dropping-particle":"","family":"Cross","given":"Christina J.","non-dropping-particle":"","parse-names":false,"suffix":""}],"container-title":"Journal of Marriage and Family","id":"ITEM-1","issue":"2","issued":{"date-parts":[["2020","4","3"]]},"page":"691-712","title":"Racial/Ethnic Differences in the Association Between Family Structure and Children's Education","type":"article-journal","volume":"82"},"uris":["http://www.mendeley.com/documents/?uuid=49cae92b-7adb-4daa-baee-a3bbfd632c36"]}],"mendeley":{"formattedCitation":"(Cross, 2020)","plainTextFormattedCitation":"(Cross, 2020)","previouslyFormattedCitation":"(Cross, 2020)"},"properties":{"noteIndex":0},"schema":"https://github.com/citation-style-language/schema/raw/master/csl-citation.json"}</w:instrText>
      </w:r>
      <w:r w:rsidR="006B64E1" w:rsidRPr="001C713C">
        <w:rPr>
          <w:rFonts w:cstheme="minorHAnsi"/>
          <w:sz w:val="24"/>
          <w:szCs w:val="24"/>
        </w:rPr>
        <w:fldChar w:fldCharType="separate"/>
      </w:r>
      <w:r w:rsidR="006B64E1" w:rsidRPr="001C713C">
        <w:rPr>
          <w:rFonts w:cstheme="minorHAnsi"/>
          <w:noProof/>
          <w:sz w:val="24"/>
          <w:szCs w:val="24"/>
        </w:rPr>
        <w:t>(Cross, 2020)</w:t>
      </w:r>
      <w:r w:rsidR="006B64E1" w:rsidRPr="001C713C">
        <w:rPr>
          <w:rFonts w:cstheme="minorHAnsi"/>
          <w:sz w:val="24"/>
          <w:szCs w:val="24"/>
        </w:rPr>
        <w:fldChar w:fldCharType="end"/>
      </w:r>
      <w:r w:rsidR="006B64E1" w:rsidRPr="001C713C">
        <w:rPr>
          <w:rFonts w:cstheme="minorHAnsi"/>
          <w:sz w:val="24"/>
          <w:szCs w:val="24"/>
        </w:rPr>
        <w:t>.</w:t>
      </w:r>
    </w:p>
    <w:p w14:paraId="4A07F0B5" w14:textId="40838C9F" w:rsidR="00140912" w:rsidRDefault="00140912" w:rsidP="00140912">
      <w:pPr>
        <w:pStyle w:val="Heading3"/>
        <w:rPr>
          <w:rFonts w:asciiTheme="minorHAnsi" w:hAnsiTheme="minorHAnsi" w:cstheme="minorHAnsi"/>
        </w:rPr>
      </w:pPr>
      <w:bookmarkStart w:id="26" w:name="_Toc64591268"/>
      <w:r>
        <w:rPr>
          <w:rFonts w:asciiTheme="minorHAnsi" w:hAnsiTheme="minorHAnsi" w:cstheme="minorHAnsi"/>
        </w:rPr>
        <w:t>2.4.</w:t>
      </w:r>
      <w:r w:rsidR="00AD1936">
        <w:rPr>
          <w:rFonts w:asciiTheme="minorHAnsi" w:hAnsiTheme="minorHAnsi" w:cstheme="minorHAnsi"/>
        </w:rPr>
        <w:t>4</w:t>
      </w:r>
      <w:r>
        <w:rPr>
          <w:rFonts w:asciiTheme="minorHAnsi" w:hAnsiTheme="minorHAnsi" w:cstheme="minorHAnsi"/>
        </w:rPr>
        <w:t xml:space="preserve">. </w:t>
      </w:r>
      <w:r w:rsidRPr="00140912">
        <w:rPr>
          <w:rFonts w:asciiTheme="minorHAnsi" w:hAnsiTheme="minorHAnsi" w:cstheme="minorHAnsi"/>
        </w:rPr>
        <w:t>Birthweight</w:t>
      </w:r>
      <w:r>
        <w:rPr>
          <w:rFonts w:asciiTheme="minorHAnsi" w:hAnsiTheme="minorHAnsi" w:cstheme="minorHAnsi"/>
        </w:rPr>
        <w:t xml:space="preserve"> and Health Status</w:t>
      </w:r>
      <w:bookmarkEnd w:id="26"/>
    </w:p>
    <w:p w14:paraId="6A1EE368" w14:textId="6441258C" w:rsidR="00DA73DC" w:rsidRDefault="00893793" w:rsidP="00D81801">
      <w:pPr>
        <w:spacing w:line="360" w:lineRule="auto"/>
        <w:ind w:firstLine="397"/>
        <w:jc w:val="both"/>
        <w:rPr>
          <w:rFonts w:cstheme="minorHAnsi"/>
          <w:sz w:val="24"/>
          <w:szCs w:val="24"/>
        </w:rPr>
      </w:pPr>
      <w:r>
        <w:rPr>
          <w:rFonts w:cstheme="minorHAnsi"/>
          <w:sz w:val="24"/>
          <w:szCs w:val="24"/>
        </w:rPr>
        <w:t>B</w:t>
      </w:r>
      <w:r w:rsidR="00881FD8" w:rsidRPr="00881FD8">
        <w:rPr>
          <w:rFonts w:cstheme="minorHAnsi"/>
          <w:sz w:val="24"/>
          <w:szCs w:val="24"/>
        </w:rPr>
        <w:t xml:space="preserve">irthweight and adverse health status are both </w:t>
      </w:r>
      <w:r w:rsidR="00EA084F">
        <w:rPr>
          <w:rFonts w:cstheme="minorHAnsi"/>
          <w:sz w:val="24"/>
          <w:szCs w:val="24"/>
        </w:rPr>
        <w:t xml:space="preserve">mild </w:t>
      </w:r>
      <w:r w:rsidR="00881FD8" w:rsidRPr="00881FD8">
        <w:rPr>
          <w:rFonts w:cstheme="minorHAnsi"/>
          <w:sz w:val="24"/>
          <w:szCs w:val="24"/>
        </w:rPr>
        <w:t>determinant</w:t>
      </w:r>
      <w:r w:rsidR="00740440">
        <w:rPr>
          <w:rFonts w:cstheme="minorHAnsi"/>
          <w:sz w:val="24"/>
          <w:szCs w:val="24"/>
        </w:rPr>
        <w:t>s</w:t>
      </w:r>
      <w:r w:rsidR="00881FD8" w:rsidRPr="00881FD8">
        <w:rPr>
          <w:rFonts w:cstheme="minorHAnsi"/>
          <w:sz w:val="24"/>
          <w:szCs w:val="24"/>
        </w:rPr>
        <w:t xml:space="preserve"> of academic performance</w:t>
      </w:r>
      <w:r w:rsidR="00592C4B">
        <w:rPr>
          <w:rFonts w:cstheme="minorHAnsi"/>
          <w:sz w:val="24"/>
          <w:szCs w:val="24"/>
        </w:rPr>
        <w:t xml:space="preserve">. </w:t>
      </w:r>
      <w:r w:rsidR="005D13AA">
        <w:rPr>
          <w:rFonts w:cstheme="minorHAnsi"/>
          <w:sz w:val="24"/>
          <w:szCs w:val="24"/>
        </w:rPr>
        <w:t>Intuitively the birthweight should reflect the avai</w:t>
      </w:r>
      <w:r w:rsidR="00740440">
        <w:rPr>
          <w:rFonts w:cstheme="minorHAnsi"/>
          <w:sz w:val="24"/>
          <w:szCs w:val="24"/>
        </w:rPr>
        <w:t>la</w:t>
      </w:r>
      <w:r w:rsidR="005D13AA">
        <w:rPr>
          <w:rFonts w:cstheme="minorHAnsi"/>
          <w:sz w:val="24"/>
          <w:szCs w:val="24"/>
        </w:rPr>
        <w:t xml:space="preserve">ble resources of the household </w:t>
      </w:r>
      <w:r w:rsidR="00274070">
        <w:rPr>
          <w:rFonts w:cstheme="minorHAnsi"/>
          <w:sz w:val="24"/>
          <w:szCs w:val="24"/>
        </w:rPr>
        <w:t xml:space="preserve">to support child development. Countries with </w:t>
      </w:r>
      <w:r w:rsidR="00740440">
        <w:rPr>
          <w:rFonts w:cstheme="minorHAnsi"/>
          <w:sz w:val="24"/>
          <w:szCs w:val="24"/>
        </w:rPr>
        <w:t xml:space="preserve">a </w:t>
      </w:r>
      <w:r w:rsidR="00274070">
        <w:rPr>
          <w:rFonts w:cstheme="minorHAnsi"/>
          <w:sz w:val="24"/>
          <w:szCs w:val="24"/>
        </w:rPr>
        <w:t xml:space="preserve">higher rate of people </w:t>
      </w:r>
      <w:r w:rsidR="00EA084F">
        <w:rPr>
          <w:rFonts w:cstheme="minorHAnsi"/>
          <w:sz w:val="24"/>
          <w:szCs w:val="24"/>
        </w:rPr>
        <w:t>who saw</w:t>
      </w:r>
      <w:r w:rsidR="00274070">
        <w:rPr>
          <w:rFonts w:cstheme="minorHAnsi"/>
          <w:sz w:val="24"/>
          <w:szCs w:val="24"/>
        </w:rPr>
        <w:t xml:space="preserve"> daylight with under 2</w:t>
      </w:r>
      <w:r w:rsidR="00A7350C">
        <w:rPr>
          <w:rFonts w:cstheme="minorHAnsi"/>
          <w:sz w:val="24"/>
          <w:szCs w:val="24"/>
        </w:rPr>
        <w:t>,</w:t>
      </w:r>
      <w:r w:rsidR="00274070">
        <w:rPr>
          <w:rFonts w:cstheme="minorHAnsi"/>
          <w:sz w:val="24"/>
          <w:szCs w:val="24"/>
        </w:rPr>
        <w:t>500</w:t>
      </w:r>
      <w:r w:rsidR="00C76CE1">
        <w:rPr>
          <w:rFonts w:cstheme="minorHAnsi"/>
          <w:sz w:val="24"/>
          <w:szCs w:val="24"/>
        </w:rPr>
        <w:t xml:space="preserve"> </w:t>
      </w:r>
      <w:r w:rsidR="00274070">
        <w:rPr>
          <w:rFonts w:cstheme="minorHAnsi"/>
          <w:sz w:val="24"/>
          <w:szCs w:val="24"/>
        </w:rPr>
        <w:t>g</w:t>
      </w:r>
      <w:r w:rsidR="00C76CE1">
        <w:rPr>
          <w:rFonts w:cstheme="minorHAnsi"/>
          <w:sz w:val="24"/>
          <w:szCs w:val="24"/>
        </w:rPr>
        <w:t>rams</w:t>
      </w:r>
      <w:r w:rsidR="00274070">
        <w:rPr>
          <w:rFonts w:cstheme="minorHAnsi"/>
          <w:sz w:val="24"/>
          <w:szCs w:val="24"/>
        </w:rPr>
        <w:t xml:space="preserve"> tend to have lower GDP per capita, vice versa</w:t>
      </w:r>
      <w:r w:rsidR="00EA084F">
        <w:rPr>
          <w:rFonts w:cstheme="minorHAnsi"/>
          <w:sz w:val="24"/>
          <w:szCs w:val="24"/>
        </w:rPr>
        <w:t xml:space="preserve">. </w:t>
      </w:r>
      <w:r w:rsidR="00592C4B">
        <w:rPr>
          <w:rFonts w:cstheme="minorHAnsi"/>
          <w:sz w:val="24"/>
          <w:szCs w:val="24"/>
        </w:rPr>
        <w:fldChar w:fldCharType="begin" w:fldLock="1"/>
      </w:r>
      <w:r w:rsidR="00CA70E6">
        <w:rPr>
          <w:rFonts w:cstheme="minorHAnsi"/>
          <w:sz w:val="24"/>
          <w:szCs w:val="24"/>
        </w:rPr>
        <w:instrText>ADDIN CSL_CITATION {"citationItems":[{"id":"ITEM-1","itemData":{"DOI":"10.1162/003465304323031139","ISSN":"00346535","abstract":"We use data on monozygotic twins to obtain improved estimates of the effect of intrauterine nutrient intake on adult health and earnings and thus to evaluate the efficacy of programs aimed at increasing birthweight. We use the results to evaluate the bias in cross-sectional estimates and to assess the proposition that health conditions play a major role in determining the world distribution of income. We show that there is considerable variation in the incidence of low birthweight across countries, and our estimates suggest that there are real payoffs to increasing body weight at birth. Increasing birthweight increases adult schooling attainment and adult height for babies at most levels of birthweight, but has no effect on adult body mass. The effect of increasing birthweight on schooling, moreover, is underestimated by 50% if there is no control for genetic and family background endowments as in cross-sectional estimates. We also find evidence that augmenting birthweight among lower-birthweight babies, but not among higher-birthweight babies, has significant labor market payoffs. However, shifting the distribution of birthweights in developing countries to that in the United States would reduce world earnings inequality by less than 1%, far less than indicated by the cross-country correlation between per-worker GDP and birthweight.","author":[{"dropping-particle":"","family":"Behrman","given":"Jere R.","non-dropping-particle":"","parse-names":false,"suffix":""},{"dropping-particle":"","family":"Rosenzweig","given":"Mark R.","non-dropping-particle":"","parse-names":false,"suffix":""}],"container-title":"Review of Economics and Statistics","id":"ITEM-1","issue":"2","issued":{"date-parts":[["2004"]]},"page":"586-601","title":"Returns to birthweight","type":"article-journal","volume":"86"},"uris":["http://www.mendeley.com/documents/?uuid=6d86b734-f0aa-4f01-84ff-88d460676b18"]}],"mendeley":{"formattedCitation":"(Behrman &amp; Rosenzweig, 2004)","manualFormatting":"Behrman &amp; Rosenzweig, (2004)","plainTextFormattedCitation":"(Behrman &amp; Rosenzweig, 2004)","previouslyFormattedCitation":"(Behrman &amp; Rosenzweig, 2004)"},"properties":{"noteIndex":0},"schema":"https://github.com/citation-style-language/schema/raw/master/csl-citation.json"}</w:instrText>
      </w:r>
      <w:r w:rsidR="00592C4B">
        <w:rPr>
          <w:rFonts w:cstheme="minorHAnsi"/>
          <w:sz w:val="24"/>
          <w:szCs w:val="24"/>
        </w:rPr>
        <w:fldChar w:fldCharType="separate"/>
      </w:r>
      <w:r w:rsidR="00592C4B" w:rsidRPr="00592C4B">
        <w:rPr>
          <w:rFonts w:cstheme="minorHAnsi"/>
          <w:noProof/>
          <w:sz w:val="24"/>
          <w:szCs w:val="24"/>
        </w:rPr>
        <w:t xml:space="preserve">Behrman &amp; Rosenzweig, </w:t>
      </w:r>
      <w:r w:rsidR="00592C4B">
        <w:rPr>
          <w:rFonts w:cstheme="minorHAnsi"/>
          <w:noProof/>
          <w:sz w:val="24"/>
          <w:szCs w:val="24"/>
        </w:rPr>
        <w:t>(</w:t>
      </w:r>
      <w:r w:rsidR="00592C4B" w:rsidRPr="00592C4B">
        <w:rPr>
          <w:rFonts w:cstheme="minorHAnsi"/>
          <w:noProof/>
          <w:sz w:val="24"/>
          <w:szCs w:val="24"/>
        </w:rPr>
        <w:t>2004)</w:t>
      </w:r>
      <w:r w:rsidR="00592C4B">
        <w:rPr>
          <w:rFonts w:cstheme="minorHAnsi"/>
          <w:sz w:val="24"/>
          <w:szCs w:val="24"/>
        </w:rPr>
        <w:fldChar w:fldCharType="end"/>
      </w:r>
      <w:r w:rsidR="00592C4B">
        <w:rPr>
          <w:rFonts w:cstheme="minorHAnsi"/>
          <w:sz w:val="24"/>
          <w:szCs w:val="24"/>
        </w:rPr>
        <w:t xml:space="preserve"> </w:t>
      </w:r>
      <w:r w:rsidR="005B6746">
        <w:rPr>
          <w:rFonts w:cstheme="minorHAnsi"/>
          <w:sz w:val="24"/>
          <w:szCs w:val="24"/>
        </w:rPr>
        <w:t>showed that indeed there is</w:t>
      </w:r>
      <w:r w:rsidR="00EA084F">
        <w:rPr>
          <w:rFonts w:cstheme="minorHAnsi"/>
          <w:sz w:val="24"/>
          <w:szCs w:val="24"/>
        </w:rPr>
        <w:t xml:space="preserve"> a</w:t>
      </w:r>
      <w:r w:rsidR="00592C4B">
        <w:rPr>
          <w:rFonts w:cstheme="minorHAnsi"/>
          <w:sz w:val="24"/>
          <w:szCs w:val="24"/>
        </w:rPr>
        <w:t xml:space="preserve"> significantly positive link between fetal growth and schooling as well as physical attributes, and earnings</w:t>
      </w:r>
      <w:r w:rsidR="00CA70E6">
        <w:rPr>
          <w:rFonts w:cstheme="minorHAnsi"/>
          <w:sz w:val="24"/>
          <w:szCs w:val="24"/>
        </w:rPr>
        <w:t xml:space="preserve"> </w:t>
      </w:r>
      <w:r w:rsidR="00CA70E6">
        <w:rPr>
          <w:rFonts w:cstheme="minorHAnsi"/>
          <w:sz w:val="24"/>
          <w:szCs w:val="24"/>
        </w:rPr>
        <w:fldChar w:fldCharType="begin" w:fldLock="1"/>
      </w:r>
      <w:r w:rsidR="00D81801">
        <w:rPr>
          <w:rFonts w:cstheme="minorHAnsi"/>
          <w:sz w:val="24"/>
          <w:szCs w:val="24"/>
        </w:rPr>
        <w:instrText>ADDIN CSL_CITATION {"citationItems":[{"id":"ITEM-1","itemData":{"DOI":"10.1162/003465304323031139","ISSN":"00346535","abstract":"We use data on monozygotic twins to obtain improved estimates of the effect of intrauterine nutrient intake on adult health and earnings and thus to evaluate the efficacy of programs aimed at increasing birthweight. We use the results to evaluate the bias in cross-sectional estimates and to assess the proposition that health conditions play a major role in determining the world distribution of income. We show that there is considerable variation in the incidence of low birthweight across countries, and our estimates suggest that there are real payoffs to increasing body weight at birth. Increasing birthweight increases adult schooling attainment and adult height for babies at most levels of birthweight, but has no effect on adult body mass. The effect of increasing birthweight on schooling, moreover, is underestimated by 50% if there is no control for genetic and family background endowments as in cross-sectional estimates. We also find evidence that augmenting birthweight among lower-birthweight babies, but not among higher-birthweight babies, has significant labor market payoffs. However, shifting the distribution of birthweights in developing countries to that in the United States would reduce world earnings inequality by less than 1%, far less than indicated by the cross-country correlation between per-worker GDP and birthweight.","author":[{"dropping-particle":"","family":"Behrman","given":"Jere R.","non-dropping-particle":"","parse-names":false,"suffix":""},{"dropping-particle":"","family":"Rosenzweig","given":"Mark R.","non-dropping-particle":"","parse-names":false,"suffix":""}],"container-title":"Review of Economics and Statistics","id":"ITEM-1","issue":"2","issued":{"date-parts":[["2004"]]},"page":"586-601","title":"Returns to birthweight","type":"article-journal","volume":"86"},"uris":["http://www.mendeley.com/documents/?uuid=6d86b734-f0aa-4f01-84ff-88d460676b18"]},{"id":"ITEM-2","itemData":{"DOI":"10.2139/ssrn.275152","ISSN":"0898-2937","abstract":"We show that the well-known positive association between health and income in adulthood has antecedents in childhood. Using the National Health Interview Surveys, the Panel Study of Income Dynamics, and the National Health and Nutrition Examination Survey, we find that children's health is positively related to household income. The relationship between household income and children's health status becomes more pronounced as children grow older. A large component of the relationship between income and children's health can be explained by the arrival and impact of chronic health conditions in childhood. Children from lower-income households with chronic health conditions have worse health than do children from higher-income households. Further, we find that children's health is closely associated with long-run average household income, and that the adverse health effects of lower permanent income accumulate over children's lives. Part of the intergenerational transmission of socioeconomic status may work through the impact of parents' long run average income on children's health.","author":[{"dropping-particle":"","family":"Case","given":"Anne C.","non-dropping-particle":"","parse-names":false,"suffix":""},{"dropping-particle":"","family":"Lubotsky","given":"Darren H.","non-dropping-particle":"","parse-names":false,"suffix":""},{"dropping-particle":"","family":"Paxson","given":"Christina H.","non-dropping-particle":"","parse-names":false,"suffix":""}],"container-title":"SSRN Electronic Journal","id":"ITEM-2","issue":"March","issued":{"date-parts":[["2005"]]},"title":"Economic Status and Health in Childhood: The Origins of the Gradient","type":"article-journal"},"uris":["http://www.mendeley.com/documents/?uuid=54f5bad7-d5cf-4a6d-9b84-4535073a04c2"]}],"mendeley":{"formattedCitation":"(Behrman &amp; Rosenzweig, 2004; Case et al., 2005)","plainTextFormattedCitation":"(Behrman &amp; Rosenzweig, 2004; Case et al., 2005)","previouslyFormattedCitation":"(Behrman &amp; Rosenzweig, 2004; Case et al., 2005)"},"properties":{"noteIndex":0},"schema":"https://github.com/citation-style-language/schema/raw/master/csl-citation.json"}</w:instrText>
      </w:r>
      <w:r w:rsidR="00CA70E6">
        <w:rPr>
          <w:rFonts w:cstheme="minorHAnsi"/>
          <w:sz w:val="24"/>
          <w:szCs w:val="24"/>
        </w:rPr>
        <w:fldChar w:fldCharType="separate"/>
      </w:r>
      <w:r w:rsidR="00051F90" w:rsidRPr="00051F90">
        <w:rPr>
          <w:rFonts w:cstheme="minorHAnsi"/>
          <w:noProof/>
          <w:sz w:val="24"/>
          <w:szCs w:val="24"/>
        </w:rPr>
        <w:t>(Behrman &amp; Rosenzweig, 2004; Case et al., 2005)</w:t>
      </w:r>
      <w:r w:rsidR="00CA70E6">
        <w:rPr>
          <w:rFonts w:cstheme="minorHAnsi"/>
          <w:sz w:val="24"/>
          <w:szCs w:val="24"/>
        </w:rPr>
        <w:fldChar w:fldCharType="end"/>
      </w:r>
      <w:r w:rsidR="00592C4B" w:rsidRPr="00881FD8">
        <w:rPr>
          <w:rFonts w:cstheme="minorHAnsi"/>
          <w:sz w:val="24"/>
          <w:szCs w:val="24"/>
        </w:rPr>
        <w:t>.</w:t>
      </w:r>
      <w:r w:rsidR="00592C4B">
        <w:rPr>
          <w:rFonts w:cstheme="minorHAnsi"/>
          <w:sz w:val="24"/>
          <w:szCs w:val="24"/>
        </w:rPr>
        <w:t xml:space="preserve">  </w:t>
      </w:r>
      <w:r w:rsidR="005B6746">
        <w:rPr>
          <w:rFonts w:cstheme="minorHAnsi"/>
          <w:sz w:val="24"/>
          <w:szCs w:val="24"/>
        </w:rPr>
        <w:t>Other evidence</w:t>
      </w:r>
      <w:r w:rsidR="00C76CE1">
        <w:rPr>
          <w:rFonts w:cstheme="minorHAnsi"/>
          <w:sz w:val="24"/>
          <w:szCs w:val="24"/>
        </w:rPr>
        <w:t xml:space="preserve"> </w:t>
      </w:r>
      <w:r w:rsidR="005B6746">
        <w:rPr>
          <w:rFonts w:cstheme="minorHAnsi"/>
          <w:sz w:val="24"/>
          <w:szCs w:val="24"/>
        </w:rPr>
        <w:t>concluded</w:t>
      </w:r>
      <w:r w:rsidR="00C76CE1">
        <w:rPr>
          <w:rFonts w:cstheme="minorHAnsi"/>
          <w:sz w:val="24"/>
          <w:szCs w:val="24"/>
        </w:rPr>
        <w:t xml:space="preserve"> that children with reported poor health states are </w:t>
      </w:r>
      <w:r w:rsidR="00A7350C">
        <w:rPr>
          <w:rFonts w:cstheme="minorHAnsi"/>
          <w:sz w:val="24"/>
          <w:szCs w:val="24"/>
        </w:rPr>
        <w:t xml:space="preserve">more </w:t>
      </w:r>
      <w:r w:rsidR="00C76CE1">
        <w:rPr>
          <w:rFonts w:cstheme="minorHAnsi"/>
          <w:sz w:val="24"/>
          <w:szCs w:val="24"/>
        </w:rPr>
        <w:t>likely to be</w:t>
      </w:r>
      <w:r w:rsidR="00A7350C">
        <w:rPr>
          <w:rFonts w:cstheme="minorHAnsi"/>
          <w:sz w:val="24"/>
          <w:szCs w:val="24"/>
        </w:rPr>
        <w:t xml:space="preserve"> </w:t>
      </w:r>
      <w:r w:rsidR="00C76CE1">
        <w:rPr>
          <w:rFonts w:cstheme="minorHAnsi"/>
          <w:sz w:val="24"/>
          <w:szCs w:val="24"/>
        </w:rPr>
        <w:t xml:space="preserve">exposed to school problems and lower </w:t>
      </w:r>
      <w:r w:rsidR="001117C6">
        <w:rPr>
          <w:rFonts w:cstheme="minorHAnsi"/>
          <w:sz w:val="24"/>
          <w:szCs w:val="24"/>
        </w:rPr>
        <w:t>levels of human capital accumulation</w:t>
      </w:r>
      <w:r w:rsidR="00B310CF">
        <w:rPr>
          <w:rFonts w:cstheme="minorHAnsi"/>
          <w:sz w:val="24"/>
          <w:szCs w:val="24"/>
        </w:rPr>
        <w:t xml:space="preserve"> (in schooling and absolute income) </w:t>
      </w:r>
      <w:r w:rsidR="006E1E07">
        <w:rPr>
          <w:rFonts w:cstheme="minorHAnsi"/>
          <w:sz w:val="24"/>
          <w:szCs w:val="24"/>
        </w:rPr>
        <w:t xml:space="preserve">both </w:t>
      </w:r>
      <w:r w:rsidR="00740440">
        <w:rPr>
          <w:rFonts w:cstheme="minorHAnsi"/>
          <w:sz w:val="24"/>
          <w:szCs w:val="24"/>
        </w:rPr>
        <w:t>i</w:t>
      </w:r>
      <w:r w:rsidR="00C76CE1">
        <w:rPr>
          <w:rFonts w:cstheme="minorHAnsi"/>
          <w:sz w:val="24"/>
          <w:szCs w:val="24"/>
        </w:rPr>
        <w:t xml:space="preserve">n the long and short run, which is also interrelated with the </w:t>
      </w:r>
      <w:r w:rsidR="001117C6">
        <w:rPr>
          <w:rFonts w:cstheme="minorHAnsi"/>
          <w:sz w:val="24"/>
          <w:szCs w:val="24"/>
        </w:rPr>
        <w:t>family background</w:t>
      </w:r>
      <w:r w:rsidR="00C76CE1">
        <w:rPr>
          <w:rFonts w:cstheme="minorHAnsi"/>
          <w:sz w:val="24"/>
          <w:szCs w:val="24"/>
        </w:rPr>
        <w:t xml:space="preserve">. The health status was captured by a categorical subjective evaluation on a scale of 1 (Excellent) to 5 (Poor), </w:t>
      </w:r>
      <w:r w:rsidR="00051F90">
        <w:rPr>
          <w:rFonts w:cstheme="minorHAnsi"/>
          <w:sz w:val="24"/>
          <w:szCs w:val="24"/>
        </w:rPr>
        <w:t>and found to be eroded faster in households with lower SES</w:t>
      </w:r>
      <w:r w:rsidR="003C4BEB">
        <w:rPr>
          <w:rFonts w:cstheme="minorHAnsi"/>
          <w:sz w:val="24"/>
          <w:szCs w:val="24"/>
        </w:rPr>
        <w:t>, which resulted in a downward spiral in terms of average income and years of schooling</w:t>
      </w:r>
      <w:r w:rsidR="00D81801">
        <w:rPr>
          <w:rFonts w:cstheme="minorHAnsi"/>
          <w:sz w:val="24"/>
          <w:szCs w:val="24"/>
        </w:rPr>
        <w:t xml:space="preserve"> </w:t>
      </w:r>
      <w:r w:rsidR="00D81801">
        <w:rPr>
          <w:rFonts w:cstheme="minorHAnsi"/>
          <w:sz w:val="24"/>
          <w:szCs w:val="24"/>
        </w:rPr>
        <w:fldChar w:fldCharType="begin" w:fldLock="1"/>
      </w:r>
      <w:r w:rsidR="00B600B7">
        <w:rPr>
          <w:rFonts w:cstheme="minorHAnsi"/>
          <w:sz w:val="24"/>
          <w:szCs w:val="24"/>
        </w:rPr>
        <w:instrText>ADDIN CSL_CITATION {"citationItems":[{"id":"ITEM-1","itemData":{"DOI":"10.2139/ssrn.275152","ISSN":"0898-2937","abstract":"We show that the well-known positive association between health and income in adulthood has antecedents in childhood. Using the National Health Interview Surveys, the Panel Study of Income Dynamics, and the National Health and Nutrition Examination Survey, we find that children's health is positively related to household income. The relationship between household income and children's health status becomes more pronounced as children grow older. A large component of the relationship between income and children's health can be explained by the arrival and impact of chronic health conditions in childhood. Children from lower-income households with chronic health conditions have worse health than do children from higher-income households. Further, we find that children's health is closely associated with long-run average household income, and that the adverse health effects of lower permanent income accumulate over children's lives. Part of the intergenerational transmission of socioeconomic status may work through the impact of parents' long run average income on children's health.","author":[{"dropping-particle":"","family":"Case","given":"Anne C.","non-dropping-particle":"","parse-names":false,"suffix":""},{"dropping-particle":"","family":"Lubotsky","given":"Darren H.","non-dropping-particle":"","parse-names":false,"suffix":""},{"dropping-particle":"","family":"Paxson","given":"Christina H.","non-dropping-particle":"","parse-names":false,"suffix":""}],"container-title":"SSRN Electronic Journal","id":"ITEM-1","issue":"March","issued":{"date-parts":[["2005"]]},"title":"Economic Status and Health in Childhood: The Origins of the Gradient","type":"article-journal"},"uris":["http://www.mendeley.com/documents/?uuid=54f5bad7-d5cf-4a6d-9b84-4535073a04c2"]}],"mendeley":{"formattedCitation":"(Case et al., 2005)","plainTextFormattedCitation":"(Case et al., 2005)","previouslyFormattedCitation":"(Case et al., 2005)"},"properties":{"noteIndex":0},"schema":"https://github.com/citation-style-language/schema/raw/master/csl-citation.json"}</w:instrText>
      </w:r>
      <w:r w:rsidR="00D81801">
        <w:rPr>
          <w:rFonts w:cstheme="minorHAnsi"/>
          <w:sz w:val="24"/>
          <w:szCs w:val="24"/>
        </w:rPr>
        <w:fldChar w:fldCharType="separate"/>
      </w:r>
      <w:r w:rsidR="00D81801" w:rsidRPr="00D81801">
        <w:rPr>
          <w:rFonts w:cstheme="minorHAnsi"/>
          <w:noProof/>
          <w:sz w:val="24"/>
          <w:szCs w:val="24"/>
        </w:rPr>
        <w:t>(Case et al., 2005)</w:t>
      </w:r>
      <w:r w:rsidR="00D81801">
        <w:rPr>
          <w:rFonts w:cstheme="minorHAnsi"/>
          <w:sz w:val="24"/>
          <w:szCs w:val="24"/>
        </w:rPr>
        <w:fldChar w:fldCharType="end"/>
      </w:r>
      <w:r w:rsidR="003C4BEB">
        <w:rPr>
          <w:rFonts w:cstheme="minorHAnsi"/>
          <w:sz w:val="24"/>
          <w:szCs w:val="24"/>
        </w:rPr>
        <w:t>.</w:t>
      </w:r>
    </w:p>
    <w:p w14:paraId="358FF40D" w14:textId="116EC8D0" w:rsidR="00893793" w:rsidRDefault="00893793" w:rsidP="00893793">
      <w:pPr>
        <w:pStyle w:val="Heading3"/>
        <w:rPr>
          <w:rFonts w:asciiTheme="minorHAnsi" w:hAnsiTheme="minorHAnsi" w:cstheme="minorHAnsi"/>
        </w:rPr>
      </w:pPr>
      <w:bookmarkStart w:id="27" w:name="_Toc64591269"/>
      <w:r w:rsidRPr="00893793">
        <w:rPr>
          <w:rFonts w:asciiTheme="minorHAnsi" w:hAnsiTheme="minorHAnsi" w:cstheme="minorHAnsi"/>
        </w:rPr>
        <w:t xml:space="preserve">2.4.5. School </w:t>
      </w:r>
      <w:r w:rsidR="00CC1F0B">
        <w:rPr>
          <w:rFonts w:asciiTheme="minorHAnsi" w:hAnsiTheme="minorHAnsi" w:cstheme="minorHAnsi"/>
        </w:rPr>
        <w:t>Quality</w:t>
      </w:r>
      <w:bookmarkEnd w:id="27"/>
    </w:p>
    <w:p w14:paraId="2E662E16" w14:textId="22478DD0" w:rsidR="00893793" w:rsidRPr="00893793" w:rsidRDefault="00DB3304" w:rsidP="00765A62">
      <w:pPr>
        <w:spacing w:line="360" w:lineRule="auto"/>
        <w:ind w:firstLine="397"/>
        <w:jc w:val="both"/>
        <w:rPr>
          <w:rFonts w:cstheme="minorHAnsi"/>
          <w:sz w:val="24"/>
          <w:szCs w:val="24"/>
        </w:rPr>
      </w:pPr>
      <w:r>
        <w:rPr>
          <w:rFonts w:cstheme="minorHAnsi"/>
          <w:sz w:val="24"/>
          <w:szCs w:val="24"/>
        </w:rPr>
        <w:t xml:space="preserve">Although there is a free school choice in Hungary, households tend to choose schools on a basis of SES and expected outcomes. Therefore, we can control for the types and </w:t>
      </w:r>
      <w:r w:rsidR="0078486B">
        <w:rPr>
          <w:rFonts w:cstheme="minorHAnsi"/>
          <w:sz w:val="24"/>
          <w:szCs w:val="24"/>
        </w:rPr>
        <w:t xml:space="preserve">funders </w:t>
      </w:r>
      <w:r>
        <w:rPr>
          <w:rFonts w:cstheme="minorHAnsi"/>
          <w:sz w:val="24"/>
          <w:szCs w:val="24"/>
        </w:rPr>
        <w:t>of the school along with the regional differences to helps us signal the abilities of the students.</w:t>
      </w:r>
      <w:r w:rsidR="00B418EA">
        <w:rPr>
          <w:rFonts w:cstheme="minorHAnsi"/>
          <w:sz w:val="24"/>
          <w:szCs w:val="24"/>
        </w:rPr>
        <w:t xml:space="preserve"> </w:t>
      </w:r>
      <w:r w:rsidR="00B418EA">
        <w:rPr>
          <w:rFonts w:cstheme="minorHAnsi"/>
          <w:sz w:val="24"/>
          <w:szCs w:val="24"/>
        </w:rPr>
        <w:fldChar w:fldCharType="begin" w:fldLock="1"/>
      </w:r>
      <w:r w:rsidR="0039792F">
        <w:rPr>
          <w:rFonts w:cstheme="minorHAnsi"/>
          <w:sz w:val="24"/>
          <w:szCs w:val="24"/>
        </w:rPr>
        <w:instrText>ADDIN CSL_CITATION {"citationItems":[{"id":"ITEM-1","itemData":{"abstract":"Using microdata on the 1995 cohort of Italian high school graduates, this paper studies the relationship between the type of high school attended (general versus technical; private versus public) and indicators of subsequent performance. Simultaneity issues that potentially bias this type of exercise are tackled by instrumental variables. Results indicate that the type of high school attended greatly depends upon the family of origin and prior school performance. General high schools are found to increase the probability of transition to university and to improve performance once at university. On the other hand, private high schools appear to be associated with lower academic performance. Technical schools improve the quality of the school-to-work transition, both in terms of participation and employment probabilities.","author":[{"dropping-particle":"","family":"Cappellari","given":"Lorenzo","non-dropping-particle":"","parse-names":false,"suffix":""}],"id":"ITEM-1","issue":"1048","issued":{"date-parts":[["2004"]]},"title":"High School Types , Academic Performance and Early Labour Market Outcomes","type":"article-journal"},"uris":["http://www.mendeley.com/documents/?uuid=97c038f0-c507-4971-a0d7-36fd43344ef8"]}],"mendeley":{"formattedCitation":"(Cappellari, 2004)","manualFormatting":"Cappellari (2004)","plainTextFormattedCitation":"(Cappellari, 2004)","previouslyFormattedCitation":"(Cappellari, 2004)"},"properties":{"noteIndex":0},"schema":"https://github.com/citation-style-language/schema/raw/master/csl-citation.json"}</w:instrText>
      </w:r>
      <w:r w:rsidR="00B418EA">
        <w:rPr>
          <w:rFonts w:cstheme="minorHAnsi"/>
          <w:sz w:val="24"/>
          <w:szCs w:val="24"/>
        </w:rPr>
        <w:fldChar w:fldCharType="separate"/>
      </w:r>
      <w:r w:rsidR="00B418EA" w:rsidRPr="00B418EA">
        <w:rPr>
          <w:rFonts w:cstheme="minorHAnsi"/>
          <w:noProof/>
          <w:sz w:val="24"/>
          <w:szCs w:val="24"/>
        </w:rPr>
        <w:t>Cappellari</w:t>
      </w:r>
      <w:r w:rsidR="00B418EA">
        <w:rPr>
          <w:rFonts w:cstheme="minorHAnsi"/>
          <w:noProof/>
          <w:sz w:val="24"/>
          <w:szCs w:val="24"/>
        </w:rPr>
        <w:t xml:space="preserve"> (</w:t>
      </w:r>
      <w:r w:rsidR="00B418EA" w:rsidRPr="00B418EA">
        <w:rPr>
          <w:rFonts w:cstheme="minorHAnsi"/>
          <w:noProof/>
          <w:sz w:val="24"/>
          <w:szCs w:val="24"/>
        </w:rPr>
        <w:t>2004)</w:t>
      </w:r>
      <w:r w:rsidR="00B418EA">
        <w:rPr>
          <w:rFonts w:cstheme="minorHAnsi"/>
          <w:sz w:val="24"/>
          <w:szCs w:val="24"/>
        </w:rPr>
        <w:fldChar w:fldCharType="end"/>
      </w:r>
      <w:r w:rsidR="00B418EA">
        <w:rPr>
          <w:rFonts w:cstheme="minorHAnsi"/>
          <w:sz w:val="24"/>
          <w:szCs w:val="24"/>
        </w:rPr>
        <w:t xml:space="preserve"> showed that there is a relationship between the resources and high school choice among Italian youth. As far as performances are concerned, private schools are less effective than public ones in terms of educational attainment and future employment. </w:t>
      </w:r>
      <w:r w:rsidR="0039792F">
        <w:rPr>
          <w:rFonts w:cstheme="minorHAnsi"/>
          <w:sz w:val="24"/>
          <w:szCs w:val="24"/>
        </w:rPr>
        <w:t>Controlling for household income, wealth</w:t>
      </w:r>
      <w:r w:rsidR="00740440">
        <w:rPr>
          <w:rFonts w:cstheme="minorHAnsi"/>
          <w:sz w:val="24"/>
          <w:szCs w:val="24"/>
        </w:rPr>
        <w:t>,</w:t>
      </w:r>
      <w:r w:rsidR="0039792F">
        <w:rPr>
          <w:rFonts w:cstheme="minorHAnsi"/>
          <w:sz w:val="24"/>
          <w:szCs w:val="24"/>
        </w:rPr>
        <w:t xml:space="preserve"> and general health status, </w:t>
      </w:r>
      <w:r w:rsidR="0039792F">
        <w:rPr>
          <w:rFonts w:cstheme="minorHAnsi"/>
          <w:sz w:val="24"/>
          <w:szCs w:val="24"/>
        </w:rPr>
        <w:fldChar w:fldCharType="begin" w:fldLock="1"/>
      </w:r>
      <w:r w:rsidR="00714B62">
        <w:rPr>
          <w:rFonts w:cstheme="minorHAnsi"/>
          <w:sz w:val="24"/>
          <w:szCs w:val="24"/>
        </w:rPr>
        <w:instrText>ADDIN CSL_CITATION {"citationItems":[{"id":"ITEM-1","itemData":{"DOI":"10.2139/ssrn.753544","ISSN":"1556-5068","abstract":"Using data from Indonesia, this paper evaluates the impact of school type on academic achievement of junior secondary school students (grades 7-9). Students that graduate from public junior secondary schools, controlling for a variety of other characteristics, score 0.15 to 0.3 standard deviations higher on the national exit exam than comparable privately-schooled peers. This finding is robust to OLS, fixed-effects, and instrumental variable estimation strategies. Students attending Muslim private schools, including Madrassahs, fare no worse on average than students attending secular priva te schools. Our results provide indirect evidence that higher quality inputs at public junior secondary schools promote higher test scores.","author":[{"dropping-particle":"","family":"Newhouse","given":"David Locke","non-dropping-particle":"","parse-names":false,"suffix":""},{"dropping-particle":"","family":"Beegle","given":"Kathleen","non-dropping-particle":"","parse-names":false,"suffix":""}],"container-title":"SSRN Electronic Journal","id":"ITEM-1","issued":{"date-parts":[["2011"]]},"title":"The Effect of School Type on Academic Achievement: Evidence from Indonesia","type":"article-journal"},"uris":["http://www.mendeley.com/documents/?uuid=ec824c5d-254f-44e9-8b35-09708ec9f4f7"]}],"mendeley":{"formattedCitation":"(Newhouse &amp; Beegle, 2011)","manualFormatting":"Newhouse &amp; Beegle  (2011)","plainTextFormattedCitation":"(Newhouse &amp; Beegle, 2011)","previouslyFormattedCitation":"(Newhouse &amp; Beegle, 2011)"},"properties":{"noteIndex":0},"schema":"https://github.com/citation-style-language/schema/raw/master/csl-citation.json"}</w:instrText>
      </w:r>
      <w:r w:rsidR="0039792F">
        <w:rPr>
          <w:rFonts w:cstheme="minorHAnsi"/>
          <w:sz w:val="24"/>
          <w:szCs w:val="24"/>
        </w:rPr>
        <w:fldChar w:fldCharType="separate"/>
      </w:r>
      <w:r w:rsidR="0039792F" w:rsidRPr="0039792F">
        <w:rPr>
          <w:rFonts w:cstheme="minorHAnsi"/>
          <w:noProof/>
          <w:sz w:val="24"/>
          <w:szCs w:val="24"/>
        </w:rPr>
        <w:t>Newhouse &amp; Beegle</w:t>
      </w:r>
      <w:r w:rsidR="0039792F">
        <w:rPr>
          <w:rFonts w:cstheme="minorHAnsi"/>
          <w:noProof/>
          <w:sz w:val="24"/>
          <w:szCs w:val="24"/>
        </w:rPr>
        <w:t xml:space="preserve"> </w:t>
      </w:r>
      <w:r w:rsidR="0039792F" w:rsidRPr="0039792F">
        <w:rPr>
          <w:rFonts w:cstheme="minorHAnsi"/>
          <w:noProof/>
          <w:sz w:val="24"/>
          <w:szCs w:val="24"/>
        </w:rPr>
        <w:t xml:space="preserve"> </w:t>
      </w:r>
      <w:r w:rsidR="0039792F">
        <w:rPr>
          <w:rFonts w:cstheme="minorHAnsi"/>
          <w:noProof/>
          <w:sz w:val="24"/>
          <w:szCs w:val="24"/>
        </w:rPr>
        <w:t>(</w:t>
      </w:r>
      <w:r w:rsidR="0039792F" w:rsidRPr="0039792F">
        <w:rPr>
          <w:rFonts w:cstheme="minorHAnsi"/>
          <w:noProof/>
          <w:sz w:val="24"/>
          <w:szCs w:val="24"/>
        </w:rPr>
        <w:t>2011)</w:t>
      </w:r>
      <w:r w:rsidR="0039792F">
        <w:rPr>
          <w:rFonts w:cstheme="minorHAnsi"/>
          <w:sz w:val="24"/>
          <w:szCs w:val="24"/>
        </w:rPr>
        <w:fldChar w:fldCharType="end"/>
      </w:r>
      <w:r w:rsidR="0039792F">
        <w:rPr>
          <w:rFonts w:cstheme="minorHAnsi"/>
          <w:sz w:val="24"/>
          <w:szCs w:val="24"/>
        </w:rPr>
        <w:t xml:space="preserve"> also argued that students attending public junior secondary schools have</w:t>
      </w:r>
      <w:r w:rsidR="0078486B">
        <w:rPr>
          <w:rFonts w:cstheme="minorHAnsi"/>
          <w:sz w:val="24"/>
          <w:szCs w:val="24"/>
        </w:rPr>
        <w:t xml:space="preserve"> statistically</w:t>
      </w:r>
      <w:r w:rsidR="0039792F">
        <w:rPr>
          <w:rFonts w:cstheme="minorHAnsi"/>
          <w:sz w:val="24"/>
          <w:szCs w:val="24"/>
        </w:rPr>
        <w:t xml:space="preserve"> higher standardized test scores upon comp</w:t>
      </w:r>
      <w:r w:rsidR="00740440">
        <w:rPr>
          <w:rFonts w:cstheme="minorHAnsi"/>
          <w:sz w:val="24"/>
          <w:szCs w:val="24"/>
        </w:rPr>
        <w:t>l</w:t>
      </w:r>
      <w:r w:rsidR="0039792F">
        <w:rPr>
          <w:rFonts w:cstheme="minorHAnsi"/>
          <w:sz w:val="24"/>
          <w:szCs w:val="24"/>
        </w:rPr>
        <w:t>etion compared to their peers i</w:t>
      </w:r>
      <w:r w:rsidR="0078486B">
        <w:rPr>
          <w:rFonts w:cstheme="minorHAnsi"/>
          <w:sz w:val="24"/>
          <w:szCs w:val="24"/>
        </w:rPr>
        <w:t xml:space="preserve">n </w:t>
      </w:r>
      <w:r w:rsidR="0039792F">
        <w:rPr>
          <w:rFonts w:cstheme="minorHAnsi"/>
          <w:sz w:val="24"/>
          <w:szCs w:val="24"/>
        </w:rPr>
        <w:t>private school</w:t>
      </w:r>
      <w:r w:rsidR="00714B62">
        <w:rPr>
          <w:rFonts w:cstheme="minorHAnsi"/>
          <w:sz w:val="24"/>
          <w:szCs w:val="24"/>
        </w:rPr>
        <w:t xml:space="preserve"> </w:t>
      </w:r>
      <w:r w:rsidR="00714B62">
        <w:rPr>
          <w:rFonts w:cstheme="minorHAnsi"/>
          <w:sz w:val="24"/>
          <w:szCs w:val="24"/>
        </w:rPr>
        <w:fldChar w:fldCharType="begin" w:fldLock="1"/>
      </w:r>
      <w:r w:rsidR="00714B62">
        <w:rPr>
          <w:rFonts w:cstheme="minorHAnsi"/>
          <w:sz w:val="24"/>
          <w:szCs w:val="24"/>
        </w:rPr>
        <w:instrText>ADDIN CSL_CITATION {"citationItems":[{"id":"ITEM-1","itemData":{"DOI":"10.2139/ssrn.753544","ISSN":"1556-5068","abstract":"Using data from Indonesia, this paper evaluates the impact of school type on academic achievement of junior secondary school students (grades 7-9). Students that graduate from public junior secondary schools, controlling for a variety of other characteristics, score 0.15 to 0.3 standard deviations higher on the national exit exam than comparable privately-schooled peers. This finding is robust to OLS, fixed-effects, and instrumental variable estimation strategies. Students attending Muslim private schools, including Madrassahs, fare no worse on average than students attending secular priva te schools. Our results provide indirect evidence that higher quality inputs at public junior secondary schools promote higher test scores.","author":[{"dropping-particle":"","family":"Newhouse","given":"David Locke","non-dropping-particle":"","parse-names":false,"suffix":""},{"dropping-particle":"","family":"Beegle","given":"Kathleen","non-dropping-particle":"","parse-names":false,"suffix":""}],"container-title":"SSRN Electronic Journal","id":"ITEM-1","issued":{"date-parts":[["2011"]]},"title":"The Effect of School Type on Academic Achievement: Evidence from Indonesia","type":"article-journal"},"uris":["http://www.mendeley.com/documents/?uuid=ec824c5d-254f-44e9-8b35-09708ec9f4f7"]}],"mendeley":{"formattedCitation":"(Newhouse &amp; Beegle, 2011)","plainTextFormattedCitation":"(Newhouse &amp; Beegle, 2011)","previouslyFormattedCitation":"(Newhouse &amp; Beegle, 2011)"},"properties":{"noteIndex":0},"schema":"https://github.com/citation-style-language/schema/raw/master/csl-citation.json"}</w:instrText>
      </w:r>
      <w:r w:rsidR="00714B62">
        <w:rPr>
          <w:rFonts w:cstheme="minorHAnsi"/>
          <w:sz w:val="24"/>
          <w:szCs w:val="24"/>
        </w:rPr>
        <w:fldChar w:fldCharType="separate"/>
      </w:r>
      <w:r w:rsidR="00714B62" w:rsidRPr="00714B62">
        <w:rPr>
          <w:rFonts w:cstheme="minorHAnsi"/>
          <w:noProof/>
          <w:sz w:val="24"/>
          <w:szCs w:val="24"/>
        </w:rPr>
        <w:t>(Newhouse &amp; Beegle, 2011)</w:t>
      </w:r>
      <w:r w:rsidR="00714B62">
        <w:rPr>
          <w:rFonts w:cstheme="minorHAnsi"/>
          <w:sz w:val="24"/>
          <w:szCs w:val="24"/>
        </w:rPr>
        <w:fldChar w:fldCharType="end"/>
      </w:r>
      <w:r w:rsidR="0039792F">
        <w:rPr>
          <w:rFonts w:cstheme="minorHAnsi"/>
          <w:sz w:val="24"/>
          <w:szCs w:val="24"/>
        </w:rPr>
        <w:t xml:space="preserve">. </w:t>
      </w:r>
      <w:r w:rsidR="005323C3">
        <w:rPr>
          <w:rFonts w:cstheme="minorHAnsi"/>
          <w:sz w:val="24"/>
          <w:szCs w:val="24"/>
        </w:rPr>
        <w:t>Besides, s</w:t>
      </w:r>
      <w:r w:rsidR="00714B62">
        <w:rPr>
          <w:rFonts w:cstheme="minorHAnsi"/>
          <w:sz w:val="24"/>
          <w:szCs w:val="24"/>
        </w:rPr>
        <w:t xml:space="preserve">tudents in charter schools prone to be more proficient in both reading and math when matched to regular public school students </w:t>
      </w:r>
      <w:r w:rsidR="00714B62">
        <w:rPr>
          <w:rFonts w:cstheme="minorHAnsi"/>
          <w:sz w:val="24"/>
          <w:szCs w:val="24"/>
        </w:rPr>
        <w:fldChar w:fldCharType="begin" w:fldLock="1"/>
      </w:r>
      <w:r w:rsidR="009441C4">
        <w:rPr>
          <w:rFonts w:cstheme="minorHAnsi"/>
          <w:sz w:val="24"/>
          <w:szCs w:val="24"/>
        </w:rPr>
        <w:instrText>ADDIN CSL_CITATION {"citationItems":[{"id":"ITEM-1","itemData":{"author":[{"dropping-particle":"","family":"Hoxby","given":"Caroline M.","non-dropping-particle":"","parse-names":false,"suffix":""}],"id":"ITEM-1","issued":{"date-parts":[["2004"]]},"publisher-place":"Cambridge, MA: Department of Economics, Harvard University","title":"Achievement in Charter Schools and Regular Public Schools in the United States: Understanding the Differences.","type":"chapter"},"uris":["http://www.mendeley.com/documents/?uuid=a3510102-44a3-4801-a542-9aa9191bc1b6"]}],"mendeley":{"formattedCitation":"(Hoxby, 2004)","plainTextFormattedCitation":"(Hoxby, 2004)","previouslyFormattedCitation":"(Hoxby, 2004)"},"properties":{"noteIndex":0},"schema":"https://github.com/citation-style-language/schema/raw/master/csl-citation.json"}</w:instrText>
      </w:r>
      <w:r w:rsidR="00714B62">
        <w:rPr>
          <w:rFonts w:cstheme="minorHAnsi"/>
          <w:sz w:val="24"/>
          <w:szCs w:val="24"/>
        </w:rPr>
        <w:fldChar w:fldCharType="separate"/>
      </w:r>
      <w:r w:rsidR="00714B62" w:rsidRPr="00714B62">
        <w:rPr>
          <w:rFonts w:cstheme="minorHAnsi"/>
          <w:noProof/>
          <w:sz w:val="24"/>
          <w:szCs w:val="24"/>
        </w:rPr>
        <w:t>(Hoxby, 2004)</w:t>
      </w:r>
      <w:r w:rsidR="00714B62">
        <w:rPr>
          <w:rFonts w:cstheme="minorHAnsi"/>
          <w:sz w:val="24"/>
          <w:szCs w:val="24"/>
        </w:rPr>
        <w:fldChar w:fldCharType="end"/>
      </w:r>
      <w:r w:rsidR="00714B62">
        <w:rPr>
          <w:rFonts w:cstheme="minorHAnsi"/>
          <w:sz w:val="24"/>
          <w:szCs w:val="24"/>
        </w:rPr>
        <w:t xml:space="preserve">. On the contrary, </w:t>
      </w:r>
      <w:r w:rsidR="00714B62">
        <w:rPr>
          <w:rFonts w:cstheme="minorHAnsi"/>
          <w:sz w:val="24"/>
          <w:szCs w:val="24"/>
        </w:rPr>
        <w:fldChar w:fldCharType="begin" w:fldLock="1"/>
      </w:r>
      <w:r w:rsidR="00714B62">
        <w:rPr>
          <w:rFonts w:cstheme="minorHAnsi"/>
          <w:sz w:val="24"/>
          <w:szCs w:val="24"/>
        </w:rPr>
        <w:instrText>ADDIN CSL_CITATION {"citationItems":[{"id":"ITEM-1","itemData":{"author":[{"dropping-particle":"","family":"Lubienski","given":"Sarah Theule","non-dropping-particle":"","parse-names":false,"suffix":""},{"dropping-particle":"","family":"Lubienski","given":"Christopher","non-dropping-particle":"","parse-names":false,"suffix":""}],"container-title":"American Educational Research Journal","id":"ITEM-1","issue":"4","issued":{"date-parts":[["2006"]]},"page":"651-698","title":"Mathematics Data","type":"article-journal","volume":"43"},"uris":["http://www.mendeley.com/documents/?uuid=fdc03077-6fc9-4622-af77-e0632de15fe8"]}],"mendeley":{"formattedCitation":"(Lubienski &amp; Lubienski, 2006)","manualFormatting":"Lubienski &amp; Lubienski (2006)","plainTextFormattedCitation":"(Lubienski &amp; Lubienski, 2006)","previouslyFormattedCitation":"(Lubienski &amp; Lubienski, 2006)"},"properties":{"noteIndex":0},"schema":"https://github.com/citation-style-language/schema/raw/master/csl-citation.json"}</w:instrText>
      </w:r>
      <w:r w:rsidR="00714B62">
        <w:rPr>
          <w:rFonts w:cstheme="minorHAnsi"/>
          <w:sz w:val="24"/>
          <w:szCs w:val="24"/>
        </w:rPr>
        <w:fldChar w:fldCharType="separate"/>
      </w:r>
      <w:r w:rsidR="00714B62" w:rsidRPr="00714B62">
        <w:rPr>
          <w:rFonts w:cstheme="minorHAnsi"/>
          <w:noProof/>
          <w:sz w:val="24"/>
          <w:szCs w:val="24"/>
        </w:rPr>
        <w:t xml:space="preserve">Lubienski &amp; Lubienski </w:t>
      </w:r>
      <w:r w:rsidR="00714B62">
        <w:rPr>
          <w:rFonts w:cstheme="minorHAnsi"/>
          <w:noProof/>
          <w:sz w:val="24"/>
          <w:szCs w:val="24"/>
        </w:rPr>
        <w:t>(</w:t>
      </w:r>
      <w:r w:rsidR="00714B62" w:rsidRPr="00714B62">
        <w:rPr>
          <w:rFonts w:cstheme="minorHAnsi"/>
          <w:noProof/>
          <w:sz w:val="24"/>
          <w:szCs w:val="24"/>
        </w:rPr>
        <w:t>2006)</w:t>
      </w:r>
      <w:r w:rsidR="00714B62">
        <w:rPr>
          <w:rFonts w:cstheme="minorHAnsi"/>
          <w:sz w:val="24"/>
          <w:szCs w:val="24"/>
        </w:rPr>
        <w:fldChar w:fldCharType="end"/>
      </w:r>
      <w:r w:rsidR="00714B62">
        <w:rPr>
          <w:rFonts w:cstheme="minorHAnsi"/>
          <w:sz w:val="24"/>
          <w:szCs w:val="24"/>
        </w:rPr>
        <w:t xml:space="preserve"> stated that demographical differences can be held accountable for differences in math scores rather than school sectors.</w:t>
      </w:r>
    </w:p>
    <w:p w14:paraId="125A899F" w14:textId="69609245" w:rsidR="00915D4D" w:rsidRPr="001C713C" w:rsidRDefault="00DB2D7D" w:rsidP="006E2B80">
      <w:pPr>
        <w:pStyle w:val="Heading1"/>
      </w:pPr>
      <w:bookmarkStart w:id="28" w:name="_Toc64591270"/>
      <w:r>
        <w:lastRenderedPageBreak/>
        <w:t>Chapter 3</w:t>
      </w:r>
      <w:r w:rsidR="00CD64D5">
        <w:t>.</w:t>
      </w:r>
      <w:r>
        <w:t xml:space="preserve"> -</w:t>
      </w:r>
      <w:r w:rsidR="00915D4D" w:rsidRPr="001C713C">
        <w:t xml:space="preserve"> Data Source and Methods</w:t>
      </w:r>
      <w:bookmarkEnd w:id="28"/>
    </w:p>
    <w:p w14:paraId="365E54B5" w14:textId="283561C1"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The </w:t>
      </w:r>
      <w:r w:rsidR="00547A90">
        <w:rPr>
          <w:rFonts w:cstheme="minorHAnsi"/>
          <w:sz w:val="24"/>
          <w:szCs w:val="24"/>
        </w:rPr>
        <w:t>data</w:t>
      </w:r>
      <w:r w:rsidRPr="001C713C">
        <w:rPr>
          <w:rFonts w:cstheme="minorHAnsi"/>
          <w:sz w:val="24"/>
          <w:szCs w:val="24"/>
        </w:rPr>
        <w:t xml:space="preserve"> used for my empirical research will be </w:t>
      </w:r>
      <w:r w:rsidR="00284A93">
        <w:rPr>
          <w:rFonts w:cstheme="minorHAnsi"/>
          <w:sz w:val="24"/>
          <w:szCs w:val="24"/>
        </w:rPr>
        <w:t xml:space="preserve">an extract from the </w:t>
      </w:r>
      <w:r w:rsidRPr="001C713C">
        <w:rPr>
          <w:rFonts w:cstheme="minorHAnsi"/>
          <w:sz w:val="24"/>
          <w:szCs w:val="24"/>
        </w:rPr>
        <w:t xml:space="preserve">repeated cross-sectional data from the </w:t>
      </w:r>
      <w:r w:rsidR="00FE17EF">
        <w:rPr>
          <w:rFonts w:cstheme="minorHAnsi"/>
          <w:sz w:val="24"/>
          <w:szCs w:val="24"/>
        </w:rPr>
        <w:t>Hungarian Life Course Survey (HLCS)</w:t>
      </w:r>
      <w:r w:rsidRPr="001C713C">
        <w:rPr>
          <w:rFonts w:cstheme="minorHAnsi"/>
          <w:sz w:val="24"/>
          <w:szCs w:val="24"/>
        </w:rPr>
        <w:t xml:space="preserve"> </w:t>
      </w:r>
      <w:r w:rsidR="00FE17EF">
        <w:rPr>
          <w:rFonts w:cstheme="minorHAnsi"/>
          <w:sz w:val="24"/>
          <w:szCs w:val="24"/>
        </w:rPr>
        <w:t xml:space="preserve">of TÁRKI </w:t>
      </w:r>
      <w:r w:rsidRPr="001C713C">
        <w:rPr>
          <w:rFonts w:cstheme="minorHAnsi"/>
          <w:sz w:val="24"/>
          <w:szCs w:val="24"/>
        </w:rPr>
        <w:t xml:space="preserve">conducted in Hungary. It consists of the inputs of a detailed </w:t>
      </w:r>
      <w:r w:rsidR="00621D53">
        <w:rPr>
          <w:rFonts w:cstheme="minorHAnsi"/>
          <w:sz w:val="24"/>
          <w:szCs w:val="24"/>
        </w:rPr>
        <w:t>cross-sectional</w:t>
      </w:r>
      <w:r w:rsidR="00FE17EF">
        <w:rPr>
          <w:rFonts w:cstheme="minorHAnsi"/>
          <w:sz w:val="24"/>
          <w:szCs w:val="24"/>
        </w:rPr>
        <w:t xml:space="preserve"> survey</w:t>
      </w:r>
      <w:r w:rsidRPr="001C713C">
        <w:rPr>
          <w:rFonts w:cstheme="minorHAnsi"/>
          <w:sz w:val="24"/>
          <w:szCs w:val="24"/>
        </w:rPr>
        <w:t xml:space="preserve"> from 2006 to 20</w:t>
      </w:r>
      <w:r w:rsidR="00284A93">
        <w:rPr>
          <w:rFonts w:cstheme="minorHAnsi"/>
          <w:sz w:val="24"/>
          <w:szCs w:val="24"/>
        </w:rPr>
        <w:t>09</w:t>
      </w:r>
      <w:r w:rsidRPr="001C713C">
        <w:rPr>
          <w:rFonts w:cstheme="minorHAnsi"/>
          <w:sz w:val="24"/>
          <w:szCs w:val="24"/>
        </w:rPr>
        <w:t xml:space="preserve"> </w:t>
      </w:r>
      <w:r w:rsidR="005B4CDC">
        <w:rPr>
          <w:rFonts w:cstheme="minorHAnsi"/>
          <w:sz w:val="24"/>
          <w:szCs w:val="24"/>
        </w:rPr>
        <w:t>add</w:t>
      </w:r>
      <w:r w:rsidRPr="001C713C">
        <w:rPr>
          <w:rFonts w:cstheme="minorHAnsi"/>
          <w:sz w:val="24"/>
          <w:szCs w:val="24"/>
        </w:rPr>
        <w:t>ressing a cohort of children starting secondary school in 2006 as 9</w:t>
      </w:r>
      <w:r w:rsidRPr="001C713C">
        <w:rPr>
          <w:rFonts w:cstheme="minorHAnsi"/>
          <w:sz w:val="24"/>
          <w:szCs w:val="24"/>
          <w:vertAlign w:val="superscript"/>
        </w:rPr>
        <w:t>th</w:t>
      </w:r>
      <w:r w:rsidRPr="001C713C">
        <w:rPr>
          <w:rFonts w:cstheme="minorHAnsi"/>
          <w:sz w:val="24"/>
          <w:szCs w:val="24"/>
        </w:rPr>
        <w:t xml:space="preserve"> graders.</w:t>
      </w:r>
      <w:r w:rsidR="00547A90" w:rsidRPr="00547A90">
        <w:rPr>
          <w:rFonts w:cstheme="minorHAnsi"/>
          <w:sz w:val="24"/>
          <w:szCs w:val="24"/>
        </w:rPr>
        <w:t xml:space="preserve"> </w:t>
      </w:r>
      <w:r w:rsidR="00547A90" w:rsidRPr="00F909A5">
        <w:rPr>
          <w:rFonts w:cstheme="minorHAnsi"/>
          <w:sz w:val="24"/>
          <w:szCs w:val="24"/>
        </w:rPr>
        <w:t xml:space="preserve">The </w:t>
      </w:r>
      <w:r w:rsidR="00547A90">
        <w:rPr>
          <w:rFonts w:cstheme="minorHAnsi"/>
          <w:sz w:val="24"/>
          <w:szCs w:val="24"/>
        </w:rPr>
        <w:t xml:space="preserve">initial </w:t>
      </w:r>
      <w:r w:rsidR="00547A90" w:rsidRPr="00F909A5">
        <w:rPr>
          <w:rFonts w:cstheme="minorHAnsi"/>
          <w:sz w:val="24"/>
          <w:szCs w:val="24"/>
        </w:rPr>
        <w:t xml:space="preserve">sample </w:t>
      </w:r>
      <w:r w:rsidR="00547A90">
        <w:rPr>
          <w:rFonts w:cstheme="minorHAnsi"/>
          <w:sz w:val="24"/>
          <w:szCs w:val="24"/>
        </w:rPr>
        <w:t>size was 10,022 in 2006 which decreased to 8,333 due to sample attrition.</w:t>
      </w:r>
      <w:r w:rsidRPr="001C713C">
        <w:rPr>
          <w:rFonts w:cstheme="minorHAnsi"/>
          <w:sz w:val="24"/>
          <w:szCs w:val="24"/>
        </w:rPr>
        <w:t xml:space="preserve"> </w:t>
      </w:r>
      <w:r w:rsidR="00FE17EF">
        <w:rPr>
          <w:rFonts w:cstheme="minorHAnsi"/>
          <w:sz w:val="24"/>
          <w:szCs w:val="24"/>
        </w:rPr>
        <w:t>The sample is representative of the Hungarian student population, with oversampling the lower end of the social status distribution (more on the sampling see</w:t>
      </w:r>
      <w:r w:rsidR="00391435">
        <w:rPr>
          <w:rFonts w:cstheme="minorHAnsi"/>
          <w:sz w:val="24"/>
          <w:szCs w:val="24"/>
        </w:rPr>
        <w:t xml:space="preserve"> </w:t>
      </w:r>
      <w:r w:rsidR="00391435">
        <w:rPr>
          <w:rFonts w:cstheme="minorHAnsi"/>
          <w:sz w:val="24"/>
          <w:szCs w:val="24"/>
        </w:rPr>
        <w:fldChar w:fldCharType="begin" w:fldLock="1"/>
      </w:r>
      <w:r w:rsidR="00A020FD">
        <w:rPr>
          <w:rFonts w:cstheme="minorHAnsi"/>
          <w:sz w:val="24"/>
          <w:szCs w:val="24"/>
        </w:rPr>
        <w:instrText>ADDIN CSL_CITATION {"citationItems":[{"id":"ITEM-1","itemData":{"DOI":"10.1257/aer.101.3.519","ISSN":"00028282","abstract":"This paper documents and decomposes the test score gap between Roma and non-Roma 8th graders in Hungary in 2006. Our data connect national standardized test scores to an individual panel survey with detailed data on ethnicity and family background. The test score gap is approximately one standard deviation for both reading and mathematics, which is similar to the gap between African-American and White students of the same age group in the US in the 1980s. After accounting for on health, parenting, school fixed effects and family background, the gap disappears in reading and drops to 0.15 standard deviation in mathematics. © 2011 AEA. The American Economic Association is hosted by Vanderbilt University.","author":[{"dropping-particle":"","family":"Kertesi","given":"Gábor","non-dropping-particle":"","parse-names":false,"suffix":""},{"dropping-particle":"","family":"Kézdi","given":"Gábor","non-dropping-particle":"","parse-names":false,"suffix":""}],"container-title":"American Economic Review","id":"ITEM-1","issue":"3","issued":{"date-parts":[["2011"]]},"page":"519-525","title":"The Roma/non-Roma test score gap in Hungary","type":"article-journal","volume":"101"},"uris":["http://www.mendeley.com/documents/?uuid=ac94c5f5-5364-408c-8869-0b7adabd69bb"]}],"mendeley":{"formattedCitation":"(Kertesi &amp; Kézdi, 2011)","plainTextFormattedCitation":"(Kertesi &amp; Kézdi, 2011)","previouslyFormattedCitation":"(Kertesi &amp; Kézdi, 2011)"},"properties":{"noteIndex":0},"schema":"https://github.com/citation-style-language/schema/raw/master/csl-citation.json"}</w:instrText>
      </w:r>
      <w:r w:rsidR="00391435">
        <w:rPr>
          <w:rFonts w:cstheme="minorHAnsi"/>
          <w:sz w:val="24"/>
          <w:szCs w:val="24"/>
        </w:rPr>
        <w:fldChar w:fldCharType="separate"/>
      </w:r>
      <w:r w:rsidR="00391435" w:rsidRPr="00391435">
        <w:rPr>
          <w:rFonts w:cstheme="minorHAnsi"/>
          <w:noProof/>
          <w:sz w:val="24"/>
          <w:szCs w:val="24"/>
        </w:rPr>
        <w:t>(Kertesi &amp; Kézdi, 2011)</w:t>
      </w:r>
      <w:r w:rsidR="00391435">
        <w:rPr>
          <w:rFonts w:cstheme="minorHAnsi"/>
          <w:sz w:val="24"/>
          <w:szCs w:val="24"/>
        </w:rPr>
        <w:fldChar w:fldCharType="end"/>
      </w:r>
      <w:r w:rsidR="00FE17EF">
        <w:rPr>
          <w:rFonts w:cstheme="minorHAnsi"/>
          <w:sz w:val="24"/>
          <w:szCs w:val="24"/>
        </w:rPr>
        <w:t xml:space="preserve">). </w:t>
      </w:r>
      <w:r w:rsidRPr="001C713C">
        <w:rPr>
          <w:rFonts w:cstheme="minorHAnsi"/>
          <w:sz w:val="24"/>
          <w:szCs w:val="24"/>
        </w:rPr>
        <w:t>Approximately, 1</w:t>
      </w:r>
      <w:r w:rsidR="00547A90">
        <w:rPr>
          <w:rFonts w:cstheme="minorHAnsi"/>
          <w:sz w:val="24"/>
          <w:szCs w:val="24"/>
        </w:rPr>
        <w:t>,</w:t>
      </w:r>
      <w:r w:rsidRPr="001C713C">
        <w:rPr>
          <w:rFonts w:cstheme="minorHAnsi"/>
          <w:sz w:val="24"/>
          <w:szCs w:val="24"/>
        </w:rPr>
        <w:t xml:space="preserve">500 questions </w:t>
      </w:r>
      <w:r w:rsidR="00E93E37">
        <w:rPr>
          <w:rFonts w:cstheme="minorHAnsi"/>
          <w:sz w:val="24"/>
          <w:szCs w:val="24"/>
        </w:rPr>
        <w:t xml:space="preserve">formed according to the National Longitudinal Surveys of Youth in the United States (NLSY79), </w:t>
      </w:r>
      <w:r w:rsidRPr="001C713C">
        <w:rPr>
          <w:rFonts w:cstheme="minorHAnsi"/>
          <w:sz w:val="24"/>
          <w:szCs w:val="24"/>
        </w:rPr>
        <w:t>were asked from children</w:t>
      </w:r>
      <w:r w:rsidR="00E93E37">
        <w:rPr>
          <w:rFonts w:cstheme="minorHAnsi"/>
          <w:sz w:val="24"/>
          <w:szCs w:val="24"/>
        </w:rPr>
        <w:t xml:space="preserve"> and parents</w:t>
      </w:r>
      <w:r w:rsidRPr="001C713C">
        <w:rPr>
          <w:rFonts w:cstheme="minorHAnsi"/>
          <w:sz w:val="24"/>
          <w:szCs w:val="24"/>
        </w:rPr>
        <w:t xml:space="preserve"> </w:t>
      </w:r>
      <w:r w:rsidR="00E93E37">
        <w:rPr>
          <w:rFonts w:cstheme="minorHAnsi"/>
          <w:sz w:val="24"/>
          <w:szCs w:val="24"/>
        </w:rPr>
        <w:t>of different households and regions. The questionnaire</w:t>
      </w:r>
      <w:r w:rsidRPr="001C713C">
        <w:rPr>
          <w:rFonts w:cstheme="minorHAnsi"/>
          <w:sz w:val="24"/>
          <w:szCs w:val="24"/>
        </w:rPr>
        <w:t xml:space="preserve"> covers almost every corner of their socioeconomic background, past and current happenings in their life. Besides, it touches upon the </w:t>
      </w:r>
      <w:r w:rsidR="00650AC4">
        <w:rPr>
          <w:rFonts w:cstheme="minorHAnsi"/>
          <w:sz w:val="24"/>
          <w:szCs w:val="24"/>
        </w:rPr>
        <w:t>cognitive and emotional skills</w:t>
      </w:r>
      <w:r w:rsidRPr="001C713C">
        <w:rPr>
          <w:rFonts w:cstheme="minorHAnsi"/>
          <w:sz w:val="24"/>
          <w:szCs w:val="24"/>
        </w:rPr>
        <w:t xml:space="preserve"> of the children. In the following subsections, I will provide an elaborate description of the initial data recorded in </w:t>
      </w:r>
      <w:r w:rsidR="000A7C88" w:rsidRPr="001C713C">
        <w:rPr>
          <w:rFonts w:cstheme="minorHAnsi"/>
          <w:sz w:val="24"/>
          <w:szCs w:val="24"/>
        </w:rPr>
        <w:t>2006 and</w:t>
      </w:r>
      <w:r w:rsidRPr="001C713C">
        <w:rPr>
          <w:rFonts w:cstheme="minorHAnsi"/>
          <w:sz w:val="24"/>
          <w:szCs w:val="24"/>
        </w:rPr>
        <w:t xml:space="preserve"> discuss the difference in the </w:t>
      </w:r>
      <w:r w:rsidR="00A718A0">
        <w:rPr>
          <w:rFonts w:cstheme="minorHAnsi"/>
          <w:sz w:val="24"/>
          <w:szCs w:val="24"/>
        </w:rPr>
        <w:t>point estimates</w:t>
      </w:r>
      <w:r w:rsidRPr="001C713C">
        <w:rPr>
          <w:rFonts w:cstheme="minorHAnsi"/>
          <w:sz w:val="24"/>
          <w:szCs w:val="24"/>
        </w:rPr>
        <w:t xml:space="preserve"> of intact and non-intact families, then I will turn to the empirical approach towards the estimation which will show us whether there is a causal relationship between the parental separation and the deterioration of academic performance.</w:t>
      </w:r>
    </w:p>
    <w:p w14:paraId="5BE46337" w14:textId="1561E327" w:rsidR="00915D4D" w:rsidRPr="001C713C" w:rsidRDefault="00312005" w:rsidP="005944F8">
      <w:pPr>
        <w:pStyle w:val="Heading2"/>
      </w:pPr>
      <w:bookmarkStart w:id="29" w:name="_Toc64591271"/>
      <w:r>
        <w:t>3</w:t>
      </w:r>
      <w:r w:rsidR="00915D4D" w:rsidRPr="001C713C">
        <w:t>.1. Frequencies and Cross Tabulations</w:t>
      </w:r>
      <w:bookmarkEnd w:id="29"/>
    </w:p>
    <w:p w14:paraId="2F866EB4" w14:textId="301E7D13" w:rsidR="00D42EA0" w:rsidRPr="001C713C" w:rsidRDefault="00915D4D" w:rsidP="006E2B80">
      <w:pPr>
        <w:spacing w:line="360" w:lineRule="auto"/>
        <w:ind w:firstLine="397"/>
        <w:jc w:val="both"/>
        <w:rPr>
          <w:rFonts w:cstheme="minorHAnsi"/>
          <w:sz w:val="24"/>
          <w:szCs w:val="24"/>
        </w:rPr>
      </w:pPr>
      <w:r w:rsidRPr="001C713C">
        <w:rPr>
          <w:rFonts w:cstheme="minorHAnsi"/>
          <w:sz w:val="24"/>
          <w:szCs w:val="24"/>
        </w:rPr>
        <w:t>Starting with the time-invariant characteristics of the individuals, 5</w:t>
      </w:r>
      <w:r w:rsidR="00312005">
        <w:rPr>
          <w:rFonts w:cstheme="minorHAnsi"/>
          <w:sz w:val="24"/>
          <w:szCs w:val="24"/>
        </w:rPr>
        <w:t>3</w:t>
      </w:r>
      <w:r w:rsidRPr="001C713C">
        <w:rPr>
          <w:rFonts w:cstheme="minorHAnsi"/>
          <w:sz w:val="24"/>
          <w:szCs w:val="24"/>
        </w:rPr>
        <w:t xml:space="preserve">% of the adolescents were males and </w:t>
      </w:r>
      <w:r w:rsidR="00312005">
        <w:rPr>
          <w:rFonts w:cstheme="minorHAnsi"/>
          <w:sz w:val="24"/>
          <w:szCs w:val="24"/>
        </w:rPr>
        <w:t>3</w:t>
      </w:r>
      <w:r w:rsidRPr="001C713C">
        <w:rPr>
          <w:rFonts w:cstheme="minorHAnsi"/>
          <w:sz w:val="24"/>
          <w:szCs w:val="24"/>
        </w:rPr>
        <w:t xml:space="preserve">6% were females (see Appendix </w:t>
      </w:r>
      <w:r w:rsidR="00312005">
        <w:rPr>
          <w:rFonts w:cstheme="minorHAnsi"/>
          <w:sz w:val="24"/>
          <w:szCs w:val="24"/>
        </w:rPr>
        <w:t>3</w:t>
      </w:r>
      <w:r w:rsidRPr="001C713C">
        <w:rPr>
          <w:rFonts w:cstheme="minorHAnsi"/>
          <w:sz w:val="24"/>
          <w:szCs w:val="24"/>
        </w:rPr>
        <w:t xml:space="preserve">.1.). </w:t>
      </w:r>
      <w:r w:rsidR="00CE31C5">
        <w:rPr>
          <w:rFonts w:cstheme="minorHAnsi"/>
          <w:sz w:val="24"/>
          <w:szCs w:val="24"/>
        </w:rPr>
        <w:t xml:space="preserve">Similar to </w:t>
      </w:r>
      <w:r w:rsidR="00CE31C5" w:rsidRPr="00391435">
        <w:rPr>
          <w:rFonts w:cstheme="minorHAnsi"/>
          <w:noProof/>
          <w:sz w:val="24"/>
          <w:szCs w:val="24"/>
        </w:rPr>
        <w:t xml:space="preserve">Kertesi &amp; Kézdi </w:t>
      </w:r>
      <w:r w:rsidR="00CE31C5">
        <w:rPr>
          <w:rFonts w:cstheme="minorHAnsi"/>
          <w:noProof/>
          <w:sz w:val="24"/>
          <w:szCs w:val="24"/>
        </w:rPr>
        <w:t>(</w:t>
      </w:r>
      <w:r w:rsidR="00CE31C5" w:rsidRPr="00391435">
        <w:rPr>
          <w:rFonts w:cstheme="minorHAnsi"/>
          <w:noProof/>
          <w:sz w:val="24"/>
          <w:szCs w:val="24"/>
        </w:rPr>
        <w:t>2011</w:t>
      </w:r>
      <w:r w:rsidR="00CE31C5">
        <w:rPr>
          <w:rFonts w:cstheme="minorHAnsi"/>
          <w:noProof/>
          <w:sz w:val="24"/>
          <w:szCs w:val="24"/>
        </w:rPr>
        <w:t>), w</w:t>
      </w:r>
      <w:proofErr w:type="spellStart"/>
      <w:r w:rsidR="00391435">
        <w:rPr>
          <w:rFonts w:cstheme="minorHAnsi"/>
          <w:sz w:val="24"/>
          <w:szCs w:val="24"/>
        </w:rPr>
        <w:t>e</w:t>
      </w:r>
      <w:proofErr w:type="spellEnd"/>
      <w:r w:rsidR="00391435">
        <w:rPr>
          <w:rFonts w:cstheme="minorHAnsi"/>
          <w:sz w:val="24"/>
          <w:szCs w:val="24"/>
        </w:rPr>
        <w:t xml:space="preserve"> will consider</w:t>
      </w:r>
      <w:r w:rsidR="00EE6BD8">
        <w:rPr>
          <w:rFonts w:cstheme="minorHAnsi"/>
          <w:sz w:val="24"/>
          <w:szCs w:val="24"/>
        </w:rPr>
        <w:t xml:space="preserve"> as</w:t>
      </w:r>
      <w:r w:rsidR="00391435">
        <w:rPr>
          <w:rFonts w:cstheme="minorHAnsi"/>
          <w:sz w:val="24"/>
          <w:szCs w:val="24"/>
        </w:rPr>
        <w:t xml:space="preserve"> Roma all students who have</w:t>
      </w:r>
      <w:r w:rsidRPr="001C713C">
        <w:rPr>
          <w:rFonts w:cstheme="minorHAnsi"/>
          <w:sz w:val="24"/>
          <w:szCs w:val="24"/>
        </w:rPr>
        <w:t xml:space="preserve"> at least one </w:t>
      </w:r>
      <w:r w:rsidR="00503954">
        <w:rPr>
          <w:rFonts w:cstheme="minorHAnsi"/>
          <w:sz w:val="24"/>
          <w:szCs w:val="24"/>
        </w:rPr>
        <w:t xml:space="preserve">biological </w:t>
      </w:r>
      <w:r w:rsidRPr="001C713C">
        <w:rPr>
          <w:rFonts w:cstheme="minorHAnsi"/>
          <w:sz w:val="24"/>
          <w:szCs w:val="24"/>
        </w:rPr>
        <w:t xml:space="preserve">parent </w:t>
      </w:r>
      <w:r w:rsidR="00391435">
        <w:rPr>
          <w:rFonts w:cstheme="minorHAnsi"/>
          <w:sz w:val="24"/>
          <w:szCs w:val="24"/>
        </w:rPr>
        <w:t>identifying themselves as Roma</w:t>
      </w:r>
      <w:r w:rsidR="00503954">
        <w:rPr>
          <w:rFonts w:cstheme="minorHAnsi"/>
          <w:sz w:val="24"/>
          <w:szCs w:val="24"/>
        </w:rPr>
        <w:t xml:space="preserve"> either primarily or secondarily</w:t>
      </w:r>
      <w:r w:rsidR="00A020FD">
        <w:rPr>
          <w:rFonts w:cstheme="minorHAnsi"/>
          <w:sz w:val="24"/>
          <w:szCs w:val="24"/>
        </w:rPr>
        <w:t xml:space="preserve"> </w:t>
      </w:r>
      <w:r w:rsidR="00A020FD">
        <w:rPr>
          <w:rFonts w:cstheme="minorHAnsi"/>
          <w:sz w:val="24"/>
          <w:szCs w:val="24"/>
        </w:rPr>
        <w:fldChar w:fldCharType="begin" w:fldLock="1"/>
      </w:r>
      <w:r w:rsidR="002B76DF">
        <w:rPr>
          <w:rFonts w:cstheme="minorHAnsi"/>
          <w:sz w:val="24"/>
          <w:szCs w:val="24"/>
        </w:rPr>
        <w:instrText>ADDIN CSL_CITATION {"citationItems":[{"id":"ITEM-1","itemData":{"DOI":"10.1257/aer.101.3.519","ISSN":"00028282","abstract":"This paper documents and decomposes the test score gap between Roma and non-Roma 8th graders in Hungary in 2006. Our data connect national standardized test scores to an individual panel survey with detailed data on ethnicity and family background. The test score gap is approximately one standard deviation for both reading and mathematics, which is similar to the gap between African-American and White students of the same age group in the US in the 1980s. After accounting for on health, parenting, school fixed effects and family background, the gap disappears in reading and drops to 0.15 standard deviation in mathematics. © 2011 AEA. The American Economic Association is hosted by Vanderbilt University.","author":[{"dropping-particle":"","family":"Kertesi","given":"Gábor","non-dropping-particle":"","parse-names":false,"suffix":""},{"dropping-particle":"","family":"Kézdi","given":"Gábor","non-dropping-particle":"","parse-names":false,"suffix":""}],"container-title":"American Economic Review","id":"ITEM-1","issue":"3","issued":{"date-parts":[["2011"]]},"page":"519-525","title":"The Roma/non-Roma test score gap in Hungary","type":"article-journal","volume":"101"},"uris":["http://www.mendeley.com/documents/?uuid=ac94c5f5-5364-408c-8869-0b7adabd69bb"]}],"mendeley":{"formattedCitation":"(Kertesi &amp; Kézdi, 2011)","plainTextFormattedCitation":"(Kertesi &amp; Kézdi, 2011)","previouslyFormattedCitation":"(Kertesi &amp; Kézdi, 2011)"},"properties":{"noteIndex":0},"schema":"https://github.com/citation-style-language/schema/raw/master/csl-citation.json"}</w:instrText>
      </w:r>
      <w:r w:rsidR="00A020FD">
        <w:rPr>
          <w:rFonts w:cstheme="minorHAnsi"/>
          <w:sz w:val="24"/>
          <w:szCs w:val="24"/>
        </w:rPr>
        <w:fldChar w:fldCharType="separate"/>
      </w:r>
      <w:r w:rsidR="00A020FD" w:rsidRPr="00A020FD">
        <w:rPr>
          <w:rFonts w:cstheme="minorHAnsi"/>
          <w:noProof/>
          <w:sz w:val="24"/>
          <w:szCs w:val="24"/>
        </w:rPr>
        <w:t>(Kertesi &amp; Kézdi, 2011)</w:t>
      </w:r>
      <w:r w:rsidR="00A020FD">
        <w:rPr>
          <w:rFonts w:cstheme="minorHAnsi"/>
          <w:sz w:val="24"/>
          <w:szCs w:val="24"/>
        </w:rPr>
        <w:fldChar w:fldCharType="end"/>
      </w:r>
      <w:r w:rsidR="00391435">
        <w:rPr>
          <w:rFonts w:cstheme="minorHAnsi"/>
          <w:sz w:val="24"/>
          <w:szCs w:val="24"/>
        </w:rPr>
        <w:t xml:space="preserve">. </w:t>
      </w:r>
      <w:r w:rsidR="00F85F15">
        <w:rPr>
          <w:rFonts w:cstheme="minorHAnsi"/>
          <w:sz w:val="24"/>
          <w:szCs w:val="24"/>
        </w:rPr>
        <w:t>Following such methodology, we can state that 7.56% of the children had Roma-origin</w:t>
      </w:r>
      <w:r w:rsidR="00D15F4A">
        <w:rPr>
          <w:rFonts w:cstheme="minorHAnsi"/>
          <w:sz w:val="24"/>
          <w:szCs w:val="24"/>
        </w:rPr>
        <w:t>.</w:t>
      </w:r>
      <w:r w:rsidR="00F85F15">
        <w:rPr>
          <w:rFonts w:cstheme="minorHAnsi"/>
          <w:sz w:val="24"/>
          <w:szCs w:val="24"/>
        </w:rPr>
        <w:t xml:space="preserve"> </w:t>
      </w:r>
      <w:r w:rsidRPr="001C713C">
        <w:rPr>
          <w:rFonts w:cstheme="minorHAnsi"/>
          <w:sz w:val="24"/>
          <w:szCs w:val="24"/>
        </w:rPr>
        <w:t xml:space="preserve">(see Appendix </w:t>
      </w:r>
      <w:r w:rsidR="00312005">
        <w:rPr>
          <w:rFonts w:cstheme="minorHAnsi"/>
          <w:sz w:val="24"/>
          <w:szCs w:val="24"/>
        </w:rPr>
        <w:t>3</w:t>
      </w:r>
      <w:r w:rsidRPr="001C713C">
        <w:rPr>
          <w:rFonts w:cstheme="minorHAnsi"/>
          <w:sz w:val="24"/>
          <w:szCs w:val="24"/>
        </w:rPr>
        <w:t xml:space="preserve">.2.). </w:t>
      </w:r>
      <w:r w:rsidR="00D15F4A">
        <w:rPr>
          <w:rFonts w:cstheme="minorHAnsi"/>
          <w:sz w:val="24"/>
          <w:szCs w:val="24"/>
        </w:rPr>
        <w:t xml:space="preserve">According to </w:t>
      </w:r>
      <w:r w:rsidR="00D15F4A" w:rsidRPr="00391435">
        <w:rPr>
          <w:rFonts w:cstheme="minorHAnsi"/>
          <w:noProof/>
          <w:sz w:val="24"/>
          <w:szCs w:val="24"/>
        </w:rPr>
        <w:t xml:space="preserve">Kertesi &amp; Kézdi, </w:t>
      </w:r>
      <w:r w:rsidR="00D15F4A">
        <w:rPr>
          <w:rFonts w:cstheme="minorHAnsi"/>
          <w:noProof/>
          <w:sz w:val="24"/>
          <w:szCs w:val="24"/>
        </w:rPr>
        <w:t>(</w:t>
      </w:r>
      <w:r w:rsidR="00D15F4A" w:rsidRPr="00391435">
        <w:rPr>
          <w:rFonts w:cstheme="minorHAnsi"/>
          <w:noProof/>
          <w:sz w:val="24"/>
          <w:szCs w:val="24"/>
        </w:rPr>
        <w:t>2011</w:t>
      </w:r>
      <w:r w:rsidR="00D15F4A">
        <w:rPr>
          <w:rFonts w:cstheme="minorHAnsi"/>
          <w:noProof/>
          <w:sz w:val="24"/>
          <w:szCs w:val="24"/>
        </w:rPr>
        <w:t xml:space="preserve">), the difference in test scores between Hungarian and Roma children is comparable with the score gap between whites and blacks in the United States </w:t>
      </w:r>
      <w:r w:rsidR="00D15F4A">
        <w:rPr>
          <w:rFonts w:cstheme="minorHAnsi"/>
          <w:sz w:val="24"/>
          <w:szCs w:val="24"/>
        </w:rPr>
        <w:fldChar w:fldCharType="begin" w:fldLock="1"/>
      </w:r>
      <w:r w:rsidR="002B76DF">
        <w:rPr>
          <w:rFonts w:cstheme="minorHAnsi"/>
          <w:sz w:val="24"/>
          <w:szCs w:val="24"/>
        </w:rPr>
        <w:instrText>ADDIN CSL_CITATION {"citationItems":[{"id":"ITEM-1","itemData":{"DOI":"10.1257/aer.101.3.519","ISSN":"00028282","abstract":"This paper documents and decomposes the test score gap between Roma and non-Roma 8th graders in Hungary in 2006. Our data connect national standardized test scores to an individual panel survey with detailed data on ethnicity and family background. The test score gap is approximately one standard deviation for both reading and mathematics, which is similar to the gap between African-American and White students of the same age group in the US in the 1980s. After accounting for on health, parenting, school fixed effects and family background, the gap disappears in reading and drops to 0.15 standard deviation in mathematics. © 2011 AEA. The American Economic Association is hosted by Vanderbilt University.","author":[{"dropping-particle":"","family":"Kertesi","given":"Gábor","non-dropping-particle":"","parse-names":false,"suffix":""},{"dropping-particle":"","family":"Kézdi","given":"Gábor","non-dropping-particle":"","parse-names":false,"suffix":""}],"container-title":"American Economic Review","id":"ITEM-1","issue":"3","issued":{"date-parts":[["2011"]]},"page":"519-525","title":"The Roma/non-Roma test score gap in Hungary","type":"article-journal","volume":"101"},"uris":["http://www.mendeley.com/documents/?uuid=ac94c5f5-5364-408c-8869-0b7adabd69bb"]}],"mendeley":{"formattedCitation":"(Kertesi &amp; Kézdi, 2011)","plainTextFormattedCitation":"(Kertesi &amp; Kézdi, 2011)","previouslyFormattedCitation":"(Kertesi &amp; Kézdi, 2011)"},"properties":{"noteIndex":0},"schema":"https://github.com/citation-style-language/schema/raw/master/csl-citation.json"}</w:instrText>
      </w:r>
      <w:r w:rsidR="00D15F4A">
        <w:rPr>
          <w:rFonts w:cstheme="minorHAnsi"/>
          <w:sz w:val="24"/>
          <w:szCs w:val="24"/>
        </w:rPr>
        <w:fldChar w:fldCharType="separate"/>
      </w:r>
      <w:r w:rsidR="00D15F4A" w:rsidRPr="00A020FD">
        <w:rPr>
          <w:rFonts w:cstheme="minorHAnsi"/>
          <w:noProof/>
          <w:sz w:val="24"/>
          <w:szCs w:val="24"/>
        </w:rPr>
        <w:t>(Kertesi &amp; Kézdi, 2011)</w:t>
      </w:r>
      <w:r w:rsidR="00D15F4A">
        <w:rPr>
          <w:rFonts w:cstheme="minorHAnsi"/>
          <w:sz w:val="24"/>
          <w:szCs w:val="24"/>
        </w:rPr>
        <w:fldChar w:fldCharType="end"/>
      </w:r>
      <w:r w:rsidR="00CF6545">
        <w:rPr>
          <w:rFonts w:cstheme="minorHAnsi"/>
          <w:noProof/>
          <w:sz w:val="24"/>
          <w:szCs w:val="24"/>
        </w:rPr>
        <w:t>, therefore, it can serve as a feasible covariate, however, due</w:t>
      </w:r>
      <w:r w:rsidR="00F97E09">
        <w:rPr>
          <w:rFonts w:cstheme="minorHAnsi"/>
          <w:noProof/>
          <w:sz w:val="24"/>
          <w:szCs w:val="24"/>
        </w:rPr>
        <w:t xml:space="preserve"> to</w:t>
      </w:r>
      <w:r w:rsidR="00CF6545">
        <w:rPr>
          <w:rFonts w:cstheme="minorHAnsi"/>
          <w:noProof/>
          <w:sz w:val="24"/>
          <w:szCs w:val="24"/>
        </w:rPr>
        <w:t xml:space="preserve"> the lack of data </w:t>
      </w:r>
      <w:r w:rsidR="00CF6545" w:rsidRPr="00F909A5">
        <w:rPr>
          <w:rFonts w:cstheme="minorHAnsi"/>
          <w:sz w:val="24"/>
          <w:szCs w:val="24"/>
        </w:rPr>
        <w:t>we cannot</w:t>
      </w:r>
      <w:r w:rsidR="00CF6545">
        <w:rPr>
          <w:rFonts w:cstheme="minorHAnsi"/>
          <w:sz w:val="24"/>
          <w:szCs w:val="24"/>
        </w:rPr>
        <w:t xml:space="preserve"> explicitly</w:t>
      </w:r>
      <w:r w:rsidR="00CF6545" w:rsidRPr="00F909A5">
        <w:rPr>
          <w:rFonts w:cstheme="minorHAnsi"/>
          <w:sz w:val="24"/>
          <w:szCs w:val="24"/>
        </w:rPr>
        <w:t xml:space="preserve"> confirm nor can deny the hypotheses set by other scholars</w:t>
      </w:r>
      <w:r w:rsidR="00CF6545">
        <w:rPr>
          <w:rFonts w:cstheme="minorHAnsi"/>
          <w:sz w:val="24"/>
          <w:szCs w:val="24"/>
        </w:rPr>
        <w:t>.</w:t>
      </w:r>
    </w:p>
    <w:p w14:paraId="01404987" w14:textId="6BBB0D3B" w:rsidR="00D42EA0"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Regarding our crucial variable, family structure, nearly two-thirds of the </w:t>
      </w:r>
      <w:r w:rsidR="00246729">
        <w:rPr>
          <w:rFonts w:cstheme="minorHAnsi"/>
          <w:sz w:val="24"/>
          <w:szCs w:val="24"/>
        </w:rPr>
        <w:t xml:space="preserve">respondents in 2006 </w:t>
      </w:r>
      <w:r w:rsidRPr="001C713C">
        <w:rPr>
          <w:rFonts w:cstheme="minorHAnsi"/>
          <w:sz w:val="24"/>
          <w:szCs w:val="24"/>
        </w:rPr>
        <w:t xml:space="preserve">live in two-parent intact families while one-third of the children are part of a household </w:t>
      </w:r>
      <w:r w:rsidRPr="001C713C">
        <w:rPr>
          <w:rFonts w:cstheme="minorHAnsi"/>
          <w:sz w:val="24"/>
          <w:szCs w:val="24"/>
        </w:rPr>
        <w:lastRenderedPageBreak/>
        <w:t xml:space="preserve">that was already exposed to family disruption. Breaking down the non-intact family types, it is consistent with the preliminary </w:t>
      </w:r>
      <w:r w:rsidR="002D1B50">
        <w:rPr>
          <w:rFonts w:cstheme="minorHAnsi"/>
          <w:sz w:val="24"/>
          <w:szCs w:val="24"/>
        </w:rPr>
        <w:t>literature</w:t>
      </w:r>
      <w:r w:rsidRPr="001C713C">
        <w:rPr>
          <w:rFonts w:cstheme="minorHAnsi"/>
          <w:sz w:val="24"/>
          <w:szCs w:val="24"/>
        </w:rPr>
        <w:t xml:space="preserve"> that the custodial right is often assigned to mothers rather than fathers after the separation as the ratio of single-mother families is more than 9 times larger than that of the single-father families (6.77% versus 57.26%) (see Appendix </w:t>
      </w:r>
      <w:r w:rsidR="00312005">
        <w:rPr>
          <w:rFonts w:cstheme="minorHAnsi"/>
          <w:sz w:val="24"/>
          <w:szCs w:val="24"/>
        </w:rPr>
        <w:t>3</w:t>
      </w:r>
      <w:r w:rsidRPr="001C713C">
        <w:rPr>
          <w:rFonts w:cstheme="minorHAnsi"/>
          <w:sz w:val="24"/>
          <w:szCs w:val="24"/>
        </w:rPr>
        <w:t xml:space="preserve">.3.).  </w:t>
      </w:r>
    </w:p>
    <w:p w14:paraId="63BF2F69" w14:textId="1140591B"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We can also investigate further family types such as different types of two and single-parent foster families, or households where the child lives without any kind of parent, but due to the small sample size, it is unlikely to conclude meaningful results. Therefore, my </w:t>
      </w:r>
      <w:r w:rsidR="00DD27C0">
        <w:rPr>
          <w:rFonts w:cstheme="minorHAnsi"/>
          <w:sz w:val="24"/>
          <w:szCs w:val="24"/>
        </w:rPr>
        <w:t xml:space="preserve">estimation </w:t>
      </w:r>
      <w:r w:rsidRPr="001C713C">
        <w:rPr>
          <w:rFonts w:cstheme="minorHAnsi"/>
          <w:sz w:val="24"/>
          <w:szCs w:val="24"/>
        </w:rPr>
        <w:t xml:space="preserve">results will only consider the parameter estimations on the </w:t>
      </w:r>
      <w:r w:rsidR="001B30AA">
        <w:rPr>
          <w:rFonts w:cstheme="minorHAnsi"/>
          <w:sz w:val="24"/>
          <w:szCs w:val="24"/>
        </w:rPr>
        <w:t>pairwise difference</w:t>
      </w:r>
      <w:r w:rsidRPr="001C713C">
        <w:rPr>
          <w:rFonts w:cstheme="minorHAnsi"/>
          <w:sz w:val="24"/>
          <w:szCs w:val="24"/>
        </w:rPr>
        <w:t xml:space="preserve"> of intact and non-intact families</w:t>
      </w:r>
      <w:r w:rsidR="00DC3B7C">
        <w:rPr>
          <w:rFonts w:cstheme="minorHAnsi"/>
          <w:sz w:val="24"/>
          <w:szCs w:val="24"/>
        </w:rPr>
        <w:t>, where the upper bound</w:t>
      </w:r>
      <w:r w:rsidR="001B30AA">
        <w:rPr>
          <w:rFonts w:cstheme="minorHAnsi"/>
          <w:sz w:val="24"/>
          <w:szCs w:val="24"/>
        </w:rPr>
        <w:t xml:space="preserve"> interpretation</w:t>
      </w:r>
      <w:r w:rsidR="00DC3B7C">
        <w:rPr>
          <w:rFonts w:cstheme="minorHAnsi"/>
          <w:sz w:val="24"/>
          <w:szCs w:val="24"/>
        </w:rPr>
        <w:t xml:space="preserve"> of the “non-intact”</w:t>
      </w:r>
      <w:r w:rsidR="003A4AC6">
        <w:rPr>
          <w:rFonts w:cstheme="minorHAnsi"/>
          <w:sz w:val="24"/>
          <w:szCs w:val="24"/>
        </w:rPr>
        <w:t xml:space="preserve"> families</w:t>
      </w:r>
      <w:r w:rsidR="00DC3B7C">
        <w:rPr>
          <w:rFonts w:cstheme="minorHAnsi"/>
          <w:sz w:val="24"/>
          <w:szCs w:val="24"/>
        </w:rPr>
        <w:t xml:space="preserve"> will be all kinds of </w:t>
      </w:r>
      <w:r w:rsidR="003A4AC6">
        <w:rPr>
          <w:rFonts w:cstheme="minorHAnsi"/>
          <w:sz w:val="24"/>
          <w:szCs w:val="24"/>
        </w:rPr>
        <w:t>non-two biological parent</w:t>
      </w:r>
      <w:r w:rsidR="00DC3B7C">
        <w:rPr>
          <w:rFonts w:cstheme="minorHAnsi"/>
          <w:sz w:val="24"/>
          <w:szCs w:val="24"/>
        </w:rPr>
        <w:t xml:space="preserve"> families, and the lower bound is where the children </w:t>
      </w:r>
      <w:r w:rsidR="00F97E09">
        <w:rPr>
          <w:rFonts w:cstheme="minorHAnsi"/>
          <w:sz w:val="24"/>
          <w:szCs w:val="24"/>
        </w:rPr>
        <w:t>are</w:t>
      </w:r>
      <w:r w:rsidR="00DC3B7C">
        <w:rPr>
          <w:rFonts w:cstheme="minorHAnsi"/>
          <w:sz w:val="24"/>
          <w:szCs w:val="24"/>
        </w:rPr>
        <w:t xml:space="preserve"> only separated from one biological parent (conservative approach)</w:t>
      </w:r>
      <w:r w:rsidRPr="001C713C">
        <w:rPr>
          <w:rFonts w:cstheme="minorHAnsi"/>
          <w:sz w:val="24"/>
          <w:szCs w:val="24"/>
        </w:rPr>
        <w:t>.</w:t>
      </w:r>
      <w:r w:rsidR="00DD27C0">
        <w:rPr>
          <w:rFonts w:cstheme="minorHAnsi"/>
          <w:sz w:val="24"/>
          <w:szCs w:val="24"/>
        </w:rPr>
        <w:t xml:space="preserve"> As far as </w:t>
      </w:r>
      <w:r w:rsidR="000A7C88">
        <w:rPr>
          <w:rFonts w:cstheme="minorHAnsi"/>
          <w:sz w:val="24"/>
          <w:szCs w:val="24"/>
        </w:rPr>
        <w:t>descriptive</w:t>
      </w:r>
      <w:r w:rsidR="00DD27C0">
        <w:rPr>
          <w:rFonts w:cstheme="minorHAnsi"/>
          <w:sz w:val="24"/>
          <w:szCs w:val="24"/>
        </w:rPr>
        <w:t xml:space="preserve"> </w:t>
      </w:r>
      <w:r w:rsidR="000A7C88">
        <w:rPr>
          <w:rFonts w:cstheme="minorHAnsi"/>
          <w:sz w:val="24"/>
          <w:szCs w:val="24"/>
        </w:rPr>
        <w:t>statistics are</w:t>
      </w:r>
      <w:r w:rsidR="00DD27C0">
        <w:rPr>
          <w:rFonts w:cstheme="minorHAnsi"/>
          <w:sz w:val="24"/>
          <w:szCs w:val="24"/>
        </w:rPr>
        <w:t xml:space="preserve"> concerned, we will stick to the upper bound notion.</w:t>
      </w:r>
      <w:r w:rsidRPr="001C713C">
        <w:rPr>
          <w:rFonts w:cstheme="minorHAnsi"/>
          <w:sz w:val="24"/>
          <w:szCs w:val="24"/>
        </w:rPr>
        <w:t xml:space="preserve"> In terms of separation type, divorce is responsible for the lion’s share of separations as it happened in 91.39% of the non-intact families (see Appendix </w:t>
      </w:r>
      <w:r w:rsidR="00312005">
        <w:rPr>
          <w:rFonts w:cstheme="minorHAnsi"/>
          <w:sz w:val="24"/>
          <w:szCs w:val="24"/>
        </w:rPr>
        <w:t>3</w:t>
      </w:r>
      <w:r w:rsidRPr="001C713C">
        <w:rPr>
          <w:rFonts w:cstheme="minorHAnsi"/>
          <w:sz w:val="24"/>
          <w:szCs w:val="24"/>
        </w:rPr>
        <w:t>.</w:t>
      </w:r>
      <w:r w:rsidR="00312005">
        <w:rPr>
          <w:rFonts w:cstheme="minorHAnsi"/>
          <w:sz w:val="24"/>
          <w:szCs w:val="24"/>
        </w:rPr>
        <w:t>3</w:t>
      </w:r>
      <w:r w:rsidRPr="001C713C">
        <w:rPr>
          <w:rFonts w:cstheme="minorHAnsi"/>
          <w:sz w:val="24"/>
          <w:szCs w:val="24"/>
        </w:rPr>
        <w:t>.). Besides, parental death and other separation types</w:t>
      </w:r>
      <w:r w:rsidR="00246729">
        <w:rPr>
          <w:rFonts w:cstheme="minorHAnsi"/>
          <w:sz w:val="24"/>
          <w:szCs w:val="24"/>
        </w:rPr>
        <w:t xml:space="preserve"> also</w:t>
      </w:r>
      <w:r w:rsidRPr="001C713C">
        <w:rPr>
          <w:rFonts w:cstheme="minorHAnsi"/>
          <w:sz w:val="24"/>
          <w:szCs w:val="24"/>
        </w:rPr>
        <w:t xml:space="preserve"> </w:t>
      </w:r>
      <w:r w:rsidR="000C003F">
        <w:rPr>
          <w:rFonts w:cstheme="minorHAnsi"/>
          <w:sz w:val="24"/>
          <w:szCs w:val="24"/>
        </w:rPr>
        <w:t>lacked in sample sizes</w:t>
      </w:r>
      <w:r w:rsidRPr="001C713C">
        <w:rPr>
          <w:rFonts w:cstheme="minorHAnsi"/>
          <w:sz w:val="24"/>
          <w:szCs w:val="24"/>
        </w:rPr>
        <w:t xml:space="preserve">, thus we cannot observe the main differences in the effects of separation types. </w:t>
      </w:r>
    </w:p>
    <w:p w14:paraId="388AC7B4" w14:textId="6DEE1EB2" w:rsidR="00915D4D" w:rsidRPr="001C713C" w:rsidRDefault="00312005" w:rsidP="005944F8">
      <w:pPr>
        <w:pStyle w:val="Heading2"/>
      </w:pPr>
      <w:bookmarkStart w:id="30" w:name="_Toc64591272"/>
      <w:r>
        <w:t>3</w:t>
      </w:r>
      <w:r w:rsidR="00915D4D" w:rsidRPr="001C713C">
        <w:t>.2. Central Tendencies</w:t>
      </w:r>
      <w:bookmarkEnd w:id="30"/>
    </w:p>
    <w:p w14:paraId="3F1C2832" w14:textId="29BE3C72"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The average age of children at the maternal separation is 7.6 years while for paternal separation it is 6.8 years. Therefore, the separation often happens in the preschool age (see Appendix </w:t>
      </w:r>
      <w:r w:rsidR="00312005">
        <w:rPr>
          <w:rFonts w:cstheme="minorHAnsi"/>
          <w:sz w:val="24"/>
          <w:szCs w:val="24"/>
        </w:rPr>
        <w:t>3</w:t>
      </w:r>
      <w:r w:rsidRPr="001C713C">
        <w:rPr>
          <w:rFonts w:cstheme="minorHAnsi"/>
          <w:sz w:val="24"/>
          <w:szCs w:val="24"/>
        </w:rPr>
        <w:t xml:space="preserve">.5.). Considering the main determinants of academic performance, the distribution of the </w:t>
      </w:r>
      <w:r w:rsidR="00D76818">
        <w:rPr>
          <w:rFonts w:cstheme="minorHAnsi"/>
          <w:sz w:val="24"/>
          <w:szCs w:val="24"/>
        </w:rPr>
        <w:t>GPA</w:t>
      </w:r>
      <w:r w:rsidRPr="001C713C">
        <w:rPr>
          <w:rFonts w:cstheme="minorHAnsi"/>
          <w:sz w:val="24"/>
          <w:szCs w:val="24"/>
        </w:rPr>
        <w:t xml:space="preserve"> is somewhat left-skewed, and the mean is 3.7 (at a scaling up to 5). Across the two main family types intact and non-intact, the latter’s grades and test scores were also lower which further suggests a true negative shock. Consequently, on average, children experiencing a breakdown of the family tend to achieve at lower levels, although, by a low margin (see Appendix </w:t>
      </w:r>
      <w:r w:rsidR="00312005">
        <w:rPr>
          <w:rFonts w:cstheme="minorHAnsi"/>
          <w:sz w:val="24"/>
          <w:szCs w:val="24"/>
        </w:rPr>
        <w:t>3</w:t>
      </w:r>
      <w:r w:rsidRPr="001C713C">
        <w:rPr>
          <w:rFonts w:cstheme="minorHAnsi"/>
          <w:sz w:val="24"/>
          <w:szCs w:val="24"/>
        </w:rPr>
        <w:t xml:space="preserve">.6.). </w:t>
      </w:r>
    </w:p>
    <w:p w14:paraId="363EDDE8" w14:textId="69157417"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Further findings in the patterns of our data support the vast body of literature. Firstly, the mean propensity to consume (how much is needed for a month) in non-intact families is three-fourth of the propensity associated with two-parent families, which also backed </w:t>
      </w:r>
      <w:r w:rsidR="00740440">
        <w:rPr>
          <w:rFonts w:cstheme="minorHAnsi"/>
          <w:sz w:val="24"/>
          <w:szCs w:val="24"/>
        </w:rPr>
        <w:t>by</w:t>
      </w:r>
      <w:r w:rsidRPr="001C713C">
        <w:rPr>
          <w:rFonts w:cstheme="minorHAnsi"/>
          <w:sz w:val="24"/>
          <w:szCs w:val="24"/>
        </w:rPr>
        <w:t xml:space="preserve"> the fact that the mean net income of the mothers is considerably lower than that of the fathers (see </w:t>
      </w:r>
      <w:r w:rsidRPr="001C713C">
        <w:rPr>
          <w:rFonts w:cstheme="minorHAnsi"/>
          <w:sz w:val="24"/>
          <w:szCs w:val="24"/>
        </w:rPr>
        <w:lastRenderedPageBreak/>
        <w:t xml:space="preserve">Appendix </w:t>
      </w:r>
      <w:r w:rsidR="00312005">
        <w:rPr>
          <w:rFonts w:cstheme="minorHAnsi"/>
          <w:sz w:val="24"/>
          <w:szCs w:val="24"/>
        </w:rPr>
        <w:t>3</w:t>
      </w:r>
      <w:r w:rsidRPr="001C713C">
        <w:rPr>
          <w:rFonts w:cstheme="minorHAnsi"/>
          <w:sz w:val="24"/>
          <w:szCs w:val="24"/>
        </w:rPr>
        <w:t xml:space="preserve">.7.). Statistically speaking, when the father leaves the household in most separation cases, the average family income, and the propensity to consume decreases, which can explain the variations in academic performance.  </w:t>
      </w:r>
    </w:p>
    <w:p w14:paraId="24D3DBA9" w14:textId="4D7BC844"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To </w:t>
      </w:r>
      <w:r w:rsidR="00DD64FD">
        <w:rPr>
          <w:rFonts w:cstheme="minorHAnsi"/>
          <w:sz w:val="24"/>
          <w:szCs w:val="24"/>
        </w:rPr>
        <w:t xml:space="preserve">measure the home environment of the student, </w:t>
      </w:r>
      <w:r w:rsidRPr="001C713C">
        <w:rPr>
          <w:rFonts w:cstheme="minorHAnsi"/>
          <w:sz w:val="24"/>
          <w:szCs w:val="24"/>
        </w:rPr>
        <w:t>the cognitive stimulation</w:t>
      </w:r>
      <w:r w:rsidR="00740440">
        <w:rPr>
          <w:rFonts w:cstheme="minorHAnsi"/>
          <w:sz w:val="24"/>
          <w:szCs w:val="24"/>
        </w:rPr>
        <w:t>,</w:t>
      </w:r>
      <w:r w:rsidRPr="001C713C">
        <w:rPr>
          <w:rFonts w:cstheme="minorHAnsi"/>
          <w:sz w:val="24"/>
          <w:szCs w:val="24"/>
        </w:rPr>
        <w:t xml:space="preserve"> and the emotional support of the children, a “</w:t>
      </w:r>
      <w:r w:rsidR="00DD64FD">
        <w:rPr>
          <w:rFonts w:cstheme="minorHAnsi"/>
          <w:sz w:val="24"/>
          <w:szCs w:val="24"/>
        </w:rPr>
        <w:t>HOME</w:t>
      </w:r>
      <w:r w:rsidRPr="001C713C">
        <w:rPr>
          <w:rFonts w:cstheme="minorHAnsi"/>
          <w:sz w:val="24"/>
          <w:szCs w:val="24"/>
        </w:rPr>
        <w:t xml:space="preserve">” score was calculated for the individuals based on a shortened questionnaire of the items developed by Bradley et al. (2000), and identical to the one used in NLSY79 </w:t>
      </w:r>
      <w:r w:rsidRPr="001C713C">
        <w:rPr>
          <w:rFonts w:cstheme="minorHAnsi"/>
          <w:sz w:val="24"/>
          <w:szCs w:val="24"/>
        </w:rPr>
        <w:fldChar w:fldCharType="begin" w:fldLock="1"/>
      </w:r>
      <w:r w:rsidRPr="001C713C">
        <w:rPr>
          <w:rFonts w:cstheme="minorHAnsi"/>
          <w:sz w:val="24"/>
          <w:szCs w:val="24"/>
        </w:rPr>
        <w:instrText>ADDIN CSL_CITATION {"citationItems":[{"id":"ITEM-1","itemData":{"DOI":"10.1207/SJRA1003_1","ISSN":"1050-8392","author":[{"dropping-particle":"","family":"Bradley","given":"Robert H","non-dropping-particle":"","parse-names":false,"suffix":""},{"dropping-particle":"","family":"Corwyn","given":"Robert F.","non-dropping-particle":"","parse-names":false,"suffix":""},{"dropping-particle":"","family":"Caldwell","given":"Bettye M.","non-dropping-particle":"","parse-names":false,"suffix":""},{"dropping-particle":"","family":"Whiteside-Mansell","given":"Leanne","non-dropping-particle":"","parse-names":false,"suffix":""},{"dropping-particle":"","family":"Wasserman","given":"Gail A.","non-dropping-particle":"","parse-names":false,"suffix":""},{"dropping-particle":"","family":"Mink","given":"Iris T.","non-dropping-particle":"","parse-names":false,"suffix":""}],"container-title":"Journal of Research on Adolescence","id":"ITEM-1","issue":"3","issued":{"date-parts":[["2000","7"]]},"page":"247-288","title":"Measuring the Home Environments of Children in Early Adolescence","type":"article-journal","volume":"10"},"uris":["http://www.mendeley.com/documents/?uuid=75a6f30d-ac90-4a17-a82a-b71b74f6daf0"]},{"id":"ITEM-2","itemData":{"URL":"https://www.nlsinfo.org/pub/usersvc/Child-Young-Adult/2006ChildYA-DataUsersGuide.pdf","container-title":"Centre for Human Resource Research. The Ohio State University","id":"ITEM-2","issued":{"date-parts":[["2004"]]},"title":"NLSY79 Child and Young Adult Data User's Guide 2002 Appendix A.","type":"webpage"},"uris":["http://www.mendeley.com/documents/?uuid=4dd9fd21-6aa7-45a9-ab95-453fb8d0b8df"]}],"mendeley":{"formattedCitation":"(Bradley et al., 2000; &lt;i&gt;NLSY79 Child and Young Adult Data User’s Guide 2002 Appendix A.&lt;/i&gt;, 2004)","plainTextFormattedCitation":"(Bradley et al., 2000; NLSY79 Child and Young Adult Data User’s Guide 2002 Appendix A., 2004)","previouslyFormattedCitation":"(Bradley et al., 2000; &lt;i&gt;NLSY79 Child and Young Adult Data User’s Guide 2002 Appendix A.&lt;/i&gt;, 2004)"},"properties":{"noteIndex":0},"schema":"https://github.com/citation-style-language/schema/raw/master/csl-citation.json"}</w:instrText>
      </w:r>
      <w:r w:rsidRPr="001C713C">
        <w:rPr>
          <w:rFonts w:cstheme="minorHAnsi"/>
          <w:sz w:val="24"/>
          <w:szCs w:val="24"/>
        </w:rPr>
        <w:fldChar w:fldCharType="separate"/>
      </w:r>
      <w:r w:rsidRPr="001C713C">
        <w:rPr>
          <w:rFonts w:cstheme="minorHAnsi"/>
          <w:noProof/>
          <w:sz w:val="24"/>
          <w:szCs w:val="24"/>
        </w:rPr>
        <w:t xml:space="preserve">(Bradley et al., 2000; </w:t>
      </w:r>
      <w:r w:rsidRPr="001C713C">
        <w:rPr>
          <w:rFonts w:cstheme="minorHAnsi"/>
          <w:i/>
          <w:noProof/>
          <w:sz w:val="24"/>
          <w:szCs w:val="24"/>
        </w:rPr>
        <w:t>NLSY79 Child and Young Adult Data User’s Guide 2002 Appendix A.</w:t>
      </w:r>
      <w:r w:rsidRPr="001C713C">
        <w:rPr>
          <w:rFonts w:cstheme="minorHAnsi"/>
          <w:noProof/>
          <w:sz w:val="24"/>
          <w:szCs w:val="24"/>
        </w:rPr>
        <w:t>, 2004)</w:t>
      </w:r>
      <w:r w:rsidRPr="001C713C">
        <w:rPr>
          <w:rFonts w:cstheme="minorHAnsi"/>
          <w:sz w:val="24"/>
          <w:szCs w:val="24"/>
        </w:rPr>
        <w:fldChar w:fldCharType="end"/>
      </w:r>
      <w:r w:rsidRPr="001C713C">
        <w:rPr>
          <w:rFonts w:cstheme="minorHAnsi"/>
          <w:sz w:val="24"/>
          <w:szCs w:val="24"/>
        </w:rPr>
        <w:t xml:space="preserve">. The index incorporates the extent of parental </w:t>
      </w:r>
      <w:r w:rsidR="009958BE">
        <w:rPr>
          <w:rFonts w:cstheme="minorHAnsi"/>
          <w:sz w:val="24"/>
          <w:szCs w:val="24"/>
        </w:rPr>
        <w:t xml:space="preserve">care and </w:t>
      </w:r>
      <w:r w:rsidRPr="001C713C">
        <w:rPr>
          <w:rFonts w:cstheme="minorHAnsi"/>
          <w:sz w:val="24"/>
          <w:szCs w:val="24"/>
        </w:rPr>
        <w:t xml:space="preserve">involvement in the family, as well as other factors that are likely to describe the environment and encouragement within the household (see Appendix </w:t>
      </w:r>
      <w:r w:rsidR="00312005">
        <w:rPr>
          <w:rFonts w:cstheme="minorHAnsi"/>
          <w:sz w:val="24"/>
          <w:szCs w:val="24"/>
        </w:rPr>
        <w:t>3</w:t>
      </w:r>
      <w:r w:rsidRPr="001C713C">
        <w:rPr>
          <w:rFonts w:cstheme="minorHAnsi"/>
          <w:sz w:val="24"/>
          <w:szCs w:val="24"/>
        </w:rPr>
        <w:t>.</w:t>
      </w:r>
      <w:r w:rsidR="00A715BF">
        <w:rPr>
          <w:rFonts w:cstheme="minorHAnsi"/>
          <w:sz w:val="24"/>
          <w:szCs w:val="24"/>
        </w:rPr>
        <w:t>8</w:t>
      </w:r>
      <w:r w:rsidRPr="001C713C">
        <w:rPr>
          <w:rFonts w:cstheme="minorHAnsi"/>
          <w:sz w:val="24"/>
          <w:szCs w:val="24"/>
        </w:rPr>
        <w:t xml:space="preserve">.). Mapping the average home scores across the non-intact and intact family structures, children in disrupted families tend to have lower cognitive and emotional skills than their peers in intact families (see Appendix </w:t>
      </w:r>
      <w:r w:rsidR="00312005">
        <w:rPr>
          <w:rFonts w:cstheme="minorHAnsi"/>
          <w:sz w:val="24"/>
          <w:szCs w:val="24"/>
        </w:rPr>
        <w:t>3</w:t>
      </w:r>
      <w:r w:rsidRPr="001C713C">
        <w:rPr>
          <w:rFonts w:cstheme="minorHAnsi"/>
          <w:sz w:val="24"/>
          <w:szCs w:val="24"/>
        </w:rPr>
        <w:t>.8.).</w:t>
      </w:r>
    </w:p>
    <w:p w14:paraId="6E9E95B8" w14:textId="3C231EE4"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At the extremes of poor academic behavior, let us consider the repeat of school grades and the expel from school. Although the sample of those who repeated a school grade throughout </w:t>
      </w:r>
      <w:r w:rsidR="00F97E09">
        <w:rPr>
          <w:rFonts w:cstheme="minorHAnsi"/>
          <w:sz w:val="24"/>
          <w:szCs w:val="24"/>
        </w:rPr>
        <w:t xml:space="preserve">the </w:t>
      </w:r>
      <w:r w:rsidRPr="001C713C">
        <w:rPr>
          <w:rFonts w:cstheme="minorHAnsi"/>
          <w:sz w:val="24"/>
          <w:szCs w:val="24"/>
        </w:rPr>
        <w:t xml:space="preserve">primary school is low, the proportions suggest that the likelihood of having repeated a grade (one or more times) is larger for children of non-intact families (see Appendix </w:t>
      </w:r>
      <w:r w:rsidR="00312005">
        <w:rPr>
          <w:rFonts w:cstheme="minorHAnsi"/>
          <w:sz w:val="24"/>
          <w:szCs w:val="24"/>
        </w:rPr>
        <w:t>3</w:t>
      </w:r>
      <w:r w:rsidRPr="001C713C">
        <w:rPr>
          <w:rFonts w:cstheme="minorHAnsi"/>
          <w:sz w:val="24"/>
          <w:szCs w:val="24"/>
        </w:rPr>
        <w:t xml:space="preserve">.9.). As regards the children expelled from school and dropout (leaving school due to low grades), </w:t>
      </w:r>
      <w:r w:rsidR="00A23055">
        <w:rPr>
          <w:rFonts w:cstheme="minorHAnsi"/>
          <w:sz w:val="24"/>
          <w:szCs w:val="24"/>
        </w:rPr>
        <w:t xml:space="preserve">the lack of </w:t>
      </w:r>
      <w:r w:rsidR="00872140">
        <w:rPr>
          <w:rFonts w:cstheme="minorHAnsi"/>
          <w:sz w:val="24"/>
          <w:szCs w:val="24"/>
        </w:rPr>
        <w:t>variab</w:t>
      </w:r>
      <w:r w:rsidR="00196B34">
        <w:rPr>
          <w:rFonts w:cstheme="minorHAnsi"/>
          <w:sz w:val="24"/>
          <w:szCs w:val="24"/>
        </w:rPr>
        <w:t>i</w:t>
      </w:r>
      <w:r w:rsidR="00872140">
        <w:rPr>
          <w:rFonts w:cstheme="minorHAnsi"/>
          <w:sz w:val="24"/>
          <w:szCs w:val="24"/>
        </w:rPr>
        <w:t>lity</w:t>
      </w:r>
      <w:r w:rsidR="00A23055">
        <w:rPr>
          <w:rFonts w:cstheme="minorHAnsi"/>
          <w:sz w:val="24"/>
          <w:szCs w:val="24"/>
        </w:rPr>
        <w:t xml:space="preserve"> does not allow us to estimate with adequate statistical significance</w:t>
      </w:r>
      <w:r w:rsidRPr="001C713C">
        <w:rPr>
          <w:rFonts w:cstheme="minorHAnsi"/>
          <w:sz w:val="24"/>
          <w:szCs w:val="24"/>
        </w:rPr>
        <w:t xml:space="preserve"> (see Appendix </w:t>
      </w:r>
      <w:r w:rsidR="00312005">
        <w:rPr>
          <w:rFonts w:cstheme="minorHAnsi"/>
          <w:sz w:val="24"/>
          <w:szCs w:val="24"/>
        </w:rPr>
        <w:t>3</w:t>
      </w:r>
      <w:r w:rsidRPr="001C713C">
        <w:rPr>
          <w:rFonts w:cstheme="minorHAnsi"/>
          <w:sz w:val="24"/>
          <w:szCs w:val="24"/>
        </w:rPr>
        <w:t xml:space="preserve">.10., and Appendix </w:t>
      </w:r>
      <w:r w:rsidR="00312005">
        <w:rPr>
          <w:rFonts w:cstheme="minorHAnsi"/>
          <w:sz w:val="24"/>
          <w:szCs w:val="24"/>
        </w:rPr>
        <w:t>3</w:t>
      </w:r>
      <w:r w:rsidRPr="001C713C">
        <w:rPr>
          <w:rFonts w:cstheme="minorHAnsi"/>
          <w:sz w:val="24"/>
          <w:szCs w:val="24"/>
        </w:rPr>
        <w:t xml:space="preserve">.11.). </w:t>
      </w:r>
    </w:p>
    <w:p w14:paraId="54E29DF1" w14:textId="3749CF61"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To observe the parental involvement of disrupted families, let us construct an aggregate variable</w:t>
      </w:r>
      <w:r w:rsidR="00735665">
        <w:rPr>
          <w:rFonts w:cstheme="minorHAnsi"/>
          <w:sz w:val="24"/>
          <w:szCs w:val="24"/>
        </w:rPr>
        <w:t>.</w:t>
      </w:r>
      <w:r w:rsidRPr="001C713C">
        <w:rPr>
          <w:rFonts w:cstheme="minorHAnsi"/>
          <w:sz w:val="24"/>
          <w:szCs w:val="24"/>
        </w:rPr>
        <w:t xml:space="preserve"> </w:t>
      </w:r>
      <w:r w:rsidR="00EB4591">
        <w:rPr>
          <w:rFonts w:cstheme="minorHAnsi"/>
          <w:sz w:val="24"/>
          <w:szCs w:val="24"/>
        </w:rPr>
        <w:t>The parental school engagement score</w:t>
      </w:r>
      <w:r w:rsidR="00A23055">
        <w:rPr>
          <w:rFonts w:cstheme="minorHAnsi"/>
          <w:sz w:val="24"/>
          <w:szCs w:val="24"/>
        </w:rPr>
        <w:t xml:space="preserve"> </w:t>
      </w:r>
      <w:r w:rsidRPr="001C713C">
        <w:rPr>
          <w:rFonts w:cstheme="minorHAnsi"/>
          <w:sz w:val="24"/>
          <w:szCs w:val="24"/>
        </w:rPr>
        <w:t>considers the parent’s frequency of attending and involving themselves in school-related matters. The higher the scores, the</w:t>
      </w:r>
      <w:r w:rsidR="005E1B7C">
        <w:rPr>
          <w:rFonts w:cstheme="minorHAnsi"/>
          <w:sz w:val="24"/>
          <w:szCs w:val="24"/>
        </w:rPr>
        <w:t xml:space="preserve"> more</w:t>
      </w:r>
      <w:r w:rsidRPr="001C713C">
        <w:rPr>
          <w:rFonts w:cstheme="minorHAnsi"/>
          <w:sz w:val="24"/>
          <w:szCs w:val="24"/>
        </w:rPr>
        <w:t xml:space="preserve"> frequent</w:t>
      </w:r>
      <w:r w:rsidR="005E1B7C">
        <w:rPr>
          <w:rFonts w:cstheme="minorHAnsi"/>
          <w:sz w:val="24"/>
          <w:szCs w:val="24"/>
        </w:rPr>
        <w:t>ly</w:t>
      </w:r>
      <w:r w:rsidRPr="001C713C">
        <w:rPr>
          <w:rFonts w:cstheme="minorHAnsi"/>
          <w:sz w:val="24"/>
          <w:szCs w:val="24"/>
        </w:rPr>
        <w:t xml:space="preserve"> they </w:t>
      </w:r>
      <w:r w:rsidR="005E1B7C">
        <w:rPr>
          <w:rFonts w:cstheme="minorHAnsi"/>
          <w:sz w:val="24"/>
          <w:szCs w:val="24"/>
        </w:rPr>
        <w:t>involve themselves.</w:t>
      </w:r>
      <w:r w:rsidRPr="001C713C">
        <w:rPr>
          <w:rFonts w:cstheme="minorHAnsi"/>
          <w:sz w:val="24"/>
          <w:szCs w:val="24"/>
        </w:rPr>
        <w:t xml:space="preserve"> </w:t>
      </w:r>
      <w:r w:rsidR="005E1B7C">
        <w:rPr>
          <w:rFonts w:cstheme="minorHAnsi"/>
          <w:sz w:val="24"/>
          <w:szCs w:val="24"/>
        </w:rPr>
        <w:t>A</w:t>
      </w:r>
      <w:r w:rsidRPr="001C713C">
        <w:rPr>
          <w:rFonts w:cstheme="minorHAnsi"/>
          <w:sz w:val="24"/>
          <w:szCs w:val="24"/>
        </w:rPr>
        <w:t xml:space="preserve">s expected, non-intact families have </w:t>
      </w:r>
      <w:r w:rsidR="008C0B81">
        <w:rPr>
          <w:rFonts w:cstheme="minorHAnsi"/>
          <w:sz w:val="24"/>
          <w:szCs w:val="24"/>
        </w:rPr>
        <w:t>lower</w:t>
      </w:r>
      <w:r w:rsidRPr="001C713C">
        <w:rPr>
          <w:rFonts w:cstheme="minorHAnsi"/>
          <w:sz w:val="24"/>
          <w:szCs w:val="24"/>
        </w:rPr>
        <w:t xml:space="preserve"> scores, thus their parents contribute less to schooling (see Appendix </w:t>
      </w:r>
      <w:r w:rsidR="00312005">
        <w:rPr>
          <w:rFonts w:cstheme="minorHAnsi"/>
          <w:sz w:val="24"/>
          <w:szCs w:val="24"/>
        </w:rPr>
        <w:t>3</w:t>
      </w:r>
      <w:r w:rsidRPr="001C713C">
        <w:rPr>
          <w:rFonts w:cstheme="minorHAnsi"/>
          <w:sz w:val="24"/>
          <w:szCs w:val="24"/>
        </w:rPr>
        <w:t xml:space="preserve">.12.). </w:t>
      </w:r>
      <w:r w:rsidR="00CA12C5">
        <w:rPr>
          <w:rFonts w:cstheme="minorHAnsi"/>
          <w:sz w:val="24"/>
          <w:szCs w:val="24"/>
        </w:rPr>
        <w:t xml:space="preserve">The calculated scores were multiplied with </w:t>
      </w:r>
      <w:r w:rsidR="00740440">
        <w:rPr>
          <w:rFonts w:cstheme="minorHAnsi"/>
          <w:sz w:val="24"/>
          <w:szCs w:val="24"/>
        </w:rPr>
        <w:t xml:space="preserve">a </w:t>
      </w:r>
      <w:r w:rsidR="00CA12C5">
        <w:rPr>
          <w:rFonts w:cstheme="minorHAnsi"/>
          <w:sz w:val="24"/>
          <w:szCs w:val="24"/>
        </w:rPr>
        <w:t>negative of one to reverse the order of interpretation.</w:t>
      </w:r>
    </w:p>
    <w:p w14:paraId="14D2082F" w14:textId="524386C8"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t xml:space="preserve">As it was </w:t>
      </w:r>
      <w:r w:rsidR="00CC2F82">
        <w:rPr>
          <w:rFonts w:cstheme="minorHAnsi"/>
          <w:sz w:val="24"/>
          <w:szCs w:val="24"/>
        </w:rPr>
        <w:t>mentioned</w:t>
      </w:r>
      <w:r w:rsidRPr="001C713C">
        <w:rPr>
          <w:rFonts w:cstheme="minorHAnsi"/>
          <w:sz w:val="24"/>
          <w:szCs w:val="24"/>
        </w:rPr>
        <w:t xml:space="preserve"> in the previous sections, economic resources involve parental investments that foster education. To reflect its magnitude, I considered the monthly spending on textbooks, equipment (</w:t>
      </w:r>
      <w:r w:rsidR="000A7C88" w:rsidRPr="001C713C">
        <w:rPr>
          <w:rFonts w:cstheme="minorHAnsi"/>
          <w:sz w:val="24"/>
          <w:szCs w:val="24"/>
        </w:rPr>
        <w:t>e.g.,</w:t>
      </w:r>
      <w:r w:rsidRPr="001C713C">
        <w:rPr>
          <w:rFonts w:cstheme="minorHAnsi"/>
          <w:sz w:val="24"/>
          <w:szCs w:val="24"/>
        </w:rPr>
        <w:t xml:space="preserve"> pens, notebooks, etc.), transportation, extra classes, and school-organized trips.  In line with our preliminary expectations, intact families tend to invest more on average than disrupted families (see Appendix </w:t>
      </w:r>
      <w:r w:rsidR="00312005">
        <w:rPr>
          <w:rFonts w:cstheme="minorHAnsi"/>
          <w:sz w:val="24"/>
          <w:szCs w:val="24"/>
        </w:rPr>
        <w:t>3</w:t>
      </w:r>
      <w:r w:rsidRPr="001C713C">
        <w:rPr>
          <w:rFonts w:cstheme="minorHAnsi"/>
          <w:sz w:val="24"/>
          <w:szCs w:val="24"/>
        </w:rPr>
        <w:t>.13.).</w:t>
      </w:r>
    </w:p>
    <w:p w14:paraId="5890C08D" w14:textId="6F7B1643" w:rsidR="00915D4D" w:rsidRPr="001C713C" w:rsidRDefault="00915D4D" w:rsidP="006E2B80">
      <w:pPr>
        <w:spacing w:line="360" w:lineRule="auto"/>
        <w:ind w:firstLine="397"/>
        <w:jc w:val="both"/>
        <w:rPr>
          <w:rFonts w:cstheme="minorHAnsi"/>
          <w:sz w:val="24"/>
          <w:szCs w:val="24"/>
        </w:rPr>
      </w:pPr>
      <w:r w:rsidRPr="001C713C">
        <w:rPr>
          <w:rFonts w:cstheme="minorHAnsi"/>
          <w:sz w:val="24"/>
          <w:szCs w:val="24"/>
        </w:rPr>
        <w:lastRenderedPageBreak/>
        <w:t xml:space="preserve">At last, I considered the residential mobility across family types and despite the </w:t>
      </w:r>
      <w:r w:rsidR="004374D2">
        <w:rPr>
          <w:rFonts w:cstheme="minorHAnsi"/>
          <w:sz w:val="24"/>
          <w:szCs w:val="24"/>
        </w:rPr>
        <w:t>small sample</w:t>
      </w:r>
      <w:r w:rsidRPr="001C713C">
        <w:rPr>
          <w:rFonts w:cstheme="minorHAnsi"/>
          <w:sz w:val="24"/>
          <w:szCs w:val="24"/>
        </w:rPr>
        <w:t>, th</w:t>
      </w:r>
      <w:r w:rsidR="00CC2F82">
        <w:rPr>
          <w:rFonts w:cstheme="minorHAnsi"/>
          <w:sz w:val="24"/>
          <w:szCs w:val="24"/>
        </w:rPr>
        <w:t xml:space="preserve">e </w:t>
      </w:r>
      <w:r w:rsidRPr="001C713C">
        <w:rPr>
          <w:rFonts w:cstheme="minorHAnsi"/>
          <w:sz w:val="24"/>
          <w:szCs w:val="24"/>
        </w:rPr>
        <w:t>data</w:t>
      </w:r>
      <w:r w:rsidR="00CC2F82">
        <w:rPr>
          <w:rFonts w:cstheme="minorHAnsi"/>
          <w:sz w:val="24"/>
          <w:szCs w:val="24"/>
        </w:rPr>
        <w:t xml:space="preserve"> collected in 2006</w:t>
      </w:r>
      <w:r w:rsidRPr="001C713C">
        <w:rPr>
          <w:rFonts w:cstheme="minorHAnsi"/>
          <w:sz w:val="24"/>
          <w:szCs w:val="24"/>
        </w:rPr>
        <w:t xml:space="preserve"> shows similar patterns as a large share of children who changed school due to moving (which was likely to be inferred by the parental separation) was part of non-intact families. Interestingly, such share increases by the number of school changes, which suggests that disrupted families may move on multiple occasions and more mobile than their counterparties (see Appendix </w:t>
      </w:r>
      <w:r w:rsidR="00312005">
        <w:rPr>
          <w:rFonts w:cstheme="minorHAnsi"/>
          <w:sz w:val="24"/>
          <w:szCs w:val="24"/>
        </w:rPr>
        <w:t>3</w:t>
      </w:r>
      <w:r w:rsidRPr="001C713C">
        <w:rPr>
          <w:rFonts w:cstheme="minorHAnsi"/>
          <w:sz w:val="24"/>
          <w:szCs w:val="24"/>
        </w:rPr>
        <w:t>.1</w:t>
      </w:r>
      <w:r w:rsidR="00312005">
        <w:rPr>
          <w:rFonts w:cstheme="minorHAnsi"/>
          <w:sz w:val="24"/>
          <w:szCs w:val="24"/>
        </w:rPr>
        <w:t>3</w:t>
      </w:r>
      <w:r w:rsidRPr="001C713C">
        <w:rPr>
          <w:rFonts w:cstheme="minorHAnsi"/>
          <w:sz w:val="24"/>
          <w:szCs w:val="24"/>
        </w:rPr>
        <w:t xml:space="preserve">). </w:t>
      </w:r>
    </w:p>
    <w:p w14:paraId="4437B405" w14:textId="7FA09E15" w:rsidR="00915D4D" w:rsidRPr="001C713C" w:rsidRDefault="00312005" w:rsidP="005944F8">
      <w:pPr>
        <w:pStyle w:val="Heading2"/>
      </w:pPr>
      <w:bookmarkStart w:id="31" w:name="_Toc64591273"/>
      <w:r>
        <w:t>3</w:t>
      </w:r>
      <w:r w:rsidR="00915D4D" w:rsidRPr="001C713C">
        <w:t>.3. Feature selection</w:t>
      </w:r>
      <w:bookmarkEnd w:id="31"/>
    </w:p>
    <w:p w14:paraId="6D2F2444" w14:textId="5771FB11" w:rsidR="00F06DE1" w:rsidRPr="001C713C" w:rsidRDefault="00031EC0" w:rsidP="00F06DE1">
      <w:pPr>
        <w:spacing w:line="360" w:lineRule="auto"/>
        <w:ind w:firstLine="397"/>
        <w:jc w:val="both"/>
        <w:rPr>
          <w:rFonts w:cstheme="minorHAnsi"/>
          <w:sz w:val="24"/>
          <w:szCs w:val="24"/>
        </w:rPr>
      </w:pPr>
      <w:r>
        <w:rPr>
          <w:rFonts w:cstheme="minorHAnsi"/>
          <w:sz w:val="24"/>
          <w:szCs w:val="24"/>
        </w:rPr>
        <w:t>To take the next step in building up our model</w:t>
      </w:r>
      <w:r w:rsidR="00915D4D" w:rsidRPr="001C713C">
        <w:rPr>
          <w:rFonts w:cstheme="minorHAnsi"/>
          <w:sz w:val="24"/>
          <w:szCs w:val="24"/>
        </w:rPr>
        <w:t xml:space="preserve">, let us perform a feature selection by building up pairwise correlations between the underlying control variables. One of the main control variables is undoubtedly the </w:t>
      </w:r>
      <w:r w:rsidR="00737003">
        <w:rPr>
          <w:rFonts w:cstheme="minorHAnsi"/>
          <w:sz w:val="24"/>
          <w:szCs w:val="24"/>
        </w:rPr>
        <w:t>household income in log terms</w:t>
      </w:r>
      <w:r w:rsidR="00D519FF">
        <w:rPr>
          <w:rFonts w:cstheme="minorHAnsi"/>
          <w:sz w:val="24"/>
          <w:szCs w:val="24"/>
        </w:rPr>
        <w:t>.</w:t>
      </w:r>
      <w:r w:rsidR="00737003">
        <w:rPr>
          <w:rFonts w:cstheme="minorHAnsi"/>
          <w:sz w:val="24"/>
          <w:szCs w:val="24"/>
        </w:rPr>
        <w:t xml:space="preserve"> Under such </w:t>
      </w:r>
      <w:r w:rsidR="00740440">
        <w:rPr>
          <w:rFonts w:cstheme="minorHAnsi"/>
          <w:sz w:val="24"/>
          <w:szCs w:val="24"/>
        </w:rPr>
        <w:t xml:space="preserve">a </w:t>
      </w:r>
      <w:r w:rsidR="00737003">
        <w:rPr>
          <w:rFonts w:cstheme="minorHAnsi"/>
          <w:sz w:val="24"/>
          <w:szCs w:val="24"/>
        </w:rPr>
        <w:t>category, we can include the maternal degree level which</w:t>
      </w:r>
      <w:r w:rsidR="00D519FF">
        <w:rPr>
          <w:rFonts w:cstheme="minorHAnsi"/>
          <w:sz w:val="24"/>
          <w:szCs w:val="24"/>
        </w:rPr>
        <w:t xml:space="preserve"> </w:t>
      </w:r>
      <w:r w:rsidR="00737003">
        <w:rPr>
          <w:rFonts w:cstheme="minorHAnsi"/>
          <w:sz w:val="24"/>
          <w:szCs w:val="24"/>
        </w:rPr>
        <w:t>is</w:t>
      </w:r>
      <w:r w:rsidR="00F06DE1">
        <w:rPr>
          <w:rFonts w:cstheme="minorHAnsi"/>
          <w:sz w:val="24"/>
          <w:szCs w:val="24"/>
        </w:rPr>
        <w:t xml:space="preserve"> likely to </w:t>
      </w:r>
      <w:r w:rsidR="00915D4D" w:rsidRPr="001C713C">
        <w:rPr>
          <w:rFonts w:cstheme="minorHAnsi"/>
          <w:sz w:val="24"/>
          <w:szCs w:val="24"/>
        </w:rPr>
        <w:t xml:space="preserve">correlate with </w:t>
      </w:r>
      <w:r w:rsidR="00737003">
        <w:rPr>
          <w:rFonts w:cstheme="minorHAnsi"/>
          <w:sz w:val="24"/>
          <w:szCs w:val="24"/>
        </w:rPr>
        <w:t>that of the paternal</w:t>
      </w:r>
      <w:r w:rsidR="00915D4D" w:rsidRPr="001C713C">
        <w:rPr>
          <w:rFonts w:cstheme="minorHAnsi"/>
          <w:sz w:val="24"/>
          <w:szCs w:val="24"/>
        </w:rPr>
        <w:t xml:space="preserve"> as partners often find each other through </w:t>
      </w:r>
      <w:r w:rsidR="00D519FF">
        <w:rPr>
          <w:rFonts w:cstheme="minorHAnsi"/>
          <w:sz w:val="24"/>
          <w:szCs w:val="24"/>
        </w:rPr>
        <w:t>homogamy</w:t>
      </w:r>
      <w:r w:rsidR="00737003">
        <w:rPr>
          <w:rFonts w:cstheme="minorHAnsi"/>
          <w:sz w:val="24"/>
          <w:szCs w:val="24"/>
        </w:rPr>
        <w:t xml:space="preserve">. </w:t>
      </w:r>
      <w:r w:rsidR="00915D4D" w:rsidRPr="001C713C">
        <w:rPr>
          <w:rFonts w:cstheme="minorHAnsi"/>
          <w:sz w:val="24"/>
          <w:szCs w:val="24"/>
        </w:rPr>
        <w:t xml:space="preserve">Also, income variables correlate with the school-related </w:t>
      </w:r>
      <w:r w:rsidR="00DA63B1">
        <w:rPr>
          <w:rFonts w:cstheme="minorHAnsi"/>
          <w:sz w:val="24"/>
          <w:szCs w:val="24"/>
        </w:rPr>
        <w:t xml:space="preserve">parental </w:t>
      </w:r>
      <w:r w:rsidR="00915D4D" w:rsidRPr="001C713C">
        <w:rPr>
          <w:rFonts w:cstheme="minorHAnsi"/>
          <w:sz w:val="24"/>
          <w:szCs w:val="24"/>
        </w:rPr>
        <w:t>investments (</w:t>
      </w:r>
      <w:r w:rsidR="000A7C88">
        <w:rPr>
          <w:rFonts w:cstheme="minorHAnsi"/>
          <w:sz w:val="24"/>
          <w:szCs w:val="24"/>
        </w:rPr>
        <w:t>e.g.,</w:t>
      </w:r>
      <w:r w:rsidR="00D519FF">
        <w:rPr>
          <w:rFonts w:cstheme="minorHAnsi"/>
          <w:sz w:val="24"/>
          <w:szCs w:val="24"/>
        </w:rPr>
        <w:t xml:space="preserve"> extra classes, textbooks, etc.)</w:t>
      </w:r>
      <w:r w:rsidR="00DA63B1">
        <w:rPr>
          <w:rFonts w:cstheme="minorHAnsi"/>
          <w:sz w:val="24"/>
          <w:szCs w:val="24"/>
        </w:rPr>
        <w:t>, while t</w:t>
      </w:r>
      <w:r w:rsidR="00737003">
        <w:rPr>
          <w:rFonts w:cstheme="minorHAnsi"/>
          <w:sz w:val="24"/>
          <w:szCs w:val="24"/>
        </w:rPr>
        <w:t>he HOME score is expected to move along with the</w:t>
      </w:r>
      <w:r w:rsidR="00A05EF9">
        <w:rPr>
          <w:rFonts w:cstheme="minorHAnsi"/>
          <w:sz w:val="24"/>
          <w:szCs w:val="24"/>
        </w:rPr>
        <w:t xml:space="preserve"> previously listed</w:t>
      </w:r>
      <w:r w:rsidR="00737003">
        <w:rPr>
          <w:rFonts w:cstheme="minorHAnsi"/>
          <w:sz w:val="24"/>
          <w:szCs w:val="24"/>
        </w:rPr>
        <w:t xml:space="preserve"> measures of SES</w:t>
      </w:r>
      <w:r w:rsidR="00A05EF9">
        <w:rPr>
          <w:rFonts w:cstheme="minorHAnsi"/>
          <w:sz w:val="24"/>
          <w:szCs w:val="24"/>
        </w:rPr>
        <w:t xml:space="preserve">, thus, </w:t>
      </w:r>
      <w:r w:rsidR="00DA63B1">
        <w:rPr>
          <w:rFonts w:cstheme="minorHAnsi"/>
          <w:sz w:val="24"/>
          <w:szCs w:val="24"/>
        </w:rPr>
        <w:t>they</w:t>
      </w:r>
      <w:r w:rsidR="00A05EF9">
        <w:rPr>
          <w:rFonts w:cstheme="minorHAnsi"/>
          <w:sz w:val="24"/>
          <w:szCs w:val="24"/>
        </w:rPr>
        <w:t xml:space="preserve"> </w:t>
      </w:r>
      <w:r w:rsidR="007D2D9D">
        <w:rPr>
          <w:rFonts w:cstheme="minorHAnsi"/>
          <w:sz w:val="24"/>
          <w:szCs w:val="24"/>
        </w:rPr>
        <w:t>need</w:t>
      </w:r>
      <w:r w:rsidR="00DA63B1">
        <w:rPr>
          <w:rFonts w:cstheme="minorHAnsi"/>
          <w:sz w:val="24"/>
          <w:szCs w:val="24"/>
        </w:rPr>
        <w:t xml:space="preserve"> </w:t>
      </w:r>
      <w:r w:rsidR="00A05EF9">
        <w:rPr>
          <w:rFonts w:cstheme="minorHAnsi"/>
          <w:sz w:val="24"/>
          <w:szCs w:val="24"/>
        </w:rPr>
        <w:t>to be included</w:t>
      </w:r>
      <w:r w:rsidR="007D2D9D">
        <w:rPr>
          <w:rFonts w:cstheme="minorHAnsi"/>
          <w:sz w:val="24"/>
          <w:szCs w:val="24"/>
        </w:rPr>
        <w:t xml:space="preserve"> in the picture</w:t>
      </w:r>
      <w:r w:rsidR="00A05EF9">
        <w:rPr>
          <w:rFonts w:cstheme="minorHAnsi"/>
          <w:sz w:val="24"/>
          <w:szCs w:val="24"/>
        </w:rPr>
        <w:t>.</w:t>
      </w:r>
      <w:r w:rsidR="00737003">
        <w:rPr>
          <w:rFonts w:cstheme="minorHAnsi"/>
          <w:sz w:val="24"/>
          <w:szCs w:val="24"/>
        </w:rPr>
        <w:t xml:space="preserve"> </w:t>
      </w:r>
      <w:r w:rsidR="00E714BB">
        <w:rPr>
          <w:rFonts w:cstheme="minorHAnsi"/>
          <w:sz w:val="24"/>
          <w:szCs w:val="24"/>
        </w:rPr>
        <w:t>The last two variables which I found to be important were the reported subjective welfare of the household (</w:t>
      </w:r>
      <w:r w:rsidR="00E714BB" w:rsidRPr="00D42221">
        <w:rPr>
          <w:rFonts w:cstheme="minorHAnsi"/>
          <w:i/>
          <w:iCs/>
          <w:sz w:val="24"/>
          <w:szCs w:val="24"/>
        </w:rPr>
        <w:t>“How well does your family live compared to other families?”</w:t>
      </w:r>
      <w:r w:rsidR="00E714BB">
        <w:rPr>
          <w:rFonts w:cstheme="minorHAnsi"/>
          <w:sz w:val="24"/>
          <w:szCs w:val="24"/>
        </w:rPr>
        <w:t>)</w:t>
      </w:r>
      <w:r w:rsidR="00D870CF">
        <w:rPr>
          <w:rFonts w:cstheme="minorHAnsi"/>
          <w:sz w:val="24"/>
          <w:szCs w:val="24"/>
        </w:rPr>
        <w:t>, the birthweight of the student</w:t>
      </w:r>
      <w:r w:rsidR="00D42221">
        <w:rPr>
          <w:rFonts w:cstheme="minorHAnsi"/>
          <w:sz w:val="24"/>
          <w:szCs w:val="24"/>
        </w:rPr>
        <w:t>, and the number of minors within the household</w:t>
      </w:r>
      <w:r w:rsidR="00D870CF">
        <w:rPr>
          <w:rFonts w:cstheme="minorHAnsi"/>
          <w:sz w:val="24"/>
          <w:szCs w:val="24"/>
        </w:rPr>
        <w:t xml:space="preserve">. </w:t>
      </w:r>
      <w:r w:rsidR="00915D4D" w:rsidRPr="001C713C">
        <w:rPr>
          <w:rFonts w:cstheme="minorHAnsi"/>
          <w:sz w:val="24"/>
          <w:szCs w:val="24"/>
        </w:rPr>
        <w:t xml:space="preserve">Knowing that we should consider dropping regressors from the </w:t>
      </w:r>
      <w:r w:rsidR="00D42221">
        <w:rPr>
          <w:rFonts w:cstheme="minorHAnsi"/>
          <w:sz w:val="24"/>
          <w:szCs w:val="24"/>
        </w:rPr>
        <w:t xml:space="preserve">highly </w:t>
      </w:r>
      <w:r w:rsidR="00915D4D" w:rsidRPr="001C713C">
        <w:rPr>
          <w:rFonts w:cstheme="minorHAnsi"/>
          <w:sz w:val="24"/>
          <w:szCs w:val="24"/>
        </w:rPr>
        <w:t xml:space="preserve">correlated pairs to attain the “best linear unbiased estimator” (BLUE). </w:t>
      </w:r>
      <w:proofErr w:type="gramStart"/>
      <w:r w:rsidR="00F849AE">
        <w:rPr>
          <w:rFonts w:cstheme="minorHAnsi"/>
          <w:sz w:val="24"/>
          <w:szCs w:val="24"/>
        </w:rPr>
        <w:t>Observing the coefficients between the SES and HOME variables, there</w:t>
      </w:r>
      <w:proofErr w:type="gramEnd"/>
      <w:r w:rsidR="00F849AE">
        <w:rPr>
          <w:rFonts w:cstheme="minorHAnsi"/>
          <w:sz w:val="24"/>
          <w:szCs w:val="24"/>
        </w:rPr>
        <w:t xml:space="preserve"> is a highly significant positive relationship between them to an extent</w:t>
      </w:r>
      <w:r w:rsidR="008B15E1">
        <w:rPr>
          <w:rFonts w:cstheme="minorHAnsi"/>
          <w:sz w:val="24"/>
          <w:szCs w:val="24"/>
        </w:rPr>
        <w:t xml:space="preserve"> (all lower than 0.5)</w:t>
      </w:r>
      <w:r w:rsidR="00F849AE">
        <w:rPr>
          <w:rFonts w:cstheme="minorHAnsi"/>
          <w:sz w:val="24"/>
          <w:szCs w:val="24"/>
        </w:rPr>
        <w:t xml:space="preserve"> that it should not be able to </w:t>
      </w:r>
      <w:r w:rsidR="00194167">
        <w:rPr>
          <w:rFonts w:cstheme="minorHAnsi"/>
          <w:sz w:val="24"/>
          <w:szCs w:val="24"/>
        </w:rPr>
        <w:t xml:space="preserve">cause multicollinearity. </w:t>
      </w:r>
      <w:r w:rsidR="00915D4D" w:rsidRPr="001C713C">
        <w:rPr>
          <w:rFonts w:cstheme="minorHAnsi"/>
          <w:sz w:val="24"/>
          <w:szCs w:val="24"/>
        </w:rPr>
        <w:t xml:space="preserve">Other recognizable patterns are the negative relationships between the income controls and the number of siblings, which is intuitive since parents are likely to partition their investments across siblings. </w:t>
      </w:r>
      <w:r w:rsidR="00452BE4">
        <w:rPr>
          <w:rFonts w:cstheme="minorHAnsi"/>
          <w:sz w:val="24"/>
          <w:szCs w:val="24"/>
        </w:rPr>
        <w:t xml:space="preserve">At first glance, there is no such variable </w:t>
      </w:r>
      <w:r w:rsidR="00740440">
        <w:rPr>
          <w:rFonts w:cstheme="minorHAnsi"/>
          <w:sz w:val="24"/>
          <w:szCs w:val="24"/>
        </w:rPr>
        <w:t>that</w:t>
      </w:r>
      <w:r w:rsidR="00452BE4">
        <w:rPr>
          <w:rFonts w:cstheme="minorHAnsi"/>
          <w:sz w:val="24"/>
          <w:szCs w:val="24"/>
        </w:rPr>
        <w:t xml:space="preserve"> </w:t>
      </w:r>
      <w:proofErr w:type="gramStart"/>
      <w:r w:rsidR="00452BE4">
        <w:rPr>
          <w:rFonts w:cstheme="minorHAnsi"/>
          <w:sz w:val="24"/>
          <w:szCs w:val="24"/>
        </w:rPr>
        <w:t>should be dropped</w:t>
      </w:r>
      <w:r w:rsidR="00915D4D" w:rsidRPr="001C713C">
        <w:rPr>
          <w:rFonts w:cstheme="minorHAnsi"/>
          <w:sz w:val="24"/>
          <w:szCs w:val="24"/>
        </w:rPr>
        <w:t>,</w:t>
      </w:r>
      <w:proofErr w:type="gramEnd"/>
      <w:r w:rsidR="00452BE4">
        <w:rPr>
          <w:rFonts w:cstheme="minorHAnsi"/>
          <w:sz w:val="24"/>
          <w:szCs w:val="24"/>
        </w:rPr>
        <w:t xml:space="preserve"> hence</w:t>
      </w:r>
      <w:r w:rsidR="00915D4D" w:rsidRPr="001C713C">
        <w:rPr>
          <w:rFonts w:cstheme="minorHAnsi"/>
          <w:sz w:val="24"/>
          <w:szCs w:val="24"/>
        </w:rPr>
        <w:t xml:space="preserve"> we can reject multicollinearity and assume that there is only a negligible bias between the </w:t>
      </w:r>
      <w:r w:rsidR="00510857">
        <w:rPr>
          <w:rFonts w:cstheme="minorHAnsi"/>
          <w:sz w:val="24"/>
          <w:szCs w:val="24"/>
        </w:rPr>
        <w:t xml:space="preserve">effects of the </w:t>
      </w:r>
      <w:r w:rsidR="00915D4D" w:rsidRPr="001C713C">
        <w:rPr>
          <w:rFonts w:cstheme="minorHAnsi"/>
          <w:sz w:val="24"/>
          <w:szCs w:val="24"/>
        </w:rPr>
        <w:t xml:space="preserve">variables (see </w:t>
      </w:r>
      <w:r w:rsidR="00F06DE1">
        <w:rPr>
          <w:rFonts w:cstheme="minorHAnsi"/>
          <w:sz w:val="24"/>
          <w:szCs w:val="24"/>
        </w:rPr>
        <w:t>Table 1.</w:t>
      </w:r>
      <w:r w:rsidR="00915D4D" w:rsidRPr="001C713C">
        <w:rPr>
          <w:rFonts w:cstheme="minorHAnsi"/>
          <w:sz w:val="24"/>
          <w:szCs w:val="24"/>
        </w:rPr>
        <w:t>).</w:t>
      </w:r>
    </w:p>
    <w:p w14:paraId="6DC65AB6" w14:textId="652BB72E" w:rsidR="00915D4D" w:rsidRDefault="00915D4D" w:rsidP="006E2B80">
      <w:pPr>
        <w:spacing w:line="360" w:lineRule="auto"/>
        <w:ind w:firstLine="397"/>
        <w:jc w:val="both"/>
        <w:rPr>
          <w:noProof/>
        </w:rPr>
      </w:pPr>
      <w:r w:rsidRPr="001C713C">
        <w:rPr>
          <w:rFonts w:cstheme="minorHAnsi"/>
          <w:sz w:val="24"/>
          <w:szCs w:val="24"/>
        </w:rPr>
        <w:t>Put differently, strong exogeneity can be achieved by including the enumerated continuous variables. In the next section, I will first discuss the model selection by implementing a forward selection strategy, which then will arrive at the ultimate model with the full set of both categorical and continuous variables which</w:t>
      </w:r>
      <w:r w:rsidR="00997883">
        <w:rPr>
          <w:rFonts w:cstheme="minorHAnsi"/>
          <w:sz w:val="24"/>
          <w:szCs w:val="24"/>
        </w:rPr>
        <w:t xml:space="preserve"> may</w:t>
      </w:r>
      <w:r w:rsidRPr="001C713C">
        <w:rPr>
          <w:rFonts w:cstheme="minorHAnsi"/>
          <w:sz w:val="24"/>
          <w:szCs w:val="24"/>
        </w:rPr>
        <w:t xml:space="preserve"> account for the fundamental assumptions of the OLS.</w:t>
      </w:r>
      <w:r w:rsidR="00F06DE1" w:rsidRPr="00F06DE1">
        <w:rPr>
          <w:noProof/>
        </w:rPr>
        <w:t xml:space="preserve"> </w:t>
      </w:r>
    </w:p>
    <w:p w14:paraId="00BA5F96" w14:textId="00D3DEB0" w:rsidR="00F06DE1" w:rsidRDefault="006A441B" w:rsidP="005F25ED">
      <w:pPr>
        <w:spacing w:line="360" w:lineRule="auto"/>
        <w:jc w:val="both"/>
        <w:rPr>
          <w:rFonts w:cstheme="minorHAnsi"/>
          <w:sz w:val="24"/>
          <w:szCs w:val="24"/>
        </w:rPr>
      </w:pPr>
      <w:r>
        <w:rPr>
          <w:noProof/>
        </w:rPr>
        <w:lastRenderedPageBreak/>
        <w:drawing>
          <wp:anchor distT="0" distB="0" distL="114300" distR="114300" simplePos="0" relativeHeight="251749376" behindDoc="0" locked="0" layoutInCell="1" allowOverlap="1" wp14:anchorId="7B678B0F" wp14:editId="63C4D060">
            <wp:simplePos x="0" y="0"/>
            <wp:positionH relativeFrom="margin">
              <wp:align>left</wp:align>
            </wp:positionH>
            <wp:positionV relativeFrom="paragraph">
              <wp:posOffset>25400</wp:posOffset>
            </wp:positionV>
            <wp:extent cx="5760720" cy="25609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560955"/>
                    </a:xfrm>
                    <a:prstGeom prst="rect">
                      <a:avLst/>
                    </a:prstGeom>
                  </pic:spPr>
                </pic:pic>
              </a:graphicData>
            </a:graphic>
          </wp:anchor>
        </w:drawing>
      </w:r>
      <w:r w:rsidRPr="006A441B">
        <w:rPr>
          <w:noProof/>
        </w:rPr>
        <w:t xml:space="preserve">  </w:t>
      </w:r>
    </w:p>
    <w:p w14:paraId="4FBA15B7" w14:textId="66F4772C" w:rsidR="0069547B" w:rsidRDefault="006A441B" w:rsidP="005F25ED">
      <w:pPr>
        <w:spacing w:line="360" w:lineRule="auto"/>
        <w:jc w:val="both"/>
        <w:rPr>
          <w:rFonts w:cstheme="minorHAnsi"/>
          <w:sz w:val="24"/>
          <w:szCs w:val="24"/>
        </w:rPr>
      </w:pPr>
      <w:r>
        <w:rPr>
          <w:noProof/>
        </w:rPr>
        <w:drawing>
          <wp:anchor distT="0" distB="0" distL="114300" distR="114300" simplePos="0" relativeHeight="251750400" behindDoc="0" locked="0" layoutInCell="1" allowOverlap="1" wp14:anchorId="54AF2F63" wp14:editId="2C65EDD3">
            <wp:simplePos x="0" y="0"/>
            <wp:positionH relativeFrom="margin">
              <wp:align>center</wp:align>
            </wp:positionH>
            <wp:positionV relativeFrom="paragraph">
              <wp:posOffset>1587583</wp:posOffset>
            </wp:positionV>
            <wp:extent cx="2305685" cy="17887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05685" cy="178879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To be more confident in including these variables at the right</w:t>
      </w:r>
      <w:r w:rsidR="00740440">
        <w:rPr>
          <w:rFonts w:cstheme="minorHAnsi"/>
          <w:sz w:val="24"/>
          <w:szCs w:val="24"/>
        </w:rPr>
        <w:t>-</w:t>
      </w:r>
      <w:r>
        <w:rPr>
          <w:rFonts w:cstheme="minorHAnsi"/>
          <w:sz w:val="24"/>
          <w:szCs w:val="24"/>
        </w:rPr>
        <w:t>hand side of our future specifications, we can observe the Variance Inflation Factor</w:t>
      </w:r>
      <w:r w:rsidR="005713EC">
        <w:rPr>
          <w:rFonts w:cstheme="minorHAnsi"/>
          <w:sz w:val="24"/>
          <w:szCs w:val="24"/>
        </w:rPr>
        <w:t xml:space="preserve"> (VIF))</w:t>
      </w:r>
      <w:r>
        <w:rPr>
          <w:rFonts w:cstheme="minorHAnsi"/>
          <w:sz w:val="24"/>
          <w:szCs w:val="24"/>
        </w:rPr>
        <w:t xml:space="preserve"> of the reduced data frame containing the continuous variables. According to the rule of thumb, a variable should be omitted from the equation if its VIF value exceed</w:t>
      </w:r>
      <w:r w:rsidR="00740440">
        <w:rPr>
          <w:rFonts w:cstheme="minorHAnsi"/>
          <w:sz w:val="24"/>
          <w:szCs w:val="24"/>
        </w:rPr>
        <w:t>s</w:t>
      </w:r>
      <w:r>
        <w:rPr>
          <w:rFonts w:cstheme="minorHAnsi"/>
          <w:sz w:val="24"/>
          <w:szCs w:val="24"/>
        </w:rPr>
        <w:t xml:space="preserve"> the cutoff value of 5.0, which in this case is not applicable, therefore they pass both stages of the baseline screening.</w:t>
      </w:r>
    </w:p>
    <w:p w14:paraId="0D567673" w14:textId="77777777" w:rsidR="001F5B73" w:rsidRDefault="001F5B73" w:rsidP="005F25ED">
      <w:pPr>
        <w:spacing w:line="360" w:lineRule="auto"/>
        <w:jc w:val="both"/>
        <w:rPr>
          <w:rFonts w:cstheme="minorHAnsi"/>
          <w:sz w:val="24"/>
          <w:szCs w:val="24"/>
        </w:rPr>
      </w:pPr>
    </w:p>
    <w:p w14:paraId="6D92EFDA" w14:textId="1BD1585A" w:rsidR="00915D4D" w:rsidRDefault="00312005" w:rsidP="005944F8">
      <w:pPr>
        <w:pStyle w:val="Heading2"/>
      </w:pPr>
      <w:bookmarkStart w:id="32" w:name="_Toc64591274"/>
      <w:r>
        <w:t>3</w:t>
      </w:r>
      <w:r w:rsidR="00915D4D" w:rsidRPr="001C713C">
        <w:t>.</w:t>
      </w:r>
      <w:r w:rsidR="006548FE">
        <w:t>4</w:t>
      </w:r>
      <w:r w:rsidR="00915D4D" w:rsidRPr="001C713C">
        <w:t>. Methods</w:t>
      </w:r>
      <w:bookmarkEnd w:id="32"/>
    </w:p>
    <w:p w14:paraId="7A08EE25" w14:textId="1923CCAC" w:rsidR="008277FC" w:rsidRPr="008277FC" w:rsidRDefault="008277FC" w:rsidP="008277FC">
      <w:pPr>
        <w:pStyle w:val="Heading3"/>
      </w:pPr>
      <w:bookmarkStart w:id="33" w:name="_Toc64591275"/>
      <w:r>
        <w:t>3.4.1. Value-Added Model (VAM)</w:t>
      </w:r>
      <w:bookmarkEnd w:id="33"/>
    </w:p>
    <w:p w14:paraId="7BF29FD4" w14:textId="47AD9898" w:rsidR="00644A80" w:rsidRDefault="006D5F2A" w:rsidP="00D22637">
      <w:pPr>
        <w:spacing w:line="360" w:lineRule="auto"/>
        <w:ind w:firstLine="397"/>
        <w:jc w:val="both"/>
        <w:rPr>
          <w:sz w:val="24"/>
          <w:szCs w:val="24"/>
        </w:rPr>
      </w:pPr>
      <w:r w:rsidRPr="005447A1">
        <w:rPr>
          <w:sz w:val="24"/>
          <w:szCs w:val="24"/>
        </w:rPr>
        <w:t>Value</w:t>
      </w:r>
      <w:r w:rsidR="00560B38" w:rsidRPr="005447A1">
        <w:rPr>
          <w:sz w:val="24"/>
          <w:szCs w:val="24"/>
        </w:rPr>
        <w:t>-</w:t>
      </w:r>
      <w:r w:rsidRPr="005447A1">
        <w:rPr>
          <w:sz w:val="24"/>
          <w:szCs w:val="24"/>
        </w:rPr>
        <w:t>Added Models (</w:t>
      </w:r>
      <w:r w:rsidR="009A5184" w:rsidRPr="005447A1">
        <w:rPr>
          <w:sz w:val="24"/>
          <w:szCs w:val="24"/>
        </w:rPr>
        <w:t>VAMs</w:t>
      </w:r>
      <w:r w:rsidRPr="005447A1">
        <w:rPr>
          <w:sz w:val="24"/>
          <w:szCs w:val="24"/>
        </w:rPr>
        <w:t>)</w:t>
      </w:r>
      <w:r w:rsidR="009A5184" w:rsidRPr="005447A1">
        <w:rPr>
          <w:sz w:val="24"/>
          <w:szCs w:val="24"/>
        </w:rPr>
        <w:t xml:space="preserve"> are one of the most used tools when it comes to understanding educational productio</w:t>
      </w:r>
      <w:r w:rsidR="00065FA7">
        <w:rPr>
          <w:sz w:val="24"/>
          <w:szCs w:val="24"/>
        </w:rPr>
        <w:t>n. It f</w:t>
      </w:r>
      <w:r w:rsidR="005D7F40" w:rsidRPr="005447A1">
        <w:rPr>
          <w:sz w:val="24"/>
          <w:szCs w:val="24"/>
        </w:rPr>
        <w:t>irst saw daylight</w:t>
      </w:r>
      <w:r w:rsidR="00783708" w:rsidRPr="005447A1">
        <w:rPr>
          <w:sz w:val="24"/>
          <w:szCs w:val="24"/>
        </w:rPr>
        <w:t xml:space="preserve"> when</w:t>
      </w:r>
      <w:r w:rsidR="005D7F40" w:rsidRPr="005447A1">
        <w:rPr>
          <w:sz w:val="24"/>
          <w:szCs w:val="24"/>
        </w:rPr>
        <w:t xml:space="preserve"> assessing student outcomes associated with the No Child Left Behind Act (NCLB) of 2011</w:t>
      </w:r>
      <w:r w:rsidR="00783708" w:rsidRPr="005447A1">
        <w:rPr>
          <w:sz w:val="24"/>
          <w:szCs w:val="24"/>
        </w:rPr>
        <w:t xml:space="preserve">, and became widely </w:t>
      </w:r>
      <w:r w:rsidR="00FD6CC7" w:rsidRPr="005447A1">
        <w:rPr>
          <w:sz w:val="24"/>
          <w:szCs w:val="24"/>
        </w:rPr>
        <w:t>adopted</w:t>
      </w:r>
      <w:r w:rsidR="00783708" w:rsidRPr="005447A1">
        <w:rPr>
          <w:sz w:val="24"/>
          <w:szCs w:val="24"/>
        </w:rPr>
        <w:t xml:space="preserve"> after the paper of Sanders, Saxton, &amp; Horn (1997) on Tennessee jurisdictions</w:t>
      </w:r>
      <w:r w:rsidR="002B76DF" w:rsidRPr="005447A1">
        <w:rPr>
          <w:sz w:val="24"/>
          <w:szCs w:val="24"/>
        </w:rPr>
        <w:t xml:space="preserve"> </w:t>
      </w:r>
      <w:r w:rsidR="002B76DF" w:rsidRPr="005447A1">
        <w:rPr>
          <w:sz w:val="24"/>
          <w:szCs w:val="24"/>
        </w:rPr>
        <w:fldChar w:fldCharType="begin" w:fldLock="1"/>
      </w:r>
      <w:r w:rsidR="002B76DF" w:rsidRPr="005447A1">
        <w:rPr>
          <w:sz w:val="24"/>
          <w:szCs w:val="24"/>
        </w:rPr>
        <w:instrText>ADDIN CSL_CITATION {"citationItems":[{"id":"ITEM-1","itemData":{"DOI":"10.1023/a:1007999204543","ISSN":"15730425","abstract":"The Tennessee Value-Added Assessment System (TVAAS) has been designed to use statistical mixed-model methodologies to conduct multivariate, longitudinal analyses of student achievement to make estimates of school, class size, teacher, and other effects. This study examined the relative magnitude of teacher effects on student achievement while simultaneously considering the influences of intraclassroom heterogeneity, student achievement level, and class size on academic growth. The results show that teacher effects are dominant factors affecting student academic gain and that the classroom context variables of heterogeneity among students and class sizes have relatively little influence on academic gain. Thus, a major conclusion is that teachers make a difference. Implications of the findings for teacher evaluation and future research are discussed. © 1997 Kluwer Academic Publishers, Boston.","author":[{"dropping-particle":"","family":"Wright","given":"S. Paul","non-dropping-particle":"","parse-names":false,"suffix":""},{"dropping-particle":"","family":"Horn","given":"Sandra P.","non-dropping-particle":"","parse-names":false,"suffix":""},{"dropping-particle":"","family":"Sanders","given":"William L.","non-dropping-particle":"","parse-names":false,"suffix":""}],"container-title":"Journal of Personnel Evaluation in Education","id":"ITEM-1","issue":"1","issued":{"date-parts":[["1997"]]},"page":"57-67","title":"Teacher and classroom context effects on student achievement: Implications for teacher evaluation","type":"article-journal","volume":"11"},"uris":["http://www.mendeley.com/documents/?uuid=806816c1-80ff-415a-8126-2ae917cd1371"]}],"mendeley":{"formattedCitation":"(Wright et al., 1997)","plainTextFormattedCitation":"(Wright et al., 1997)","previouslyFormattedCitation":"(Wright et al., 1997)"},"properties":{"noteIndex":0},"schema":"https://github.com/citation-style-language/schema/raw/master/csl-citation.json"}</w:instrText>
      </w:r>
      <w:r w:rsidR="002B76DF" w:rsidRPr="005447A1">
        <w:rPr>
          <w:sz w:val="24"/>
          <w:szCs w:val="24"/>
        </w:rPr>
        <w:fldChar w:fldCharType="separate"/>
      </w:r>
      <w:r w:rsidR="002B76DF" w:rsidRPr="005447A1">
        <w:rPr>
          <w:noProof/>
          <w:sz w:val="24"/>
          <w:szCs w:val="24"/>
        </w:rPr>
        <w:t>(Wright et al., 1997)</w:t>
      </w:r>
      <w:r w:rsidR="002B76DF" w:rsidRPr="005447A1">
        <w:rPr>
          <w:sz w:val="24"/>
          <w:szCs w:val="24"/>
        </w:rPr>
        <w:fldChar w:fldCharType="end"/>
      </w:r>
      <w:r w:rsidR="0063144F" w:rsidRPr="005447A1">
        <w:rPr>
          <w:sz w:val="24"/>
          <w:szCs w:val="24"/>
        </w:rPr>
        <w:t>.</w:t>
      </w:r>
      <w:r w:rsidR="00D82E3E" w:rsidRPr="005447A1">
        <w:rPr>
          <w:sz w:val="24"/>
          <w:szCs w:val="24"/>
        </w:rPr>
        <w:t xml:space="preserve"> In our case, i</w:t>
      </w:r>
      <w:r w:rsidR="00871CEC" w:rsidRPr="005447A1">
        <w:rPr>
          <w:sz w:val="24"/>
          <w:szCs w:val="24"/>
        </w:rPr>
        <w:t xml:space="preserve">t </w:t>
      </w:r>
      <w:r w:rsidR="00D82E3E" w:rsidRPr="005447A1">
        <w:rPr>
          <w:sz w:val="24"/>
          <w:szCs w:val="24"/>
        </w:rPr>
        <w:t>tells us</w:t>
      </w:r>
      <w:r w:rsidR="00871CEC" w:rsidRPr="005447A1">
        <w:rPr>
          <w:sz w:val="24"/>
          <w:szCs w:val="24"/>
        </w:rPr>
        <w:t xml:space="preserve"> how much value a separation </w:t>
      </w:r>
      <w:r w:rsidR="00AD0E48" w:rsidRPr="005447A1">
        <w:rPr>
          <w:sz w:val="24"/>
          <w:szCs w:val="24"/>
        </w:rPr>
        <w:t>added</w:t>
      </w:r>
      <w:r w:rsidR="00871CEC" w:rsidRPr="005447A1">
        <w:rPr>
          <w:sz w:val="24"/>
          <w:szCs w:val="24"/>
        </w:rPr>
        <w:t xml:space="preserve"> to the </w:t>
      </w:r>
      <w:r w:rsidR="00CA58D9">
        <w:rPr>
          <w:sz w:val="24"/>
          <w:szCs w:val="24"/>
        </w:rPr>
        <w:t>lagged-</w:t>
      </w:r>
      <w:r w:rsidR="00D76818" w:rsidRPr="005447A1">
        <w:rPr>
          <w:sz w:val="24"/>
          <w:szCs w:val="24"/>
        </w:rPr>
        <w:t>GPA</w:t>
      </w:r>
      <w:r w:rsidR="00871CEC" w:rsidRPr="005447A1">
        <w:rPr>
          <w:sz w:val="24"/>
          <w:szCs w:val="24"/>
        </w:rPr>
        <w:t xml:space="preserve"> of a student</w:t>
      </w:r>
      <w:r w:rsidR="00507517">
        <w:rPr>
          <w:sz w:val="24"/>
          <w:szCs w:val="24"/>
        </w:rPr>
        <w:t xml:space="preserve"> in </w:t>
      </w:r>
      <w:r w:rsidR="00507517">
        <w:rPr>
          <w:sz w:val="24"/>
          <w:szCs w:val="24"/>
        </w:rPr>
        <w:lastRenderedPageBreak/>
        <w:t>2006</w:t>
      </w:r>
      <w:r w:rsidR="00EE0D1D">
        <w:rPr>
          <w:sz w:val="24"/>
          <w:szCs w:val="24"/>
        </w:rPr>
        <w:t xml:space="preserve"> as of 2009</w:t>
      </w:r>
      <w:r w:rsidR="00871CEC" w:rsidRPr="005447A1">
        <w:rPr>
          <w:sz w:val="24"/>
          <w:szCs w:val="24"/>
        </w:rPr>
        <w:t>.</w:t>
      </w:r>
      <w:r w:rsidR="009A5184" w:rsidRPr="005447A1">
        <w:rPr>
          <w:sz w:val="24"/>
          <w:szCs w:val="24"/>
        </w:rPr>
        <w:t xml:space="preserve"> </w:t>
      </w:r>
      <w:r w:rsidR="00E93411" w:rsidRPr="005447A1">
        <w:rPr>
          <w:sz w:val="24"/>
          <w:szCs w:val="24"/>
        </w:rPr>
        <w:t>The fundamental purpose is that</w:t>
      </w:r>
      <w:r w:rsidR="00F97E09" w:rsidRPr="005447A1">
        <w:rPr>
          <w:sz w:val="24"/>
          <w:szCs w:val="24"/>
        </w:rPr>
        <w:t xml:space="preserve"> </w:t>
      </w:r>
      <w:r w:rsidR="00C42044">
        <w:rPr>
          <w:sz w:val="24"/>
          <w:szCs w:val="24"/>
        </w:rPr>
        <w:t>lagged</w:t>
      </w:r>
      <w:r w:rsidR="00E93411" w:rsidRPr="005447A1">
        <w:rPr>
          <w:sz w:val="24"/>
          <w:szCs w:val="24"/>
        </w:rPr>
        <w:t xml:space="preserve"> school grades</w:t>
      </w:r>
      <w:r w:rsidR="0018735F" w:rsidRPr="005447A1">
        <w:rPr>
          <w:sz w:val="24"/>
          <w:szCs w:val="24"/>
        </w:rPr>
        <w:t xml:space="preserve"> (benchmark)</w:t>
      </w:r>
      <w:r w:rsidR="00E93411" w:rsidRPr="005447A1">
        <w:rPr>
          <w:sz w:val="24"/>
          <w:szCs w:val="24"/>
        </w:rPr>
        <w:t xml:space="preserve"> in the regression equation incorporate </w:t>
      </w:r>
      <w:r w:rsidR="00C42044">
        <w:rPr>
          <w:sz w:val="24"/>
          <w:szCs w:val="24"/>
        </w:rPr>
        <w:t xml:space="preserve">most of </w:t>
      </w:r>
      <w:r w:rsidR="00E93411" w:rsidRPr="005447A1">
        <w:rPr>
          <w:sz w:val="24"/>
          <w:szCs w:val="24"/>
        </w:rPr>
        <w:t xml:space="preserve">the </w:t>
      </w:r>
      <w:r w:rsidR="001669AC">
        <w:rPr>
          <w:sz w:val="24"/>
          <w:szCs w:val="24"/>
        </w:rPr>
        <w:t>student and school covariates</w:t>
      </w:r>
      <w:r w:rsidR="00FD6CC7" w:rsidRPr="005447A1">
        <w:rPr>
          <w:sz w:val="24"/>
          <w:szCs w:val="24"/>
        </w:rPr>
        <w:t xml:space="preserve"> (not under the control of parents)</w:t>
      </w:r>
      <w:r w:rsidR="00E93411" w:rsidRPr="005447A1">
        <w:rPr>
          <w:sz w:val="24"/>
          <w:szCs w:val="24"/>
        </w:rPr>
        <w:t xml:space="preserve"> between the control and treatment group</w:t>
      </w:r>
      <w:r w:rsidR="00F97E09" w:rsidRPr="005447A1">
        <w:rPr>
          <w:sz w:val="24"/>
          <w:szCs w:val="24"/>
        </w:rPr>
        <w:t>s</w:t>
      </w:r>
      <w:r w:rsidR="00E93411" w:rsidRPr="005447A1">
        <w:rPr>
          <w:sz w:val="24"/>
          <w:szCs w:val="24"/>
        </w:rPr>
        <w:t xml:space="preserve">. Along with the </w:t>
      </w:r>
      <w:r w:rsidR="00D22637">
        <w:rPr>
          <w:sz w:val="24"/>
          <w:szCs w:val="24"/>
        </w:rPr>
        <w:t>lagged</w:t>
      </w:r>
      <w:r w:rsidR="00E93411" w:rsidRPr="005447A1">
        <w:rPr>
          <w:sz w:val="24"/>
          <w:szCs w:val="24"/>
        </w:rPr>
        <w:t xml:space="preserve"> performance, </w:t>
      </w:r>
      <w:r w:rsidR="001669AC">
        <w:rPr>
          <w:sz w:val="24"/>
          <w:szCs w:val="24"/>
        </w:rPr>
        <w:t xml:space="preserve">home environment, SES, PSI, residential </w:t>
      </w:r>
      <w:r w:rsidR="00407F32">
        <w:rPr>
          <w:sz w:val="24"/>
          <w:szCs w:val="24"/>
        </w:rPr>
        <w:t>mobility,</w:t>
      </w:r>
      <w:r w:rsidR="001669AC">
        <w:rPr>
          <w:sz w:val="24"/>
          <w:szCs w:val="24"/>
        </w:rPr>
        <w:t xml:space="preserve"> </w:t>
      </w:r>
      <w:r w:rsidR="00D22637">
        <w:rPr>
          <w:sz w:val="24"/>
          <w:szCs w:val="24"/>
        </w:rPr>
        <w:t>and the approximate time of separation</w:t>
      </w:r>
      <w:r w:rsidR="001669AC">
        <w:rPr>
          <w:sz w:val="24"/>
          <w:szCs w:val="24"/>
        </w:rPr>
        <w:t xml:space="preserve"> </w:t>
      </w:r>
      <w:r w:rsidR="005D61E5">
        <w:rPr>
          <w:sz w:val="24"/>
          <w:szCs w:val="24"/>
        </w:rPr>
        <w:t xml:space="preserve">variables </w:t>
      </w:r>
      <w:r w:rsidR="001669AC">
        <w:rPr>
          <w:sz w:val="24"/>
          <w:szCs w:val="24"/>
        </w:rPr>
        <w:t>are</w:t>
      </w:r>
      <w:r w:rsidR="00E93411" w:rsidRPr="005447A1">
        <w:rPr>
          <w:sz w:val="24"/>
          <w:szCs w:val="24"/>
        </w:rPr>
        <w:t xml:space="preserve"> </w:t>
      </w:r>
      <w:r w:rsidR="001669AC">
        <w:rPr>
          <w:sz w:val="24"/>
          <w:szCs w:val="24"/>
        </w:rPr>
        <w:t>also</w:t>
      </w:r>
      <w:r w:rsidR="00E93411" w:rsidRPr="005447A1">
        <w:rPr>
          <w:sz w:val="24"/>
          <w:szCs w:val="24"/>
        </w:rPr>
        <w:t xml:space="preserve"> included. Such </w:t>
      </w:r>
      <w:r w:rsidR="00F97E09" w:rsidRPr="005447A1">
        <w:rPr>
          <w:sz w:val="24"/>
          <w:szCs w:val="24"/>
        </w:rPr>
        <w:t xml:space="preserve">a </w:t>
      </w:r>
      <w:r w:rsidR="00E93411" w:rsidRPr="005447A1">
        <w:rPr>
          <w:sz w:val="24"/>
          <w:szCs w:val="24"/>
        </w:rPr>
        <w:t>methodology allows us to represent the static difference between family types in a one-shot estimation</w:t>
      </w:r>
      <w:r w:rsidR="00EA33C0" w:rsidRPr="005447A1">
        <w:rPr>
          <w:sz w:val="24"/>
          <w:szCs w:val="24"/>
        </w:rPr>
        <w:t xml:space="preserve"> and confirm that negative patterns </w:t>
      </w:r>
      <w:r w:rsidR="00740440">
        <w:rPr>
          <w:sz w:val="24"/>
          <w:szCs w:val="24"/>
        </w:rPr>
        <w:t>are</w:t>
      </w:r>
      <w:r w:rsidR="00C42044">
        <w:rPr>
          <w:sz w:val="24"/>
          <w:szCs w:val="24"/>
        </w:rPr>
        <w:t xml:space="preserve"> recognizable</w:t>
      </w:r>
      <w:r w:rsidR="00EA33C0" w:rsidRPr="005447A1">
        <w:rPr>
          <w:sz w:val="24"/>
          <w:szCs w:val="24"/>
        </w:rPr>
        <w:t xml:space="preserve"> after </w:t>
      </w:r>
      <w:r w:rsidR="00F97E09" w:rsidRPr="005447A1">
        <w:rPr>
          <w:sz w:val="24"/>
          <w:szCs w:val="24"/>
        </w:rPr>
        <w:t xml:space="preserve">the </w:t>
      </w:r>
      <w:r w:rsidR="00EA33C0" w:rsidRPr="005447A1">
        <w:rPr>
          <w:sz w:val="24"/>
          <w:szCs w:val="24"/>
        </w:rPr>
        <w:t>family transition</w:t>
      </w:r>
      <w:r w:rsidR="00E93411" w:rsidRPr="005447A1">
        <w:rPr>
          <w:sz w:val="24"/>
          <w:szCs w:val="24"/>
        </w:rPr>
        <w:t xml:space="preserve">. Given that our results will be significant and in line with the existing literature, should we proceed </w:t>
      </w:r>
      <w:r w:rsidR="006D2DDD" w:rsidRPr="005447A1">
        <w:rPr>
          <w:sz w:val="24"/>
          <w:szCs w:val="24"/>
        </w:rPr>
        <w:t>to</w:t>
      </w:r>
      <w:r w:rsidR="00E93411" w:rsidRPr="005447A1">
        <w:rPr>
          <w:sz w:val="24"/>
          <w:szCs w:val="24"/>
        </w:rPr>
        <w:t xml:space="preserve"> the dynamic approach</w:t>
      </w:r>
      <w:r w:rsidR="006D2DDD" w:rsidRPr="005447A1">
        <w:rPr>
          <w:sz w:val="24"/>
          <w:szCs w:val="24"/>
        </w:rPr>
        <w:t xml:space="preserve"> </w:t>
      </w:r>
      <w:r w:rsidR="004F713C" w:rsidRPr="005447A1">
        <w:rPr>
          <w:sz w:val="24"/>
          <w:szCs w:val="24"/>
        </w:rPr>
        <w:t xml:space="preserve">described in the next subsection </w:t>
      </w:r>
      <w:r w:rsidR="006D2DDD" w:rsidRPr="005447A1">
        <w:rPr>
          <w:sz w:val="24"/>
          <w:szCs w:val="24"/>
        </w:rPr>
        <w:t xml:space="preserve">where we account for </w:t>
      </w:r>
      <w:r w:rsidR="00F97E09" w:rsidRPr="005447A1">
        <w:rPr>
          <w:sz w:val="24"/>
          <w:szCs w:val="24"/>
        </w:rPr>
        <w:t xml:space="preserve">the </w:t>
      </w:r>
      <w:r w:rsidR="006D2DDD" w:rsidRPr="005447A1">
        <w:rPr>
          <w:sz w:val="24"/>
          <w:szCs w:val="24"/>
        </w:rPr>
        <w:t>length of exposure</w:t>
      </w:r>
      <w:r w:rsidR="00E93411" w:rsidRPr="005447A1">
        <w:rPr>
          <w:sz w:val="24"/>
          <w:szCs w:val="24"/>
        </w:rPr>
        <w:t xml:space="preserve">. </w:t>
      </w:r>
      <w:r w:rsidR="009A5184" w:rsidRPr="005447A1">
        <w:rPr>
          <w:sz w:val="24"/>
          <w:szCs w:val="24"/>
        </w:rPr>
        <w:t xml:space="preserve">As a separation indicator </w:t>
      </w:r>
      <w:r w:rsidR="0037038C" w:rsidRPr="005447A1">
        <w:rPr>
          <w:sz w:val="24"/>
          <w:szCs w:val="24"/>
        </w:rPr>
        <w:t>category</w:t>
      </w:r>
      <w:r w:rsidR="00F97E09" w:rsidRPr="005447A1">
        <w:rPr>
          <w:sz w:val="24"/>
          <w:szCs w:val="24"/>
        </w:rPr>
        <w:t>,</w:t>
      </w:r>
      <w:r w:rsidR="0037038C" w:rsidRPr="005447A1">
        <w:rPr>
          <w:sz w:val="24"/>
          <w:szCs w:val="24"/>
        </w:rPr>
        <w:t xml:space="preserve"> </w:t>
      </w:r>
      <w:r w:rsidR="009A5184" w:rsidRPr="005447A1">
        <w:rPr>
          <w:sz w:val="24"/>
          <w:szCs w:val="24"/>
        </w:rPr>
        <w:t xml:space="preserve">we will distinguish three groups: children whose biological parents (1) were separated before 2006, (2) between 2006 and 2009, (3) or never experienced a disruption. </w:t>
      </w:r>
    </w:p>
    <w:p w14:paraId="4E642F04" w14:textId="73B91F05" w:rsidR="00C42044" w:rsidRPr="005447A1" w:rsidRDefault="00C42044" w:rsidP="0037038C">
      <w:pPr>
        <w:spacing w:line="360" w:lineRule="auto"/>
        <w:ind w:firstLine="397"/>
        <w:jc w:val="both"/>
        <w:rPr>
          <w:sz w:val="24"/>
          <w:szCs w:val="24"/>
        </w:rPr>
      </w:pPr>
      <w:r>
        <w:rPr>
          <w:sz w:val="24"/>
          <w:szCs w:val="24"/>
        </w:rPr>
        <w:t>I will construct seven specification</w:t>
      </w:r>
      <w:r w:rsidR="00740440">
        <w:rPr>
          <w:sz w:val="24"/>
          <w:szCs w:val="24"/>
        </w:rPr>
        <w:t>s</w:t>
      </w:r>
      <w:r>
        <w:rPr>
          <w:sz w:val="24"/>
          <w:szCs w:val="24"/>
        </w:rPr>
        <w:t xml:space="preserve"> where I build upon the unconditional model based on the forward selection principle. </w:t>
      </w:r>
      <w:r w:rsidR="00AE2104">
        <w:rPr>
          <w:sz w:val="23"/>
          <w:szCs w:val="23"/>
        </w:rPr>
        <w:t>In the first phase, I will estimate the baseline model without any discussed covariates</w:t>
      </w:r>
      <w:r w:rsidR="00AE2104" w:rsidRPr="00AE2104">
        <w:rPr>
          <w:sz w:val="24"/>
          <w:szCs w:val="24"/>
        </w:rPr>
        <w:t xml:space="preserve">. Next, I will add regressors one by one starting with the set of exogeneous effects (student characteristics, SES) which are independently responsible for the outcome variable and not induced by parental separation, then continue with mitigators (home environment, school characteristics, PSI, residential mobility) which are often referred to as the channels of family disruption effect. The Directed </w:t>
      </w:r>
      <w:proofErr w:type="spellStart"/>
      <w:r w:rsidR="00AE2104" w:rsidRPr="00AE2104">
        <w:rPr>
          <w:sz w:val="24"/>
          <w:szCs w:val="24"/>
        </w:rPr>
        <w:t>Acyclical</w:t>
      </w:r>
      <w:proofErr w:type="spellEnd"/>
      <w:r w:rsidR="00AE2104" w:rsidRPr="00AE2104">
        <w:rPr>
          <w:sz w:val="24"/>
          <w:szCs w:val="24"/>
        </w:rPr>
        <w:t xml:space="preserve"> Graph (DAG) (Figure 1.) represents the effect flows of each variable and illustrates my hypothesis when building the models.</w:t>
      </w:r>
    </w:p>
    <w:p w14:paraId="6EC121ED" w14:textId="0705DFCF" w:rsidR="0037038C" w:rsidRPr="005447A1" w:rsidRDefault="0037038C" w:rsidP="00AC3422">
      <w:pPr>
        <w:spacing w:line="360" w:lineRule="auto"/>
        <w:jc w:val="both"/>
        <w:rPr>
          <w:sz w:val="24"/>
          <w:szCs w:val="24"/>
        </w:rPr>
      </w:pPr>
      <w:r w:rsidRPr="005447A1">
        <w:rPr>
          <w:sz w:val="24"/>
          <w:szCs w:val="24"/>
        </w:rPr>
        <w:t>The full</w:t>
      </w:r>
      <w:r w:rsidR="00C42044">
        <w:rPr>
          <w:sz w:val="24"/>
          <w:szCs w:val="24"/>
        </w:rPr>
        <w:t xml:space="preserve"> (seventh)</w:t>
      </w:r>
      <w:r w:rsidRPr="005447A1">
        <w:rPr>
          <w:sz w:val="24"/>
          <w:szCs w:val="24"/>
        </w:rPr>
        <w:t xml:space="preserve"> specification of our linear VAM</w:t>
      </w:r>
      <w:r w:rsidR="0018735F" w:rsidRPr="005447A1">
        <w:rPr>
          <w:sz w:val="24"/>
          <w:szCs w:val="24"/>
        </w:rPr>
        <w:t xml:space="preserve"> is</w:t>
      </w:r>
      <w:r w:rsidRPr="005447A1">
        <w:rPr>
          <w:sz w:val="24"/>
          <w:szCs w:val="24"/>
        </w:rPr>
        <w:t xml:space="preserve"> </w:t>
      </w:r>
      <w:r w:rsidR="0018735F" w:rsidRPr="005447A1">
        <w:rPr>
          <w:sz w:val="24"/>
          <w:szCs w:val="24"/>
        </w:rPr>
        <w:t>demonstrated</w:t>
      </w:r>
      <w:r w:rsidRPr="005447A1">
        <w:rPr>
          <w:sz w:val="24"/>
          <w:szCs w:val="24"/>
        </w:rPr>
        <w:t xml:space="preserve"> as follows</w:t>
      </w:r>
      <w:r w:rsidR="00C42044">
        <w:rPr>
          <w:sz w:val="24"/>
          <w:szCs w:val="24"/>
        </w:rPr>
        <w:t>,</w:t>
      </w:r>
    </w:p>
    <w:p w14:paraId="0DFE8994" w14:textId="77777777" w:rsidR="00451AFD" w:rsidRDefault="00451AFD" w:rsidP="0037038C">
      <w:pPr>
        <w:spacing w:line="360" w:lineRule="auto"/>
        <w:ind w:firstLine="397"/>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37038C" w14:paraId="2D327E7F" w14:textId="77777777" w:rsidTr="0037038C">
        <w:tc>
          <w:tcPr>
            <w:tcW w:w="199" w:type="pct"/>
          </w:tcPr>
          <w:p w14:paraId="5EDEC04E" w14:textId="77777777" w:rsidR="0037038C" w:rsidRDefault="0037038C" w:rsidP="00A7104F">
            <w:pPr>
              <w:spacing w:line="360" w:lineRule="auto"/>
              <w:jc w:val="both"/>
              <w:rPr>
                <w:rFonts w:eastAsiaTheme="minorEastAsia"/>
                <w:sz w:val="24"/>
                <w:szCs w:val="24"/>
              </w:rPr>
            </w:pPr>
          </w:p>
        </w:tc>
        <w:tc>
          <w:tcPr>
            <w:tcW w:w="4589" w:type="pct"/>
          </w:tcPr>
          <w:p w14:paraId="22845B1C" w14:textId="6041B6F5" w:rsidR="005B4152" w:rsidRPr="005B4152" w:rsidRDefault="005B4152" w:rsidP="00A7104F">
            <w:pPr>
              <w:spacing w:line="360" w:lineRule="auto"/>
              <w:jc w:val="both"/>
              <w:rPr>
                <w:rFonts w:eastAsiaTheme="minorEastAsia"/>
                <w:sz w:val="24"/>
                <w:szCs w:val="24"/>
              </w:rPr>
            </w:pPr>
            <m:oMathPara>
              <m:oMath>
                <m:r>
                  <w:rPr>
                    <w:rFonts w:ascii="Cambria Math" w:eastAsiaTheme="minorEastAsia" w:hAnsi="Cambria Math"/>
                    <w:sz w:val="24"/>
                    <w:szCs w:val="24"/>
                  </w:rPr>
                  <m:t>GP</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α</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1</m:t>
                    </m:r>
                  </m:sub>
                </m:sSub>
                <m:r>
                  <w:rPr>
                    <w:rFonts w:ascii="Cambria Math" w:eastAsiaTheme="minorEastAsia" w:hAnsi="Cambria Math"/>
                    <w:sz w:val="24"/>
                    <w:szCs w:val="24"/>
                  </w:rPr>
                  <m:t>GP</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i,06</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r>
                  <w:rPr>
                    <w:rFonts w:ascii="Cambria Math" w:eastAsiaTheme="minorEastAsia" w:hAnsi="Cambria Math"/>
                    <w:sz w:val="24"/>
                    <w:szCs w:val="24"/>
                  </w:rPr>
                  <m:t>Studen</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3</m:t>
                    </m:r>
                  </m:sub>
                </m:sSub>
                <m:r>
                  <w:rPr>
                    <w:rFonts w:ascii="Cambria Math" w:eastAsiaTheme="minorEastAsia" w:hAnsi="Cambria Math"/>
                    <w:sz w:val="24"/>
                    <w:szCs w:val="24"/>
                  </w:rPr>
                  <m:t>SE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β</m:t>
                    </m:r>
                  </m:e>
                  <m:sub>
                    <m:r>
                      <w:rPr>
                        <w:rFonts w:ascii="Cambria Math" w:eastAsiaTheme="minorEastAsia" w:hAnsi="Cambria Math"/>
                        <w:sz w:val="24"/>
                        <w:szCs w:val="24"/>
                      </w:rPr>
                      <m:t>4</m:t>
                    </m:r>
                  </m:sub>
                </m:sSub>
                <m:r>
                  <w:rPr>
                    <w:rFonts w:ascii="Cambria Math" w:eastAsiaTheme="minorEastAsia" w:hAnsi="Cambria Math"/>
                    <w:sz w:val="24"/>
                    <w:szCs w:val="24"/>
                  </w:rPr>
                  <m:t>Hom</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5</m:t>
                    </m:r>
                  </m:sub>
                </m:sSub>
                <m:r>
                  <w:rPr>
                    <w:rFonts w:ascii="Cambria Math" w:eastAsiaTheme="minorEastAsia" w:hAnsi="Cambria Math"/>
                    <w:sz w:val="24"/>
                    <w:szCs w:val="24"/>
                  </w:rPr>
                  <m:t>Schoo</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6</m:t>
                    </m:r>
                  </m:sub>
                </m:sSub>
                <m:r>
                  <w:rPr>
                    <w:rFonts w:ascii="Cambria Math" w:eastAsiaTheme="minorEastAsia" w:hAnsi="Cambria Math"/>
                    <w:sz w:val="24"/>
                    <w:szCs w:val="24"/>
                  </w:rPr>
                  <m:t>PS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i,09</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7</m:t>
                    </m:r>
                  </m:sub>
                </m:sSub>
                <m:r>
                  <w:rPr>
                    <w:rFonts w:ascii="Cambria Math" w:eastAsiaTheme="minorEastAsia" w:hAnsi="Cambria Math"/>
                    <w:sz w:val="24"/>
                    <w:szCs w:val="24"/>
                  </w:rPr>
                  <m:t>ResMo</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i,09</m:t>
                    </m:r>
                  </m:sub>
                </m:sSub>
                <m:r>
                  <w:rPr>
                    <w:rFonts w:ascii="Cambria Math" w:eastAsiaTheme="minorEastAsia" w:hAnsi="Cambria Math"/>
                    <w:sz w:val="24"/>
                    <w:szCs w:val="24"/>
                  </w:rPr>
                  <m:t>+θ</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ϵ</m:t>
                    </m:r>
                  </m:e>
                  <m:sub>
                    <m:r>
                      <w:rPr>
                        <w:rFonts w:ascii="Cambria Math" w:eastAsiaTheme="minorEastAsia" w:hAnsi="Cambria Math"/>
                        <w:sz w:val="24"/>
                        <w:szCs w:val="24"/>
                      </w:rPr>
                      <m:t>i,09</m:t>
                    </m:r>
                  </m:sub>
                </m:sSub>
              </m:oMath>
            </m:oMathPara>
          </w:p>
        </w:tc>
        <w:tc>
          <w:tcPr>
            <w:tcW w:w="212" w:type="pct"/>
          </w:tcPr>
          <w:p w14:paraId="4AA814CB" w14:textId="14B5798D" w:rsidR="0037038C" w:rsidRDefault="0037038C" w:rsidP="00A7104F">
            <w:pPr>
              <w:spacing w:line="360" w:lineRule="auto"/>
              <w:jc w:val="both"/>
              <w:rPr>
                <w:rFonts w:eastAsiaTheme="minorEastAsia"/>
                <w:sz w:val="24"/>
                <w:szCs w:val="24"/>
              </w:rPr>
            </w:pPr>
            <w:r>
              <w:t>(</w:t>
            </w:r>
            <w:r>
              <w:fldChar w:fldCharType="begin"/>
            </w:r>
            <w:r>
              <w:instrText xml:space="preserve"> SEQ Eq. \* ARABIC </w:instrText>
            </w:r>
            <w:r>
              <w:fldChar w:fldCharType="separate"/>
            </w:r>
            <w:r>
              <w:rPr>
                <w:noProof/>
              </w:rPr>
              <w:t>1</w:t>
            </w:r>
            <w:r>
              <w:rPr>
                <w:noProof/>
              </w:rPr>
              <w:fldChar w:fldCharType="end"/>
            </w:r>
            <w:r>
              <w:t>)</w:t>
            </w:r>
          </w:p>
        </w:tc>
      </w:tr>
    </w:tbl>
    <w:p w14:paraId="14260F8F" w14:textId="77777777" w:rsidR="00451AFD" w:rsidRDefault="00451AFD" w:rsidP="0037038C">
      <w:pPr>
        <w:spacing w:line="360" w:lineRule="auto"/>
        <w:jc w:val="both"/>
      </w:pPr>
    </w:p>
    <w:p w14:paraId="58788EE3" w14:textId="105321FF" w:rsidR="008951EA" w:rsidRDefault="005B4152" w:rsidP="00451AFD">
      <w:pPr>
        <w:spacing w:line="360" w:lineRule="auto"/>
        <w:jc w:val="both"/>
        <w:rPr>
          <w:rFonts w:eastAsiaTheme="minorEastAsia"/>
          <w:sz w:val="24"/>
          <w:szCs w:val="24"/>
        </w:rPr>
      </w:pPr>
      <w:r w:rsidRPr="005B4152">
        <w:rPr>
          <w:rFonts w:eastAsiaTheme="minorEastAsia"/>
          <w:sz w:val="24"/>
          <w:szCs w:val="24"/>
        </w:rPr>
        <w:t xml:space="preserve">where we regress the reported GPA in 2009 onto the (1) constant, (2) the prior grade reported in 2006, (3) the set of student characteristics in 2009 consisting variables of Roma-origin, sex, age, birth weight, and reported health status, (4) the determinants of SES (log household income, maternal degree, reported welfare), (5) home environment (HOME index, #minors in the household), (6) the school characteristics, for instance, the maintainer (charter, church, </w:t>
      </w:r>
      <w:r w:rsidRPr="005B4152">
        <w:rPr>
          <w:rFonts w:eastAsiaTheme="minorEastAsia"/>
          <w:sz w:val="24"/>
          <w:szCs w:val="24"/>
        </w:rPr>
        <w:lastRenderedPageBreak/>
        <w:t xml:space="preserve">foundation, other), and type (vocational or equivalent, high-school, other) of school. To continue, I will also add (7) the parameters representing the PSI (school engagement, log monthly investments), and the (8) number of school changes due to movement before 2006 as a covariate of residential mobility. </w:t>
      </w:r>
      <w:r w:rsidR="003E5371">
        <w:rPr>
          <w:rFonts w:eastAsiaTheme="minorEastAsia"/>
          <w:sz w:val="24"/>
          <w:szCs w:val="24"/>
        </w:rPr>
        <w:t xml:space="preserve"> </w:t>
      </w:r>
      <w:r w:rsidR="0084432D">
        <w:rPr>
          <w:rFonts w:eastAsiaTheme="minorEastAsia"/>
          <w:sz w:val="24"/>
          <w:szCs w:val="24"/>
        </w:rPr>
        <w:t>Finally,</w:t>
      </w:r>
      <w:r w:rsidR="00451AFD">
        <w:rPr>
          <w:rFonts w:eastAsiaTheme="minorEastAsia"/>
          <w:sz w:val="24"/>
          <w:szCs w:val="24"/>
        </w:rPr>
        <w:t xml:space="preserve"> </w:t>
      </w:r>
      <w:r w:rsidR="0084432D">
        <w:rPr>
          <w:rFonts w:eastAsiaTheme="minorEastAsia"/>
          <w:sz w:val="24"/>
          <w:szCs w:val="24"/>
        </w:rPr>
        <w:t xml:space="preserve">define </w:t>
      </w:r>
      <w:r w:rsidR="00451AFD">
        <w:rPr>
          <w:rFonts w:eastAsiaTheme="minorEastAsia"/>
          <w:sz w:val="24"/>
          <w:szCs w:val="24"/>
        </w:rPr>
        <w:t>the ternary separation indicator</w:t>
      </w:r>
      <w:r w:rsidR="0084432D">
        <w:rPr>
          <w:rFonts w:eastAsiaTheme="minorEastAsia"/>
          <w:sz w:val="24"/>
          <w:szCs w:val="24"/>
        </w:rPr>
        <w:t xml:space="preserve"> </w:t>
      </w:r>
      <m:oMath>
        <m:d>
          <m:dPr>
            <m:ctrlPr>
              <w:rPr>
                <w:rFonts w:ascii="Cambria Math" w:eastAsiaTheme="minorEastAsia" w:hAnsi="Cambria Math"/>
                <w:i/>
                <w:sz w:val="24"/>
                <w:szCs w:val="24"/>
              </w:rPr>
            </m:ctrlPr>
          </m:dPr>
          <m:e>
            <m:r>
              <w:rPr>
                <w:rFonts w:ascii="Cambria Math" w:eastAsiaTheme="minorEastAsia" w:hAnsi="Cambria Math"/>
                <w:sz w:val="24"/>
                <w:szCs w:val="24"/>
              </w:rPr>
              <m:t>D</m:t>
            </m:r>
          </m:e>
        </m:d>
      </m:oMath>
      <w:r w:rsidR="00451AFD">
        <w:rPr>
          <w:rFonts w:eastAsiaTheme="minorEastAsia"/>
          <w:sz w:val="24"/>
          <w:szCs w:val="24"/>
        </w:rPr>
        <w:t xml:space="preserve"> for each student </w:t>
      </w:r>
      <m:oMath>
        <m:r>
          <w:rPr>
            <w:rFonts w:ascii="Cambria Math" w:eastAsiaTheme="minorEastAsia" w:hAnsi="Cambria Math"/>
            <w:sz w:val="24"/>
            <w:szCs w:val="24"/>
          </w:rPr>
          <m:t>i</m:t>
        </m:r>
      </m:oMath>
      <w:r w:rsidR="00451AFD">
        <w:rPr>
          <w:rFonts w:eastAsiaTheme="minorEastAsia"/>
          <w:sz w:val="24"/>
          <w:szCs w:val="24"/>
        </w:rPr>
        <w:t xml:space="preserve">. </w:t>
      </w:r>
      <w:r w:rsidR="0084432D">
        <w:rPr>
          <w:rFonts w:eastAsiaTheme="minorEastAsia"/>
          <w:sz w:val="24"/>
          <w:szCs w:val="24"/>
        </w:rPr>
        <w:t xml:space="preserve">and </w:t>
      </w:r>
      <w:r w:rsidR="00451AFD">
        <w:rPr>
          <w:rFonts w:eastAsiaTheme="minorEastAsia"/>
          <w:sz w:val="24"/>
          <w:szCs w:val="24"/>
        </w:rPr>
        <w:t xml:space="preserve">let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ϵ</m:t>
            </m:r>
          </m:e>
          <m:sub>
            <m:r>
              <w:rPr>
                <w:rFonts w:ascii="Cambria Math" w:eastAsiaTheme="minorEastAsia" w:hAnsi="Cambria Math"/>
                <w:sz w:val="24"/>
                <w:szCs w:val="24"/>
              </w:rPr>
              <m:t>i,09</m:t>
            </m:r>
          </m:sub>
        </m:sSub>
      </m:oMath>
      <w:r w:rsidR="00451AFD">
        <w:rPr>
          <w:rFonts w:eastAsiaTheme="minorEastAsia"/>
          <w:sz w:val="24"/>
          <w:szCs w:val="24"/>
        </w:rPr>
        <w:t xml:space="preserve"> denote the idiosyncratic error term of the estimation.</w:t>
      </w:r>
      <w:r w:rsidR="00233470">
        <w:rPr>
          <w:rFonts w:eastAsiaTheme="minorEastAsia"/>
          <w:sz w:val="24"/>
          <w:szCs w:val="24"/>
        </w:rPr>
        <w:t xml:space="preserve"> </w:t>
      </w:r>
      <w:r w:rsidR="007500EC">
        <w:rPr>
          <w:rFonts w:eastAsiaTheme="minorEastAsia"/>
          <w:sz w:val="24"/>
          <w:szCs w:val="24"/>
        </w:rPr>
        <w:t>For the</w:t>
      </w:r>
      <w:r w:rsidR="00233470">
        <w:rPr>
          <w:rFonts w:eastAsiaTheme="minorEastAsia"/>
          <w:sz w:val="24"/>
          <w:szCs w:val="24"/>
        </w:rPr>
        <w:t xml:space="preserve"> full description of each variable</w:t>
      </w:r>
      <w:r w:rsidR="007500EC">
        <w:rPr>
          <w:rFonts w:eastAsiaTheme="minorEastAsia"/>
          <w:sz w:val="24"/>
          <w:szCs w:val="24"/>
        </w:rPr>
        <w:t>, please refer to the appropriate section of the</w:t>
      </w:r>
      <w:r w:rsidR="00233470">
        <w:rPr>
          <w:rFonts w:eastAsiaTheme="minorEastAsia"/>
          <w:sz w:val="24"/>
          <w:szCs w:val="24"/>
        </w:rPr>
        <w:t xml:space="preserve"> </w:t>
      </w:r>
      <w:r w:rsidR="007500EC">
        <w:rPr>
          <w:rFonts w:eastAsiaTheme="minorEastAsia"/>
          <w:sz w:val="24"/>
          <w:szCs w:val="24"/>
        </w:rPr>
        <w:t>A</w:t>
      </w:r>
      <w:r w:rsidR="00233470">
        <w:rPr>
          <w:rFonts w:eastAsiaTheme="minorEastAsia"/>
          <w:sz w:val="24"/>
          <w:szCs w:val="24"/>
        </w:rPr>
        <w:t>ppendix</w:t>
      </w:r>
      <w:r w:rsidR="007500EC">
        <w:rPr>
          <w:rFonts w:eastAsiaTheme="minorEastAsia"/>
          <w:sz w:val="24"/>
          <w:szCs w:val="24"/>
        </w:rPr>
        <w:t xml:space="preserve"> (</w:t>
      </w:r>
      <w:r w:rsidR="007500EC" w:rsidRPr="007500EC">
        <w:rPr>
          <w:rFonts w:eastAsiaTheme="minorEastAsia"/>
          <w:i/>
          <w:iCs/>
          <w:sz w:val="24"/>
          <w:szCs w:val="24"/>
        </w:rPr>
        <w:t>Description of variables</w:t>
      </w:r>
      <w:r w:rsidR="007500EC">
        <w:rPr>
          <w:rFonts w:eastAsiaTheme="minorEastAsia"/>
          <w:sz w:val="24"/>
          <w:szCs w:val="24"/>
        </w:rPr>
        <w:t>)</w:t>
      </w:r>
      <w:r w:rsidR="00233470">
        <w:rPr>
          <w:rFonts w:eastAsiaTheme="minorEastAsia"/>
          <w:sz w:val="24"/>
          <w:szCs w:val="24"/>
        </w:rPr>
        <w:t>.</w:t>
      </w:r>
      <w:r w:rsidR="00451AFD">
        <w:rPr>
          <w:rFonts w:eastAsiaTheme="minorEastAsia"/>
          <w:sz w:val="24"/>
          <w:szCs w:val="24"/>
        </w:rPr>
        <w:t xml:space="preserve"> </w:t>
      </w:r>
      <w:r w:rsidR="006574A9">
        <w:rPr>
          <w:rFonts w:eastAsiaTheme="minorEastAsia"/>
          <w:sz w:val="24"/>
          <w:szCs w:val="24"/>
        </w:rPr>
        <w:t xml:space="preserve">In a way, </w:t>
      </w:r>
      <w:r w:rsidR="00233470">
        <w:rPr>
          <w:rFonts w:eastAsiaTheme="minorEastAsia"/>
          <w:sz w:val="24"/>
          <w:szCs w:val="24"/>
        </w:rPr>
        <w:t>the</w:t>
      </w:r>
      <w:r w:rsidR="00611629">
        <w:rPr>
          <w:rFonts w:eastAsiaTheme="minorEastAsia"/>
          <w:sz w:val="24"/>
          <w:szCs w:val="24"/>
        </w:rPr>
        <w:t xml:space="preserve"> design above</w:t>
      </w:r>
      <w:r w:rsidR="006574A9">
        <w:rPr>
          <w:rFonts w:eastAsiaTheme="minorEastAsia"/>
          <w:sz w:val="24"/>
          <w:szCs w:val="24"/>
        </w:rPr>
        <w:t xml:space="preserve"> </w:t>
      </w:r>
      <w:r w:rsidR="000A0BCE">
        <w:rPr>
          <w:rFonts w:eastAsiaTheme="minorEastAsia"/>
          <w:sz w:val="24"/>
          <w:szCs w:val="24"/>
        </w:rPr>
        <w:t>isolate</w:t>
      </w:r>
      <w:r w:rsidR="00BC7122">
        <w:rPr>
          <w:rFonts w:eastAsiaTheme="minorEastAsia"/>
          <w:sz w:val="24"/>
          <w:szCs w:val="24"/>
        </w:rPr>
        <w:t>s</w:t>
      </w:r>
      <w:r w:rsidR="000A0BCE">
        <w:rPr>
          <w:rFonts w:eastAsiaTheme="minorEastAsia"/>
          <w:sz w:val="24"/>
          <w:szCs w:val="24"/>
        </w:rPr>
        <w:t xml:space="preserve"> the separation effect contribution from all the outside factors affecting the performance</w:t>
      </w:r>
      <w:r w:rsidR="006641BB">
        <w:rPr>
          <w:rFonts w:eastAsiaTheme="minorEastAsia"/>
          <w:sz w:val="24"/>
          <w:szCs w:val="24"/>
        </w:rPr>
        <w:t xml:space="preserve">. </w:t>
      </w:r>
      <w:r w:rsidR="00711B98">
        <w:rPr>
          <w:rFonts w:eastAsiaTheme="minorEastAsia"/>
          <w:sz w:val="24"/>
          <w:szCs w:val="24"/>
        </w:rPr>
        <w:t>We expect negative coefficient signs for separation categories describing separation</w:t>
      </w:r>
      <w:r w:rsidR="00D1149F">
        <w:rPr>
          <w:rFonts w:eastAsiaTheme="minorEastAsia"/>
          <w:sz w:val="24"/>
          <w:szCs w:val="24"/>
        </w:rPr>
        <w:t xml:space="preserve"> in decreasing trend close to </w:t>
      </w:r>
      <w:r w:rsidR="00C70FC4">
        <w:rPr>
          <w:noProof/>
        </w:rPr>
        <mc:AlternateContent>
          <mc:Choice Requires="wps">
            <w:drawing>
              <wp:anchor distT="0" distB="0" distL="114300" distR="114300" simplePos="0" relativeHeight="251792384" behindDoc="0" locked="0" layoutInCell="1" allowOverlap="1" wp14:anchorId="29BDA20B" wp14:editId="0EBC31EE">
                <wp:simplePos x="0" y="0"/>
                <wp:positionH relativeFrom="margin">
                  <wp:align>center</wp:align>
                </wp:positionH>
                <wp:positionV relativeFrom="paragraph">
                  <wp:posOffset>6341745</wp:posOffset>
                </wp:positionV>
                <wp:extent cx="3347085" cy="635"/>
                <wp:effectExtent l="0" t="0" r="5715" b="0"/>
                <wp:wrapTopAndBottom/>
                <wp:docPr id="14" name="Text Box 14"/>
                <wp:cNvGraphicFramePr/>
                <a:graphic xmlns:a="http://schemas.openxmlformats.org/drawingml/2006/main">
                  <a:graphicData uri="http://schemas.microsoft.com/office/word/2010/wordprocessingShape">
                    <wps:wsp>
                      <wps:cNvSpPr txBox="1"/>
                      <wps:spPr>
                        <a:xfrm>
                          <a:off x="0" y="0"/>
                          <a:ext cx="3347085" cy="635"/>
                        </a:xfrm>
                        <a:prstGeom prst="rect">
                          <a:avLst/>
                        </a:prstGeom>
                        <a:solidFill>
                          <a:prstClr val="white"/>
                        </a:solidFill>
                        <a:ln>
                          <a:noFill/>
                        </a:ln>
                      </wps:spPr>
                      <wps:txbx>
                        <w:txbxContent>
                          <w:p w14:paraId="60330D88" w14:textId="7E30416A" w:rsidR="004E5911" w:rsidRPr="008951EA" w:rsidRDefault="004E5911" w:rsidP="008951EA">
                            <w:pPr>
                              <w:pStyle w:val="Caption"/>
                              <w:rPr>
                                <w:color w:val="auto"/>
                                <w:sz w:val="24"/>
                                <w:szCs w:val="24"/>
                              </w:rPr>
                            </w:pPr>
                            <w:r w:rsidRPr="008951EA">
                              <w:rPr>
                                <w:color w:val="auto"/>
                              </w:rPr>
                              <w:t xml:space="preserve">Figure </w:t>
                            </w:r>
                            <w:r w:rsidRPr="008951EA">
                              <w:rPr>
                                <w:color w:val="auto"/>
                              </w:rPr>
                              <w:fldChar w:fldCharType="begin"/>
                            </w:r>
                            <w:r w:rsidRPr="008951EA">
                              <w:rPr>
                                <w:color w:val="auto"/>
                              </w:rPr>
                              <w:instrText xml:space="preserve"> SEQ Figure \* ARABIC </w:instrText>
                            </w:r>
                            <w:r w:rsidRPr="008951EA">
                              <w:rPr>
                                <w:color w:val="auto"/>
                              </w:rPr>
                              <w:fldChar w:fldCharType="separate"/>
                            </w:r>
                            <w:r w:rsidRPr="008951EA">
                              <w:rPr>
                                <w:noProof/>
                                <w:color w:val="auto"/>
                              </w:rPr>
                              <w:t>1</w:t>
                            </w:r>
                            <w:r w:rsidRPr="008951EA">
                              <w:rPr>
                                <w:color w:val="auto"/>
                              </w:rPr>
                              <w:fldChar w:fldCharType="end"/>
                            </w:r>
                            <w:r w:rsidRPr="008951EA">
                              <w:rPr>
                                <w:color w:val="auto"/>
                              </w:rPr>
                              <w:t xml:space="preserve">. Directed </w:t>
                            </w:r>
                            <w:proofErr w:type="spellStart"/>
                            <w:r w:rsidRPr="008951EA">
                              <w:rPr>
                                <w:color w:val="auto"/>
                              </w:rPr>
                              <w:t>Acyclical</w:t>
                            </w:r>
                            <w:proofErr w:type="spellEnd"/>
                            <w:r w:rsidRPr="008951EA">
                              <w:rPr>
                                <w:color w:val="auto"/>
                              </w:rPr>
                              <w:t xml:space="preserve"> Graph (DAG) of variables used in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BDA20B" id="_x0000_t202" coordsize="21600,21600" o:spt="202" path="m,l,21600r21600,l21600,xe">
                <v:stroke joinstyle="miter"/>
                <v:path gradientshapeok="t" o:connecttype="rect"/>
              </v:shapetype>
              <v:shape id="Text Box 14" o:spid="_x0000_s1026" type="#_x0000_t202" style="position:absolute;left:0;text-align:left;margin-left:0;margin-top:499.35pt;width:263.55pt;height:.05pt;z-index:25179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" stroked="f">
                <v:textbox style="mso-fit-shape-to-text:t" inset="0,0,0,0">
                  <w:txbxContent>
                    <w:p w14:paraId="60330D88" w14:textId="7E30416A" w:rsidR="004E5911" w:rsidRPr="008951EA" w:rsidRDefault="004E5911" w:rsidP="008951EA">
                      <w:pPr>
                        <w:pStyle w:val="Caption"/>
                        <w:rPr>
                          <w:color w:val="auto"/>
                          <w:sz w:val="24"/>
                          <w:szCs w:val="24"/>
                        </w:rPr>
                      </w:pPr>
                      <w:r w:rsidRPr="008951EA">
                        <w:rPr>
                          <w:color w:val="auto"/>
                        </w:rPr>
                        <w:t xml:space="preserve">Figure </w:t>
                      </w:r>
                      <w:r w:rsidRPr="008951EA">
                        <w:rPr>
                          <w:color w:val="auto"/>
                        </w:rPr>
                        <w:fldChar w:fldCharType="begin"/>
                      </w:r>
                      <w:r w:rsidRPr="008951EA">
                        <w:rPr>
                          <w:color w:val="auto"/>
                        </w:rPr>
                        <w:instrText xml:space="preserve"> SEQ Figure \* ARABIC </w:instrText>
                      </w:r>
                      <w:r w:rsidRPr="008951EA">
                        <w:rPr>
                          <w:color w:val="auto"/>
                        </w:rPr>
                        <w:fldChar w:fldCharType="separate"/>
                      </w:r>
                      <w:r w:rsidRPr="008951EA">
                        <w:rPr>
                          <w:noProof/>
                          <w:color w:val="auto"/>
                        </w:rPr>
                        <w:t>1</w:t>
                      </w:r>
                      <w:r w:rsidRPr="008951EA">
                        <w:rPr>
                          <w:color w:val="auto"/>
                        </w:rPr>
                        <w:fldChar w:fldCharType="end"/>
                      </w:r>
                      <w:r w:rsidRPr="008951EA">
                        <w:rPr>
                          <w:color w:val="auto"/>
                        </w:rPr>
                        <w:t xml:space="preserve">. Directed </w:t>
                      </w:r>
                      <w:proofErr w:type="spellStart"/>
                      <w:r w:rsidRPr="008951EA">
                        <w:rPr>
                          <w:color w:val="auto"/>
                        </w:rPr>
                        <w:t>Acyclical</w:t>
                      </w:r>
                      <w:proofErr w:type="spellEnd"/>
                      <w:r w:rsidRPr="008951EA">
                        <w:rPr>
                          <w:color w:val="auto"/>
                        </w:rPr>
                        <w:t xml:space="preserve"> Graph (DAG) of variables used in this study.</w:t>
                      </w:r>
                    </w:p>
                  </w:txbxContent>
                </v:textbox>
                <w10:wrap type="topAndBottom" anchorx="margin"/>
              </v:shape>
            </w:pict>
          </mc:Fallback>
        </mc:AlternateContent>
      </w:r>
      <w:r w:rsidR="00C70FC4">
        <w:rPr>
          <w:rFonts w:eastAsiaTheme="minorEastAsia"/>
          <w:noProof/>
          <w:sz w:val="24"/>
          <w:szCs w:val="24"/>
        </w:rPr>
        <w:drawing>
          <wp:anchor distT="0" distB="0" distL="114300" distR="114300" simplePos="0" relativeHeight="251790336" behindDoc="0" locked="0" layoutInCell="1" allowOverlap="1" wp14:anchorId="5D9FB5B5" wp14:editId="33669CC9">
            <wp:simplePos x="0" y="0"/>
            <wp:positionH relativeFrom="margin">
              <wp:align>center</wp:align>
            </wp:positionH>
            <wp:positionV relativeFrom="paragraph">
              <wp:posOffset>2923429</wp:posOffset>
            </wp:positionV>
            <wp:extent cx="3529965" cy="341820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29965" cy="3418205"/>
                    </a:xfrm>
                    <a:prstGeom prst="rect">
                      <a:avLst/>
                    </a:prstGeom>
                  </pic:spPr>
                </pic:pic>
              </a:graphicData>
            </a:graphic>
            <wp14:sizeRelH relativeFrom="margin">
              <wp14:pctWidth>0</wp14:pctWidth>
            </wp14:sizeRelH>
            <wp14:sizeRelV relativeFrom="margin">
              <wp14:pctHeight>0</wp14:pctHeight>
            </wp14:sizeRelV>
          </wp:anchor>
        </w:drawing>
      </w:r>
      <w:r w:rsidR="00D1149F">
        <w:rPr>
          <w:rFonts w:eastAsiaTheme="minorEastAsia"/>
          <w:sz w:val="24"/>
          <w:szCs w:val="24"/>
        </w:rPr>
        <w:t>zero as we include more and more sets of covariates</w:t>
      </w:r>
      <w:r w:rsidR="00711B98">
        <w:rPr>
          <w:rFonts w:eastAsiaTheme="minorEastAsia"/>
          <w:sz w:val="24"/>
          <w:szCs w:val="24"/>
        </w:rPr>
        <w:t>.</w:t>
      </w:r>
    </w:p>
    <w:p w14:paraId="33D74155" w14:textId="77777777" w:rsidR="00C70FC4" w:rsidRDefault="00CD2A35" w:rsidP="00CD2A35">
      <w:pPr>
        <w:spacing w:line="360" w:lineRule="auto"/>
        <w:ind w:firstLine="397"/>
        <w:jc w:val="both"/>
        <w:rPr>
          <w:rFonts w:eastAsiaTheme="minorEastAsia"/>
          <w:sz w:val="24"/>
          <w:szCs w:val="24"/>
        </w:rPr>
      </w:pPr>
      <w:r>
        <w:rPr>
          <w:rFonts w:eastAsiaTheme="minorEastAsia"/>
          <w:sz w:val="24"/>
          <w:szCs w:val="24"/>
        </w:rPr>
        <w:tab/>
      </w:r>
    </w:p>
    <w:p w14:paraId="4D6A4B2F" w14:textId="1C062C1E" w:rsidR="00E93411" w:rsidRDefault="00CD2A35" w:rsidP="00CD2A35">
      <w:pPr>
        <w:spacing w:line="360" w:lineRule="auto"/>
        <w:ind w:firstLine="397"/>
        <w:jc w:val="both"/>
        <w:rPr>
          <w:rFonts w:eastAsiaTheme="minorEastAsia"/>
          <w:sz w:val="24"/>
          <w:szCs w:val="24"/>
        </w:rPr>
      </w:pPr>
      <w:r>
        <w:rPr>
          <w:rFonts w:eastAsiaTheme="minorEastAsia"/>
          <w:sz w:val="24"/>
          <w:szCs w:val="24"/>
        </w:rPr>
        <w:t>It is crucial that whenever we include a covariate, there may be observations that have missing values, therefore there is a trade-off between uniformity of the groups and efficiency</w:t>
      </w:r>
      <w:r w:rsidR="00740440">
        <w:rPr>
          <w:rFonts w:eastAsiaTheme="minorEastAsia"/>
          <w:sz w:val="24"/>
          <w:szCs w:val="24"/>
        </w:rPr>
        <w:t>,</w:t>
      </w:r>
      <w:r>
        <w:rPr>
          <w:rFonts w:eastAsiaTheme="minorEastAsia"/>
          <w:sz w:val="24"/>
          <w:szCs w:val="24"/>
        </w:rPr>
        <w:t xml:space="preserve"> and the confidence intervals are further stretched out.</w:t>
      </w:r>
      <w:r w:rsidR="005B5136">
        <w:rPr>
          <w:rFonts w:eastAsiaTheme="minorEastAsia"/>
          <w:sz w:val="24"/>
          <w:szCs w:val="24"/>
        </w:rPr>
        <w:t xml:space="preserve"> </w:t>
      </w:r>
      <w:r>
        <w:rPr>
          <w:rFonts w:eastAsiaTheme="minorEastAsia"/>
          <w:sz w:val="24"/>
          <w:szCs w:val="24"/>
        </w:rPr>
        <w:t xml:space="preserve">To assess the accuracy of our models, I will compare </w:t>
      </w:r>
      <w:r w:rsidR="005B5136">
        <w:rPr>
          <w:rFonts w:eastAsiaTheme="minorEastAsia"/>
          <w:sz w:val="24"/>
          <w:szCs w:val="24"/>
        </w:rPr>
        <w:t xml:space="preserve">the penalization statistics (Adjusted </w:t>
      </w:r>
      <w:proofErr w:type="spellStart"/>
      <w:r w:rsidR="005B5136">
        <w:rPr>
          <w:rFonts w:eastAsiaTheme="minorEastAsia"/>
          <w:sz w:val="24"/>
          <w:szCs w:val="24"/>
        </w:rPr>
        <w:t>RSquared</w:t>
      </w:r>
      <w:proofErr w:type="spellEnd"/>
      <w:r w:rsidR="005B5136">
        <w:rPr>
          <w:rFonts w:eastAsiaTheme="minorEastAsia"/>
          <w:sz w:val="24"/>
          <w:szCs w:val="24"/>
        </w:rPr>
        <w:t xml:space="preserve">, </w:t>
      </w:r>
      <w:r w:rsidR="007228A2">
        <w:rPr>
          <w:rFonts w:eastAsiaTheme="minorEastAsia"/>
          <w:sz w:val="24"/>
          <w:szCs w:val="24"/>
        </w:rPr>
        <w:t>Akaike Information Criterion (</w:t>
      </w:r>
      <w:r w:rsidR="005B5136" w:rsidRPr="008951EA">
        <w:rPr>
          <w:rFonts w:eastAsiaTheme="minorEastAsia"/>
          <w:sz w:val="24"/>
          <w:szCs w:val="24"/>
        </w:rPr>
        <w:t>AIC</w:t>
      </w:r>
      <w:r w:rsidR="007228A2" w:rsidRPr="008951EA">
        <w:rPr>
          <w:rFonts w:eastAsiaTheme="minorEastAsia"/>
          <w:sz w:val="24"/>
          <w:szCs w:val="24"/>
        </w:rPr>
        <w:t>)</w:t>
      </w:r>
      <w:r w:rsidR="005B5136" w:rsidRPr="008951EA">
        <w:rPr>
          <w:rFonts w:eastAsiaTheme="minorEastAsia"/>
          <w:sz w:val="24"/>
          <w:szCs w:val="24"/>
        </w:rPr>
        <w:t xml:space="preserve">, </w:t>
      </w:r>
      <w:proofErr w:type="spellStart"/>
      <w:r w:rsidR="007228A2" w:rsidRPr="008951EA">
        <w:rPr>
          <w:rFonts w:eastAsiaTheme="minorEastAsia"/>
          <w:sz w:val="24"/>
          <w:szCs w:val="24"/>
        </w:rPr>
        <w:t>Baynesian</w:t>
      </w:r>
      <w:proofErr w:type="spellEnd"/>
      <w:r w:rsidR="007228A2" w:rsidRPr="008951EA">
        <w:rPr>
          <w:rFonts w:eastAsiaTheme="minorEastAsia"/>
          <w:sz w:val="24"/>
          <w:szCs w:val="24"/>
        </w:rPr>
        <w:t xml:space="preserve"> Information Criterion (</w:t>
      </w:r>
      <w:r w:rsidR="005B5136" w:rsidRPr="008951EA">
        <w:rPr>
          <w:rFonts w:eastAsiaTheme="minorEastAsia"/>
          <w:sz w:val="24"/>
          <w:szCs w:val="24"/>
        </w:rPr>
        <w:t>BIC</w:t>
      </w:r>
      <w:r w:rsidR="007228A2" w:rsidRPr="008951EA">
        <w:rPr>
          <w:rFonts w:eastAsiaTheme="minorEastAsia"/>
          <w:sz w:val="24"/>
          <w:szCs w:val="24"/>
        </w:rPr>
        <w:t>)</w:t>
      </w:r>
      <w:r w:rsidR="005B5136" w:rsidRPr="008951EA">
        <w:rPr>
          <w:rFonts w:eastAsiaTheme="minorEastAsia"/>
          <w:sz w:val="24"/>
          <w:szCs w:val="24"/>
        </w:rPr>
        <w:t xml:space="preserve">) and pick our best estimator. </w:t>
      </w:r>
      <w:r w:rsidR="008951EA" w:rsidRPr="008951EA">
        <w:rPr>
          <w:sz w:val="24"/>
          <w:szCs w:val="24"/>
        </w:rPr>
        <w:t xml:space="preserve">One would argue to include school-specific IDs as a proxy to the school quality fixed effect, but unfortunately there </w:t>
      </w:r>
      <w:r w:rsidR="008951EA" w:rsidRPr="008951EA">
        <w:rPr>
          <w:sz w:val="24"/>
          <w:szCs w:val="24"/>
        </w:rPr>
        <w:lastRenderedPageBreak/>
        <w:t>was too much variation in the schools which was penalized by the BIC (tripled the score) and resulted in insignificant findings.</w:t>
      </w:r>
    </w:p>
    <w:p w14:paraId="18468CDE" w14:textId="70CB07B3" w:rsidR="008277FC" w:rsidRPr="008277FC" w:rsidRDefault="008277FC" w:rsidP="008277FC">
      <w:pPr>
        <w:pStyle w:val="Heading3"/>
      </w:pPr>
      <w:bookmarkStart w:id="34" w:name="_Toc64591276"/>
      <w:r>
        <w:t xml:space="preserve">3.4.2. </w:t>
      </w:r>
      <w:r w:rsidRPr="008277FC">
        <w:t>Staggered Difference in Differences</w:t>
      </w:r>
      <w:bookmarkEnd w:id="34"/>
    </w:p>
    <w:p w14:paraId="3D3214A1" w14:textId="6E06E676" w:rsidR="00F06C20" w:rsidRDefault="00915D4D" w:rsidP="00A24D85">
      <w:pPr>
        <w:spacing w:line="360" w:lineRule="auto"/>
        <w:ind w:firstLine="397"/>
        <w:jc w:val="both"/>
        <w:rPr>
          <w:sz w:val="24"/>
          <w:szCs w:val="24"/>
        </w:rPr>
      </w:pPr>
      <w:r w:rsidRPr="001C713C">
        <w:rPr>
          <w:sz w:val="24"/>
          <w:szCs w:val="24"/>
        </w:rPr>
        <w:t xml:space="preserve">To evaluate the </w:t>
      </w:r>
      <w:r w:rsidR="008277FC">
        <w:rPr>
          <w:sz w:val="24"/>
          <w:szCs w:val="24"/>
        </w:rPr>
        <w:t xml:space="preserve">dynamic </w:t>
      </w:r>
      <w:r w:rsidRPr="001C713C">
        <w:rPr>
          <w:sz w:val="24"/>
          <w:szCs w:val="24"/>
        </w:rPr>
        <w:t>effect of family disruption on academic performance, let us implement the</w:t>
      </w:r>
      <w:r w:rsidR="0023157B">
        <w:rPr>
          <w:sz w:val="24"/>
          <w:szCs w:val="24"/>
        </w:rPr>
        <w:t xml:space="preserve"> method of</w:t>
      </w:r>
      <w:r w:rsidR="008A0679">
        <w:rPr>
          <w:sz w:val="24"/>
          <w:szCs w:val="24"/>
        </w:rPr>
        <w:t xml:space="preserve"> Staggered</w:t>
      </w:r>
      <w:r w:rsidRPr="001C713C">
        <w:rPr>
          <w:sz w:val="24"/>
          <w:szCs w:val="24"/>
        </w:rPr>
        <w:t xml:space="preserve"> Difference in Differences (</w:t>
      </w:r>
      <w:r w:rsidR="000A7C88">
        <w:rPr>
          <w:sz w:val="24"/>
          <w:szCs w:val="24"/>
        </w:rPr>
        <w:t>DID</w:t>
      </w:r>
      <w:r w:rsidRPr="001C713C">
        <w:rPr>
          <w:sz w:val="24"/>
          <w:szCs w:val="24"/>
        </w:rPr>
        <w:t xml:space="preserve">) </w:t>
      </w:r>
      <w:r w:rsidR="008A0679">
        <w:rPr>
          <w:sz w:val="24"/>
          <w:szCs w:val="24"/>
        </w:rPr>
        <w:t>with multiple periods</w:t>
      </w:r>
      <w:r w:rsidR="0023157B">
        <w:rPr>
          <w:sz w:val="24"/>
          <w:szCs w:val="24"/>
        </w:rPr>
        <w:t xml:space="preserve"> </w:t>
      </w:r>
      <w:r w:rsidR="008A0679">
        <w:rPr>
          <w:sz w:val="24"/>
          <w:szCs w:val="24"/>
        </w:rPr>
        <w:t xml:space="preserve">developed recently by Callaway &amp; </w:t>
      </w:r>
      <w:proofErr w:type="spellStart"/>
      <w:r w:rsidR="008A0679">
        <w:rPr>
          <w:sz w:val="24"/>
          <w:szCs w:val="24"/>
        </w:rPr>
        <w:t>San</w:t>
      </w:r>
      <w:r w:rsidR="00B13858">
        <w:rPr>
          <w:sz w:val="24"/>
          <w:szCs w:val="24"/>
        </w:rPr>
        <w:t>t’</w:t>
      </w:r>
      <w:r w:rsidR="008A0679">
        <w:rPr>
          <w:sz w:val="24"/>
          <w:szCs w:val="24"/>
        </w:rPr>
        <w:t>Anna</w:t>
      </w:r>
      <w:proofErr w:type="spellEnd"/>
      <w:r w:rsidR="008A0679">
        <w:rPr>
          <w:sz w:val="24"/>
          <w:szCs w:val="24"/>
        </w:rPr>
        <w:t xml:space="preserve"> (2019). </w:t>
      </w:r>
      <w:r w:rsidR="008114FA">
        <w:rPr>
          <w:sz w:val="24"/>
          <w:szCs w:val="24"/>
        </w:rPr>
        <w:t>I</w:t>
      </w:r>
      <w:r w:rsidR="00B13858">
        <w:rPr>
          <w:sz w:val="24"/>
          <w:szCs w:val="24"/>
        </w:rPr>
        <w:t xml:space="preserve"> will </w:t>
      </w:r>
      <w:r w:rsidR="00535564">
        <w:rPr>
          <w:sz w:val="24"/>
          <w:szCs w:val="24"/>
        </w:rPr>
        <w:t>fully</w:t>
      </w:r>
      <w:r w:rsidR="00B13858">
        <w:rPr>
          <w:sz w:val="24"/>
          <w:szCs w:val="24"/>
        </w:rPr>
        <w:t xml:space="preserve"> </w:t>
      </w:r>
      <w:r w:rsidR="00C2160A">
        <w:rPr>
          <w:sz w:val="24"/>
          <w:szCs w:val="24"/>
        </w:rPr>
        <w:t>rely</w:t>
      </w:r>
      <w:r w:rsidR="00B13858">
        <w:rPr>
          <w:sz w:val="24"/>
          <w:szCs w:val="24"/>
        </w:rPr>
        <w:t xml:space="preserve"> on their approach since they provided </w:t>
      </w:r>
      <w:r w:rsidR="003A44AD">
        <w:rPr>
          <w:sz w:val="24"/>
          <w:szCs w:val="24"/>
        </w:rPr>
        <w:t>more</w:t>
      </w:r>
      <w:r w:rsidR="00B13858">
        <w:rPr>
          <w:sz w:val="24"/>
          <w:szCs w:val="24"/>
        </w:rPr>
        <w:t xml:space="preserve"> flexible and relatively robust staggered adoption compared to previous papers. Furthermore, </w:t>
      </w:r>
      <w:r w:rsidR="005E4B77">
        <w:rPr>
          <w:sz w:val="24"/>
          <w:szCs w:val="24"/>
        </w:rPr>
        <w:t>it is convenient</w:t>
      </w:r>
      <w:r w:rsidR="00535564">
        <w:rPr>
          <w:sz w:val="24"/>
          <w:szCs w:val="24"/>
        </w:rPr>
        <w:t xml:space="preserve"> to apply the model to</w:t>
      </w:r>
      <w:r w:rsidR="00B13858">
        <w:rPr>
          <w:sz w:val="24"/>
          <w:szCs w:val="24"/>
        </w:rPr>
        <w:t xml:space="preserve"> hands-on data</w:t>
      </w:r>
      <w:r w:rsidR="00535564">
        <w:rPr>
          <w:sz w:val="24"/>
          <w:szCs w:val="24"/>
        </w:rPr>
        <w:t xml:space="preserve"> since </w:t>
      </w:r>
      <w:r w:rsidR="00B13858">
        <w:rPr>
          <w:sz w:val="24"/>
          <w:szCs w:val="24"/>
        </w:rPr>
        <w:t>Callaway developed an open source for the R software</w:t>
      </w:r>
      <w:r w:rsidR="00535564">
        <w:rPr>
          <w:sz w:val="24"/>
          <w:szCs w:val="24"/>
        </w:rPr>
        <w:t xml:space="preserve"> for the purpose</w:t>
      </w:r>
      <w:r w:rsidR="00B13858">
        <w:rPr>
          <w:sz w:val="24"/>
          <w:szCs w:val="24"/>
        </w:rPr>
        <w:t xml:space="preserve">. </w:t>
      </w:r>
      <w:r w:rsidR="00C94C7F">
        <w:rPr>
          <w:sz w:val="24"/>
          <w:szCs w:val="24"/>
        </w:rPr>
        <w:t xml:space="preserve">In what follows, </w:t>
      </w:r>
      <w:r w:rsidR="00462998">
        <w:rPr>
          <w:sz w:val="24"/>
          <w:szCs w:val="24"/>
        </w:rPr>
        <w:t>I will introduce the statistical approach and the proposals for treating the known issues with DID designs</w:t>
      </w:r>
      <w:r w:rsidR="00B24082">
        <w:rPr>
          <w:sz w:val="24"/>
          <w:szCs w:val="24"/>
        </w:rPr>
        <w:t xml:space="preserve"> and</w:t>
      </w:r>
      <w:r w:rsidR="000A284D">
        <w:rPr>
          <w:sz w:val="24"/>
          <w:szCs w:val="24"/>
        </w:rPr>
        <w:t xml:space="preserve"> offer </w:t>
      </w:r>
      <w:r w:rsidR="00F97E09">
        <w:rPr>
          <w:sz w:val="24"/>
          <w:szCs w:val="24"/>
        </w:rPr>
        <w:t xml:space="preserve">a </w:t>
      </w:r>
      <w:r w:rsidR="000A284D">
        <w:rPr>
          <w:sz w:val="24"/>
          <w:szCs w:val="24"/>
        </w:rPr>
        <w:t xml:space="preserve">mathematical representation of the main advantages of the augmented dynamic structures. </w:t>
      </w:r>
    </w:p>
    <w:p w14:paraId="7F950B05" w14:textId="7FB6B4FD" w:rsidR="006548FE" w:rsidRPr="006C019D" w:rsidRDefault="006548FE"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Pr="006C019D">
        <w:rPr>
          <w:rFonts w:asciiTheme="minorHAnsi" w:hAnsiTheme="minorHAnsi" w:cstheme="minorHAnsi"/>
          <w:color w:val="auto"/>
          <w:sz w:val="24"/>
          <w:szCs w:val="24"/>
        </w:rPr>
        <w:t xml:space="preserve">1. Known </w:t>
      </w:r>
      <w:r w:rsidR="00D24858" w:rsidRPr="006C019D">
        <w:rPr>
          <w:rFonts w:asciiTheme="minorHAnsi" w:hAnsiTheme="minorHAnsi" w:cstheme="minorHAnsi"/>
          <w:color w:val="auto"/>
          <w:sz w:val="24"/>
          <w:szCs w:val="24"/>
        </w:rPr>
        <w:t>I</w:t>
      </w:r>
      <w:r w:rsidRPr="006C019D">
        <w:rPr>
          <w:rFonts w:asciiTheme="minorHAnsi" w:hAnsiTheme="minorHAnsi" w:cstheme="minorHAnsi"/>
          <w:color w:val="auto"/>
          <w:sz w:val="24"/>
          <w:szCs w:val="24"/>
        </w:rPr>
        <w:t>ssues</w:t>
      </w:r>
      <w:r w:rsidR="00B84C87">
        <w:rPr>
          <w:rFonts w:asciiTheme="minorHAnsi" w:hAnsiTheme="minorHAnsi" w:cstheme="minorHAnsi"/>
          <w:color w:val="auto"/>
          <w:sz w:val="24"/>
          <w:szCs w:val="24"/>
        </w:rPr>
        <w:t xml:space="preserve"> of the Standard DID</w:t>
      </w:r>
    </w:p>
    <w:p w14:paraId="13D4BAAD" w14:textId="5B4D0FFF" w:rsidR="006548FE" w:rsidRPr="001C713C" w:rsidRDefault="006548FE" w:rsidP="006548FE">
      <w:pPr>
        <w:spacing w:line="360" w:lineRule="auto"/>
        <w:ind w:firstLine="397"/>
        <w:jc w:val="both"/>
        <w:rPr>
          <w:sz w:val="24"/>
          <w:szCs w:val="24"/>
        </w:rPr>
      </w:pPr>
      <w:r w:rsidRPr="001C713C">
        <w:rPr>
          <w:sz w:val="24"/>
          <w:szCs w:val="24"/>
        </w:rPr>
        <w:t xml:space="preserve">The main distinct assumption of the Difference in differences method is the so-called </w:t>
      </w:r>
      <w:r>
        <w:rPr>
          <w:sz w:val="24"/>
          <w:szCs w:val="24"/>
        </w:rPr>
        <w:t>Parallel</w:t>
      </w:r>
      <w:r w:rsidRPr="001C713C">
        <w:rPr>
          <w:sz w:val="24"/>
          <w:szCs w:val="24"/>
        </w:rPr>
        <w:t xml:space="preserve"> Trend </w:t>
      </w:r>
      <w:r>
        <w:rPr>
          <w:sz w:val="24"/>
          <w:szCs w:val="24"/>
        </w:rPr>
        <w:t>A</w:t>
      </w:r>
      <w:r w:rsidRPr="001C713C">
        <w:rPr>
          <w:sz w:val="24"/>
          <w:szCs w:val="24"/>
        </w:rPr>
        <w:t>ssumption</w:t>
      </w:r>
      <w:r>
        <w:rPr>
          <w:sz w:val="24"/>
          <w:szCs w:val="24"/>
        </w:rPr>
        <w:t xml:space="preserve"> (PTA)</w:t>
      </w:r>
      <w:r w:rsidRPr="001C713C">
        <w:rPr>
          <w:sz w:val="24"/>
          <w:szCs w:val="24"/>
        </w:rPr>
        <w:t xml:space="preserve">, which requires that the measurement variables be either time-invariant group attributes or time-varying factors that are group invariant. Jointly, these imply that the time series of academic outcomes in the group of intact and non-intact families should differ by a fixed amount in every period and exhibit a common set of period-specific changes. Although, in </w:t>
      </w:r>
      <w:r w:rsidR="00740440">
        <w:rPr>
          <w:sz w:val="24"/>
          <w:szCs w:val="24"/>
        </w:rPr>
        <w:t xml:space="preserve">a </w:t>
      </w:r>
      <w:r w:rsidRPr="001C713C">
        <w:rPr>
          <w:sz w:val="24"/>
          <w:szCs w:val="24"/>
        </w:rPr>
        <w:t xml:space="preserve">simple two-group two-period design the assumption is not testable, there are graphical methods that allow us to show that the trends across groups are parallel to each other </w:t>
      </w:r>
      <w:r w:rsidRPr="001C713C">
        <w:rPr>
          <w:sz w:val="24"/>
          <w:szCs w:val="24"/>
        </w:rPr>
        <w:fldChar w:fldCharType="begin" w:fldLock="1"/>
      </w:r>
      <w:r w:rsidRPr="001C713C">
        <w:rPr>
          <w:sz w:val="24"/>
          <w:szCs w:val="24"/>
        </w:rPr>
        <w:instrText>ADDIN CSL_CITATION {"citationItems":[{"id":"ITEM-1","itemData":{"author":[{"dropping-particle":"","family":"Wing","given":"Coady","non-dropping-particle":"","parse-names":false,"suffix":""},{"dropping-particle":"","family":"Simon","given":"Kosali","non-dropping-particle":"","parse-names":false,"suffix":""},{"dropping-particle":"","family":"Bello-gomez","given":"Ricardo A","non-dropping-particle":"","parse-names":false,"suffix":""}],"id":"ITEM-1","issued":{"date-parts":[["2018"]]},"title":"Designing Difference in Difference Studies : Best Practices for Public Health Policy Research","type":"article-journal"},"uris":["http://www.mendeley.com/documents/?uuid=676e0fd1-4154-4a8e-ab23-402b6cdaf10a"]}],"mendeley":{"formattedCitation":"(Wing et al., 2018)","plainTextFormattedCitation":"(Wing et al., 2018)","previouslyFormattedCitation":"(Wing et al., 2018)"},"properties":{"noteIndex":0},"schema":"https://github.com/citation-style-language/schema/raw/master/csl-citation.json"}</w:instrText>
      </w:r>
      <w:r w:rsidRPr="001C713C">
        <w:rPr>
          <w:sz w:val="24"/>
          <w:szCs w:val="24"/>
        </w:rPr>
        <w:fldChar w:fldCharType="separate"/>
      </w:r>
      <w:r w:rsidRPr="001C713C">
        <w:rPr>
          <w:noProof/>
          <w:sz w:val="24"/>
          <w:szCs w:val="24"/>
        </w:rPr>
        <w:t>(Wing et al., 2018)</w:t>
      </w:r>
      <w:r w:rsidRPr="001C713C">
        <w:rPr>
          <w:sz w:val="24"/>
          <w:szCs w:val="24"/>
        </w:rPr>
        <w:fldChar w:fldCharType="end"/>
      </w:r>
      <w:r w:rsidRPr="001C713C">
        <w:rPr>
          <w:sz w:val="24"/>
          <w:szCs w:val="24"/>
        </w:rPr>
        <w:t xml:space="preserve">. </w:t>
      </w:r>
    </w:p>
    <w:p w14:paraId="630A3C10" w14:textId="15C7C7EF" w:rsidR="006548FE" w:rsidRDefault="006548FE" w:rsidP="00D97552">
      <w:pPr>
        <w:spacing w:line="360" w:lineRule="auto"/>
        <w:ind w:firstLine="397"/>
        <w:jc w:val="both"/>
        <w:rPr>
          <w:sz w:val="24"/>
          <w:szCs w:val="24"/>
        </w:rPr>
      </w:pPr>
      <w:r w:rsidRPr="001C713C">
        <w:rPr>
          <w:sz w:val="24"/>
          <w:szCs w:val="24"/>
        </w:rPr>
        <w:t>Bertrand et al (2004) argued that there are also other concerns related to standard errors of the estimations</w:t>
      </w:r>
      <w:r w:rsidR="00734FBC">
        <w:rPr>
          <w:sz w:val="24"/>
          <w:szCs w:val="24"/>
        </w:rPr>
        <w:t xml:space="preserve"> due to heterogeneity</w:t>
      </w:r>
      <w:r w:rsidRPr="001C713C">
        <w:rPr>
          <w:sz w:val="24"/>
          <w:szCs w:val="24"/>
        </w:rPr>
        <w:t xml:space="preserve">.  A significant problem that may arise and often ignore by researchers is the notion of serial correlation, which overestimates the t-statistics and significance levels in the </w:t>
      </w:r>
      <w:r>
        <w:rPr>
          <w:sz w:val="24"/>
          <w:szCs w:val="24"/>
        </w:rPr>
        <w:t>DID</w:t>
      </w:r>
      <w:r w:rsidRPr="001C713C">
        <w:rPr>
          <w:sz w:val="24"/>
          <w:szCs w:val="24"/>
        </w:rPr>
        <w:t>, but in our case, it is not likely to occur since we have a relatively short time-series dimension</w:t>
      </w:r>
      <w:r>
        <w:rPr>
          <w:sz w:val="24"/>
          <w:szCs w:val="24"/>
        </w:rPr>
        <w:t xml:space="preserve"> </w:t>
      </w:r>
      <w:r>
        <w:rPr>
          <w:rFonts w:eastAsiaTheme="minorEastAsia"/>
          <w:sz w:val="24"/>
          <w:szCs w:val="24"/>
        </w:rPr>
        <w:t>(</w:t>
      </w:r>
      <m:oMath>
        <m:r>
          <w:rPr>
            <w:rFonts w:ascii="Cambria Math" w:hAnsi="Cambria Math"/>
            <w:sz w:val="24"/>
            <w:szCs w:val="24"/>
          </w:rPr>
          <m:t>T = 4</m:t>
        </m:r>
      </m:oMath>
      <w:r>
        <w:rPr>
          <w:rFonts w:eastAsiaTheme="minorEastAsia"/>
          <w:sz w:val="24"/>
          <w:szCs w:val="24"/>
        </w:rPr>
        <w:t>)</w:t>
      </w:r>
      <w:r w:rsidRPr="001C713C">
        <w:rPr>
          <w:sz w:val="24"/>
          <w:szCs w:val="24"/>
        </w:rPr>
        <w:t xml:space="preserve">. </w:t>
      </w:r>
      <w:r w:rsidR="00591473">
        <w:rPr>
          <w:sz w:val="24"/>
          <w:szCs w:val="24"/>
        </w:rPr>
        <w:t xml:space="preserve">However, the short time series length of the classical </w:t>
      </w:r>
      <w:proofErr w:type="spellStart"/>
      <w:r w:rsidR="00591473">
        <w:rPr>
          <w:sz w:val="24"/>
          <w:szCs w:val="24"/>
        </w:rPr>
        <w:t>misspecifies</w:t>
      </w:r>
      <w:proofErr w:type="spellEnd"/>
      <w:r w:rsidR="00591473">
        <w:rPr>
          <w:sz w:val="24"/>
          <w:szCs w:val="24"/>
        </w:rPr>
        <w:t xml:space="preserve"> the process may lead to inconsistent </w:t>
      </w:r>
      <w:r w:rsidR="00D97552">
        <w:rPr>
          <w:sz w:val="24"/>
          <w:szCs w:val="24"/>
        </w:rPr>
        <w:t xml:space="preserve">standard </w:t>
      </w:r>
      <w:r w:rsidR="00591473">
        <w:rPr>
          <w:sz w:val="24"/>
          <w:szCs w:val="24"/>
        </w:rPr>
        <w:t xml:space="preserve">error terms. </w:t>
      </w:r>
      <w:r w:rsidRPr="001C713C">
        <w:rPr>
          <w:sz w:val="24"/>
          <w:szCs w:val="24"/>
        </w:rPr>
        <w:t xml:space="preserve">If it would be the case, either a placebo parental separation by Monte-Carlo simulation (or bootstrapping) or an autocorrelation </w:t>
      </w:r>
      <w:r w:rsidR="00D97552">
        <w:rPr>
          <w:rFonts w:eastAsiaTheme="minorEastAsia"/>
          <w:sz w:val="24"/>
          <w:szCs w:val="24"/>
        </w:rPr>
        <w:t>(</w:t>
      </w:r>
      <m:oMath>
        <m:r>
          <w:rPr>
            <w:rFonts w:ascii="Cambria Math" w:eastAsiaTheme="minorEastAsia" w:hAnsi="Cambria Math"/>
            <w:sz w:val="24"/>
            <w:szCs w:val="24"/>
          </w:rPr>
          <m:t>AR(T))</m:t>
        </m:r>
      </m:oMath>
      <w:r w:rsidR="00D97552">
        <w:rPr>
          <w:rFonts w:eastAsiaTheme="minorEastAsia"/>
          <w:sz w:val="24"/>
          <w:szCs w:val="24"/>
        </w:rPr>
        <w:t xml:space="preserve"> </w:t>
      </w:r>
      <w:r w:rsidRPr="001C713C">
        <w:rPr>
          <w:sz w:val="24"/>
          <w:szCs w:val="24"/>
        </w:rPr>
        <w:t xml:space="preserve">structure of the error terms should </w:t>
      </w:r>
      <w:r w:rsidR="00A07359">
        <w:rPr>
          <w:sz w:val="24"/>
          <w:szCs w:val="24"/>
        </w:rPr>
        <w:t>correct</w:t>
      </w:r>
      <w:r w:rsidRPr="001C713C">
        <w:rPr>
          <w:sz w:val="24"/>
          <w:szCs w:val="24"/>
        </w:rPr>
        <w:t xml:space="preserve"> the phenomena </w:t>
      </w:r>
      <w:r w:rsidRPr="001C713C">
        <w:rPr>
          <w:sz w:val="24"/>
          <w:szCs w:val="24"/>
        </w:rPr>
        <w:fldChar w:fldCharType="begin" w:fldLock="1"/>
      </w:r>
      <w:r w:rsidRPr="001C713C">
        <w:rPr>
          <w:sz w:val="24"/>
          <w:szCs w:val="24"/>
        </w:rPr>
        <w:instrText>ADDIN CSL_CITATION {"citationItems":[{"id":"ITEM-1","itemData":{"DOI":"10.1162/003355304772839588","ISSN":"0033-5533","author":[{"dropping-particle":"","family":"Bertrand","given":"M.","non-dropping-particle":"","parse-names":false,"suffix":""},{"dropping-particle":"","family":"Duflo","given":"E.","non-dropping-particle":"","parse-names":false,"suffix":""},{"dropping-particle":"","family":"Mullainathan","given":"S.","non-dropping-particle":"","parse-names":false,"suffix":""}],"container-title":"The Quarterly Journal of Economics","id":"ITEM-1","issue":"1","issued":{"date-parts":[["2004","2","1"]]},"page":"249-275","title":"How Much Should We Trust Differences-In-Differences Estimates?","type":"article-journal","volume":"119"},"uris":["http://www.mendeley.com/documents/?uuid=a44735d3-7096-48e3-96a8-5e9ae80e5ce8"]}],"mendeley":{"formattedCitation":"(Bertrand et al., 2004)","plainTextFormattedCitation":"(Bertrand et al., 2004)","previouslyFormattedCitation":"(Bertrand et al., 2004)"},"properties":{"noteIndex":0},"schema":"https://github.com/citation-style-language/schema/raw/master/csl-citation.json"}</w:instrText>
      </w:r>
      <w:r w:rsidRPr="001C713C">
        <w:rPr>
          <w:sz w:val="24"/>
          <w:szCs w:val="24"/>
        </w:rPr>
        <w:fldChar w:fldCharType="separate"/>
      </w:r>
      <w:r w:rsidRPr="001C713C">
        <w:rPr>
          <w:noProof/>
          <w:sz w:val="24"/>
          <w:szCs w:val="24"/>
        </w:rPr>
        <w:t>(Bertrand et al., 2004)</w:t>
      </w:r>
      <w:r w:rsidRPr="001C713C">
        <w:rPr>
          <w:sz w:val="24"/>
          <w:szCs w:val="24"/>
        </w:rPr>
        <w:fldChar w:fldCharType="end"/>
      </w:r>
      <w:r w:rsidRPr="001C713C">
        <w:rPr>
          <w:sz w:val="24"/>
          <w:szCs w:val="24"/>
        </w:rPr>
        <w:t xml:space="preserve">. </w:t>
      </w:r>
    </w:p>
    <w:p w14:paraId="2C4DC76F" w14:textId="1AAF7AC8" w:rsidR="00A47631" w:rsidRPr="00D97552" w:rsidRDefault="00A47631" w:rsidP="00D97552">
      <w:pPr>
        <w:spacing w:line="360" w:lineRule="auto"/>
        <w:ind w:firstLine="397"/>
        <w:jc w:val="both"/>
        <w:rPr>
          <w:rFonts w:eastAsiaTheme="minorEastAsia"/>
          <w:sz w:val="24"/>
          <w:szCs w:val="24"/>
        </w:rPr>
      </w:pPr>
      <w:r>
        <w:rPr>
          <w:sz w:val="24"/>
          <w:szCs w:val="24"/>
        </w:rPr>
        <w:lastRenderedPageBreak/>
        <w:t xml:space="preserve">What is often criticized in the “static” TWFE model is that the </w:t>
      </w:r>
      <m:oMath>
        <m:r>
          <m:rPr>
            <m:sty m:val="p"/>
          </m:rPr>
          <w:rPr>
            <w:rFonts w:ascii="Cambria Math" w:hAnsi="Cambria Math"/>
            <w:sz w:val="24"/>
            <w:szCs w:val="24"/>
          </w:rPr>
          <m:t>β</m:t>
        </m:r>
      </m:oMath>
      <w:r>
        <w:rPr>
          <w:rFonts w:eastAsiaTheme="minorEastAsia"/>
          <w:sz w:val="24"/>
          <w:szCs w:val="24"/>
        </w:rPr>
        <w:t xml:space="preserve"> </w:t>
      </w:r>
      <w:r>
        <w:rPr>
          <w:sz w:val="24"/>
          <w:szCs w:val="24"/>
        </w:rPr>
        <w:t xml:space="preserve">coefficient of DID (interaction of time and year) does not reflect the causal parameter of interest when there is a variation in timing and the effects are dynamic. Rather, it represents the weighted average of dynamic effects, allowing for negative weights in the long-run, therefore it creates bias and “overweight” the short-run effects. Also, it heavily relies on the homogeneity of treatment effects </w:t>
      </w:r>
      <w:r>
        <w:rPr>
          <w:sz w:val="24"/>
          <w:szCs w:val="24"/>
        </w:rPr>
        <w:fldChar w:fldCharType="begin" w:fldLock="1"/>
      </w:r>
      <w:r>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2018)"},"properties":{"noteIndex":0},"schema":"https://github.com/citation-style-language/schema/raw/master/csl-citation.json"}</w:instrText>
      </w:r>
      <w:r>
        <w:rPr>
          <w:sz w:val="24"/>
          <w:szCs w:val="24"/>
        </w:rPr>
        <w:fldChar w:fldCharType="separate"/>
      </w:r>
      <w:r w:rsidRPr="00A47631">
        <w:rPr>
          <w:noProof/>
          <w:sz w:val="24"/>
          <w:szCs w:val="24"/>
        </w:rPr>
        <w:t>(Callaway &amp; Sant’Anna, 2018)</w:t>
      </w:r>
      <w:r>
        <w:rPr>
          <w:sz w:val="24"/>
          <w:szCs w:val="24"/>
        </w:rPr>
        <w:fldChar w:fldCharType="end"/>
      </w:r>
      <w:r>
        <w:rPr>
          <w:sz w:val="24"/>
          <w:szCs w:val="24"/>
        </w:rPr>
        <w:t>.</w:t>
      </w:r>
    </w:p>
    <w:p w14:paraId="1AAF1B04" w14:textId="77777777" w:rsidR="006548FE" w:rsidRPr="001C713C" w:rsidRDefault="006548FE" w:rsidP="006548FE">
      <w:pPr>
        <w:spacing w:line="360" w:lineRule="auto"/>
        <w:ind w:firstLine="397"/>
        <w:jc w:val="both"/>
        <w:rPr>
          <w:sz w:val="24"/>
          <w:szCs w:val="24"/>
        </w:rPr>
      </w:pPr>
      <w:r w:rsidRPr="001C713C">
        <w:rPr>
          <w:sz w:val="24"/>
          <w:szCs w:val="24"/>
        </w:rPr>
        <w:t xml:space="preserve">Another important principle is connected to strict exogeneity which states that the </w:t>
      </w:r>
      <w:r>
        <w:rPr>
          <w:sz w:val="24"/>
          <w:szCs w:val="24"/>
        </w:rPr>
        <w:t>DID</w:t>
      </w:r>
      <w:r w:rsidRPr="001C713C">
        <w:rPr>
          <w:sz w:val="24"/>
          <w:szCs w:val="24"/>
        </w:rPr>
        <w:t xml:space="preserve"> design should aim to difference out unmeasured confounders, by eliminating group-specific and time-invariant biases. That is, the time factor must be statistically independent of the outcome distribution across the lagged periods, conditional on the group- and time-fixed effects. Other assumptions are not specifically connected to the </w:t>
      </w:r>
      <w:r>
        <w:rPr>
          <w:sz w:val="24"/>
          <w:szCs w:val="24"/>
        </w:rPr>
        <w:t>DID</w:t>
      </w:r>
      <w:r w:rsidRPr="001C713C">
        <w:rPr>
          <w:sz w:val="24"/>
          <w:szCs w:val="24"/>
        </w:rPr>
        <w:t xml:space="preserve">, but rather the linear model of OLS which is constituted under the Gauss-Markov assumptions </w:t>
      </w:r>
      <w:r w:rsidRPr="001C713C">
        <w:rPr>
          <w:sz w:val="24"/>
          <w:szCs w:val="24"/>
        </w:rPr>
        <w:fldChar w:fldCharType="begin" w:fldLock="1"/>
      </w:r>
      <w:r w:rsidRPr="001C713C">
        <w:rPr>
          <w:sz w:val="24"/>
          <w:szCs w:val="24"/>
        </w:rPr>
        <w:instrText>ADDIN CSL_CITATION {"citationItems":[{"id":"ITEM-1","itemData":{"author":[{"dropping-particle":"","family":"Wing","given":"Coady","non-dropping-particle":"","parse-names":false,"suffix":""},{"dropping-particle":"","family":"Simon","given":"Kosali","non-dropping-particle":"","parse-names":false,"suffix":""},{"dropping-particle":"","family":"Bello-gomez","given":"Ricardo A","non-dropping-particle":"","parse-names":false,"suffix":""}],"id":"ITEM-1","issued":{"date-parts":[["2018"]]},"title":"Designing Difference in Difference Studies : Best Practices for Public Health Policy Research","type":"article-journal"},"uris":["http://www.mendeley.com/documents/?uuid=676e0fd1-4154-4a8e-ab23-402b6cdaf10a"]}],"mendeley":{"formattedCitation":"(Wing et al., 2018)","plainTextFormattedCitation":"(Wing et al., 2018)","previouslyFormattedCitation":"(Wing et al., 2018)"},"properties":{"noteIndex":0},"schema":"https://github.com/citation-style-language/schema/raw/master/csl-citation.json"}</w:instrText>
      </w:r>
      <w:r w:rsidRPr="001C713C">
        <w:rPr>
          <w:sz w:val="24"/>
          <w:szCs w:val="24"/>
        </w:rPr>
        <w:fldChar w:fldCharType="separate"/>
      </w:r>
      <w:r w:rsidRPr="001C713C">
        <w:rPr>
          <w:noProof/>
          <w:sz w:val="24"/>
          <w:szCs w:val="24"/>
        </w:rPr>
        <w:t>(Wing et al., 2018)</w:t>
      </w:r>
      <w:r w:rsidRPr="001C713C">
        <w:rPr>
          <w:sz w:val="24"/>
          <w:szCs w:val="24"/>
        </w:rPr>
        <w:fldChar w:fldCharType="end"/>
      </w:r>
      <w:r w:rsidRPr="001C713C">
        <w:rPr>
          <w:sz w:val="24"/>
          <w:szCs w:val="24"/>
        </w:rPr>
        <w:t>.</w:t>
      </w:r>
    </w:p>
    <w:p w14:paraId="7A34FFF7" w14:textId="5AD67B18" w:rsidR="006548FE" w:rsidRDefault="006548FE" w:rsidP="00C86345">
      <w:pPr>
        <w:spacing w:line="360" w:lineRule="auto"/>
        <w:ind w:firstLine="397"/>
        <w:jc w:val="both"/>
        <w:rPr>
          <w:sz w:val="24"/>
          <w:szCs w:val="24"/>
        </w:rPr>
      </w:pPr>
      <w:r>
        <w:rPr>
          <w:sz w:val="24"/>
          <w:szCs w:val="24"/>
        </w:rPr>
        <w:t>Finally, s</w:t>
      </w:r>
      <w:r w:rsidRPr="001C713C">
        <w:rPr>
          <w:sz w:val="24"/>
          <w:szCs w:val="24"/>
        </w:rPr>
        <w:t xml:space="preserve">cholars </w:t>
      </w:r>
      <w:r>
        <w:rPr>
          <w:sz w:val="24"/>
          <w:szCs w:val="24"/>
        </w:rPr>
        <w:t>also</w:t>
      </w:r>
      <w:r w:rsidRPr="001C713C">
        <w:rPr>
          <w:sz w:val="24"/>
          <w:szCs w:val="24"/>
        </w:rPr>
        <w:t xml:space="preserve"> mention that the distribution of covariates should be very similar in both family structure groups. The incentive is to show that the two groups were comparable before the parental separation happened. In the case of </w:t>
      </w:r>
      <w:r>
        <w:rPr>
          <w:sz w:val="24"/>
          <w:szCs w:val="24"/>
        </w:rPr>
        <w:t>DID</w:t>
      </w:r>
      <w:r w:rsidRPr="001C713C">
        <w:rPr>
          <w:sz w:val="24"/>
          <w:szCs w:val="24"/>
        </w:rPr>
        <w:t xml:space="preserve"> design, it is only necessary that the differences between the two groups are stable over time and that the treatment is not responsible for the changes in the distribution of covariates. To test such a theory, </w:t>
      </w:r>
      <w:r w:rsidR="006A4DED">
        <w:rPr>
          <w:sz w:val="24"/>
          <w:szCs w:val="24"/>
        </w:rPr>
        <w:t>one</w:t>
      </w:r>
      <w:r w:rsidRPr="001C713C">
        <w:rPr>
          <w:sz w:val="24"/>
          <w:szCs w:val="24"/>
        </w:rPr>
        <w:t xml:space="preserve"> can replace the outcome variable with the covariate and fit the baseline DID regression model. If the </w:t>
      </w:r>
      <w:r>
        <w:rPr>
          <w:sz w:val="24"/>
          <w:szCs w:val="24"/>
        </w:rPr>
        <w:t>DID</w:t>
      </w:r>
      <w:r w:rsidRPr="001C713C">
        <w:rPr>
          <w:sz w:val="24"/>
          <w:szCs w:val="24"/>
        </w:rPr>
        <w:t xml:space="preserve"> coefficient is near to zero or not significant, it suggests that there are no compositional changes </w:t>
      </w:r>
      <w:r w:rsidRPr="001C713C">
        <w:rPr>
          <w:sz w:val="24"/>
          <w:szCs w:val="24"/>
        </w:rPr>
        <w:fldChar w:fldCharType="begin" w:fldLock="1"/>
      </w:r>
      <w:r w:rsidRPr="001C713C">
        <w:rPr>
          <w:sz w:val="24"/>
          <w:szCs w:val="24"/>
        </w:rPr>
        <w:instrText>ADDIN CSL_CITATION {"citationItems":[{"id":"ITEM-1","itemData":{"author":[{"dropping-particle":"","family":"Wing","given":"Coady","non-dropping-particle":"","parse-names":false,"suffix":""},{"dropping-particle":"","family":"Simon","given":"Kosali","non-dropping-particle":"","parse-names":false,"suffix":""},{"dropping-particle":"","family":"Bello-gomez","given":"Ricardo A","non-dropping-particle":"","parse-names":false,"suffix":""}],"id":"ITEM-1","issued":{"date-parts":[["2018"]]},"title":"Designing Difference in Difference Studies : Best Practices for Public Health Policy Research","type":"article-journal"},"uris":["http://www.mendeley.com/documents/?uuid=676e0fd1-4154-4a8e-ab23-402b6cdaf10a"]}],"mendeley":{"formattedCitation":"(Wing et al., 2018)","plainTextFormattedCitation":"(Wing et al., 2018)","previouslyFormattedCitation":"(Wing et al., 2018)"},"properties":{"noteIndex":0},"schema":"https://github.com/citation-style-language/schema/raw/master/csl-citation.json"}</w:instrText>
      </w:r>
      <w:r w:rsidRPr="001C713C">
        <w:rPr>
          <w:sz w:val="24"/>
          <w:szCs w:val="24"/>
        </w:rPr>
        <w:fldChar w:fldCharType="separate"/>
      </w:r>
      <w:r w:rsidRPr="001C713C">
        <w:rPr>
          <w:noProof/>
          <w:sz w:val="24"/>
          <w:szCs w:val="24"/>
        </w:rPr>
        <w:t>(Wing et al., 2018)</w:t>
      </w:r>
      <w:r w:rsidRPr="001C713C">
        <w:rPr>
          <w:sz w:val="24"/>
          <w:szCs w:val="24"/>
        </w:rPr>
        <w:fldChar w:fldCharType="end"/>
      </w:r>
      <w:r w:rsidRPr="001C713C">
        <w:rPr>
          <w:sz w:val="24"/>
          <w:szCs w:val="24"/>
        </w:rPr>
        <w:t xml:space="preserve">.  </w:t>
      </w:r>
    </w:p>
    <w:p w14:paraId="70CD657D" w14:textId="7CE14C84" w:rsidR="006548FE" w:rsidRPr="006C019D" w:rsidRDefault="006548FE"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Pr="006C019D">
        <w:rPr>
          <w:rFonts w:asciiTheme="minorHAnsi" w:hAnsiTheme="minorHAnsi" w:cstheme="minorHAnsi"/>
          <w:color w:val="auto"/>
          <w:sz w:val="24"/>
          <w:szCs w:val="24"/>
        </w:rPr>
        <w:t xml:space="preserve">2. </w:t>
      </w:r>
      <w:r w:rsidR="008277FC" w:rsidRPr="006C019D">
        <w:rPr>
          <w:rFonts w:asciiTheme="minorHAnsi" w:hAnsiTheme="minorHAnsi" w:cstheme="minorHAnsi"/>
          <w:color w:val="auto"/>
          <w:sz w:val="24"/>
          <w:szCs w:val="24"/>
        </w:rPr>
        <w:t>Specificatio</w:t>
      </w:r>
      <w:r w:rsidR="00A179A0" w:rsidRPr="006C019D">
        <w:rPr>
          <w:rFonts w:asciiTheme="minorHAnsi" w:hAnsiTheme="minorHAnsi" w:cstheme="minorHAnsi"/>
          <w:color w:val="auto"/>
          <w:sz w:val="24"/>
          <w:szCs w:val="24"/>
        </w:rPr>
        <w:t>n</w:t>
      </w:r>
    </w:p>
    <w:p w14:paraId="425CE66C" w14:textId="2A3DBA36" w:rsidR="00864B95" w:rsidRDefault="001D7392" w:rsidP="00864B95">
      <w:pPr>
        <w:spacing w:line="360" w:lineRule="auto"/>
        <w:ind w:firstLine="397"/>
        <w:jc w:val="both"/>
        <w:rPr>
          <w:sz w:val="24"/>
          <w:szCs w:val="24"/>
        </w:rPr>
      </w:pPr>
      <w:r>
        <w:rPr>
          <w:sz w:val="24"/>
          <w:szCs w:val="24"/>
        </w:rPr>
        <w:t xml:space="preserve">Callaway &amp; </w:t>
      </w:r>
      <w:proofErr w:type="spellStart"/>
      <w:r>
        <w:rPr>
          <w:sz w:val="24"/>
          <w:szCs w:val="24"/>
        </w:rPr>
        <w:t>Sant’Anna’s</w:t>
      </w:r>
      <w:proofErr w:type="spellEnd"/>
      <w:r>
        <w:rPr>
          <w:sz w:val="24"/>
          <w:szCs w:val="24"/>
        </w:rPr>
        <w:t xml:space="preserve"> (2019)</w:t>
      </w:r>
      <w:r w:rsidR="00D71FA5">
        <w:rPr>
          <w:sz w:val="24"/>
          <w:szCs w:val="24"/>
        </w:rPr>
        <w:t xml:space="preserve"> procedure </w:t>
      </w:r>
      <w:r>
        <w:rPr>
          <w:sz w:val="24"/>
          <w:szCs w:val="24"/>
        </w:rPr>
        <w:t>considers</w:t>
      </w:r>
      <w:r w:rsidR="00D71FA5">
        <w:rPr>
          <w:sz w:val="24"/>
          <w:szCs w:val="24"/>
        </w:rPr>
        <w:t xml:space="preserve"> multiple time periods with variation</w:t>
      </w:r>
      <w:r w:rsidR="007D14E8">
        <w:rPr>
          <w:sz w:val="24"/>
          <w:szCs w:val="24"/>
        </w:rPr>
        <w:t>s</w:t>
      </w:r>
      <w:r w:rsidR="00D71FA5">
        <w:rPr>
          <w:sz w:val="24"/>
          <w:szCs w:val="24"/>
        </w:rPr>
        <w:t xml:space="preserve"> in treatment timing</w:t>
      </w:r>
      <w:r w:rsidR="00C31C48">
        <w:rPr>
          <w:sz w:val="24"/>
          <w:szCs w:val="24"/>
        </w:rPr>
        <w:t>, while</w:t>
      </w:r>
      <w:r w:rsidR="00D71FA5">
        <w:rPr>
          <w:sz w:val="24"/>
          <w:szCs w:val="24"/>
        </w:rPr>
        <w:t xml:space="preserve"> it </w:t>
      </w:r>
      <w:r>
        <w:rPr>
          <w:sz w:val="24"/>
          <w:szCs w:val="24"/>
        </w:rPr>
        <w:t xml:space="preserve">accounts </w:t>
      </w:r>
      <w:r w:rsidR="00D71FA5">
        <w:rPr>
          <w:sz w:val="24"/>
          <w:szCs w:val="24"/>
        </w:rPr>
        <w:t>for the</w:t>
      </w:r>
      <w:r w:rsidR="009E576E">
        <w:rPr>
          <w:sz w:val="24"/>
          <w:szCs w:val="24"/>
        </w:rPr>
        <w:t xml:space="preserve"> PTA </w:t>
      </w:r>
      <w:r w:rsidR="00D71FA5">
        <w:rPr>
          <w:sz w:val="24"/>
          <w:szCs w:val="24"/>
        </w:rPr>
        <w:t>conditioned on observed covariates</w:t>
      </w:r>
      <w:r w:rsidR="00C31C48">
        <w:rPr>
          <w:sz w:val="24"/>
          <w:szCs w:val="24"/>
        </w:rPr>
        <w:t xml:space="preserve"> which makes it unique compared to other models</w:t>
      </w:r>
      <w:r w:rsidR="00D71FA5">
        <w:rPr>
          <w:sz w:val="24"/>
          <w:szCs w:val="24"/>
        </w:rPr>
        <w:t xml:space="preserve">. The strategy can be divided into two </w:t>
      </w:r>
      <w:r w:rsidR="0059778C">
        <w:rPr>
          <w:sz w:val="24"/>
          <w:szCs w:val="24"/>
        </w:rPr>
        <w:t>stages</w:t>
      </w:r>
      <w:r w:rsidR="009E576E">
        <w:rPr>
          <w:sz w:val="24"/>
          <w:szCs w:val="24"/>
        </w:rPr>
        <w:t>,</w:t>
      </w:r>
      <w:r w:rsidR="0059778C">
        <w:rPr>
          <w:sz w:val="24"/>
          <w:szCs w:val="24"/>
        </w:rPr>
        <w:t xml:space="preserve"> </w:t>
      </w:r>
      <w:r w:rsidR="00B677EC">
        <w:rPr>
          <w:sz w:val="24"/>
          <w:szCs w:val="24"/>
        </w:rPr>
        <w:t>where the</w:t>
      </w:r>
      <w:r w:rsidR="00D71FA5">
        <w:rPr>
          <w:sz w:val="24"/>
          <w:szCs w:val="24"/>
        </w:rPr>
        <w:t xml:space="preserve"> first establish</w:t>
      </w:r>
      <w:r>
        <w:rPr>
          <w:sz w:val="24"/>
          <w:szCs w:val="24"/>
        </w:rPr>
        <w:t>es</w:t>
      </w:r>
      <w:r w:rsidR="00D71FA5">
        <w:rPr>
          <w:sz w:val="24"/>
          <w:szCs w:val="24"/>
        </w:rPr>
        <w:t xml:space="preserve"> the asymptotic properties of the treatment estimator</w:t>
      </w:r>
      <w:r w:rsidR="00B677EC">
        <w:rPr>
          <w:sz w:val="24"/>
          <w:szCs w:val="24"/>
        </w:rPr>
        <w:t xml:space="preserve">, and the </w:t>
      </w:r>
      <w:r>
        <w:rPr>
          <w:sz w:val="24"/>
          <w:szCs w:val="24"/>
        </w:rPr>
        <w:t>second</w:t>
      </w:r>
      <w:r w:rsidR="00D71FA5">
        <w:rPr>
          <w:sz w:val="24"/>
          <w:szCs w:val="24"/>
        </w:rPr>
        <w:t xml:space="preserve"> implement</w:t>
      </w:r>
      <w:r w:rsidR="00F97E09">
        <w:rPr>
          <w:sz w:val="24"/>
          <w:szCs w:val="24"/>
        </w:rPr>
        <w:t>s</w:t>
      </w:r>
      <w:r w:rsidR="00D71FA5">
        <w:rPr>
          <w:sz w:val="24"/>
          <w:szCs w:val="24"/>
        </w:rPr>
        <w:t xml:space="preserve"> a bootstrap procedure to carry out asymptotically valid simultaneous inference.</w:t>
      </w:r>
      <w:r w:rsidR="009338B2">
        <w:rPr>
          <w:sz w:val="24"/>
          <w:szCs w:val="24"/>
        </w:rPr>
        <w:t xml:space="preserve"> Bootstrapping allows for simultaneous confidence intervals instead of the traditional pointwise estimation</w:t>
      </w:r>
      <w:r w:rsidR="009E576E">
        <w:rPr>
          <w:sz w:val="24"/>
          <w:szCs w:val="24"/>
        </w:rPr>
        <w:t xml:space="preserve"> and lowers the likelihood of heterogeneity</w:t>
      </w:r>
      <w:r w:rsidR="009338B2">
        <w:rPr>
          <w:sz w:val="24"/>
          <w:szCs w:val="24"/>
        </w:rPr>
        <w:t>.</w:t>
      </w:r>
      <w:r w:rsidR="00D71FA5">
        <w:rPr>
          <w:sz w:val="24"/>
          <w:szCs w:val="24"/>
        </w:rPr>
        <w:t xml:space="preserve"> </w:t>
      </w:r>
      <w:r w:rsidR="001F1DD0">
        <w:rPr>
          <w:sz w:val="24"/>
          <w:szCs w:val="24"/>
        </w:rPr>
        <w:t>To pre-test</w:t>
      </w:r>
      <w:r w:rsidR="00F97E09">
        <w:rPr>
          <w:sz w:val="24"/>
          <w:szCs w:val="24"/>
        </w:rPr>
        <w:t>,</w:t>
      </w:r>
      <w:r w:rsidR="001F1DD0">
        <w:rPr>
          <w:sz w:val="24"/>
          <w:szCs w:val="24"/>
        </w:rPr>
        <w:t xml:space="preserve"> the validity of the PTA, a </w:t>
      </w:r>
      <w:r w:rsidR="009338B2">
        <w:rPr>
          <w:sz w:val="24"/>
          <w:szCs w:val="24"/>
        </w:rPr>
        <w:t xml:space="preserve">fully data-driven </w:t>
      </w:r>
      <w:r w:rsidR="001F1DD0">
        <w:rPr>
          <w:sz w:val="24"/>
          <w:szCs w:val="24"/>
        </w:rPr>
        <w:t xml:space="preserve">semiparametric t-test procedure offers credible </w:t>
      </w:r>
      <w:r w:rsidR="001F1DD0">
        <w:rPr>
          <w:sz w:val="24"/>
          <w:szCs w:val="24"/>
        </w:rPr>
        <w:lastRenderedPageBreak/>
        <w:t>solutions</w:t>
      </w:r>
      <w:r w:rsidR="009338B2">
        <w:rPr>
          <w:sz w:val="24"/>
          <w:szCs w:val="24"/>
        </w:rPr>
        <w:t>, which is based on the</w:t>
      </w:r>
      <w:r w:rsidR="009441C4">
        <w:rPr>
          <w:sz w:val="24"/>
          <w:szCs w:val="24"/>
        </w:rPr>
        <w:t xml:space="preserve"> weighted</w:t>
      </w:r>
      <w:r w:rsidR="009338B2">
        <w:rPr>
          <w:sz w:val="24"/>
          <w:szCs w:val="24"/>
        </w:rPr>
        <w:t xml:space="preserve"> integrated </w:t>
      </w:r>
      <w:r w:rsidR="00AD18E9">
        <w:rPr>
          <w:sz w:val="24"/>
          <w:szCs w:val="24"/>
        </w:rPr>
        <w:t xml:space="preserve">conditional </w:t>
      </w:r>
      <w:r w:rsidR="009338B2">
        <w:rPr>
          <w:sz w:val="24"/>
          <w:szCs w:val="24"/>
        </w:rPr>
        <w:t>moments</w:t>
      </w:r>
      <w:r w:rsidR="00AD18E9">
        <w:rPr>
          <w:sz w:val="24"/>
          <w:szCs w:val="24"/>
        </w:rPr>
        <w:t xml:space="preserve"> (ICM)</w:t>
      </w:r>
      <w:r w:rsidR="009338B2">
        <w:rPr>
          <w:sz w:val="24"/>
          <w:szCs w:val="24"/>
        </w:rPr>
        <w:t xml:space="preserve"> approach</w:t>
      </w:r>
      <w:r w:rsidR="009441C4">
        <w:rPr>
          <w:sz w:val="24"/>
          <w:szCs w:val="24"/>
        </w:rPr>
        <w:t xml:space="preserve"> introduced by </w:t>
      </w:r>
      <w:r w:rsidR="009441C4">
        <w:rPr>
          <w:sz w:val="24"/>
          <w:szCs w:val="24"/>
        </w:rPr>
        <w:fldChar w:fldCharType="begin" w:fldLock="1"/>
      </w:r>
      <w:r w:rsidR="00A47631">
        <w:rPr>
          <w:sz w:val="24"/>
          <w:szCs w:val="24"/>
        </w:rPr>
        <w:instrText>ADDIN CSL_CITATION {"citationItems":[{"id":"ITEM-1","itemData":{"author":[{"dropping-particle":"","family":"Bierens","given":"B Y Herman J","non-dropping-particle":"","parse-names":false,"suffix":""},{"dropping-particle":"","family":"Ploberger","given":"Werner","non-dropping-particle":"","parse-names":false,"suffix":""}],"id":"ITEM-1","issue":"5","issued":{"date-parts":[["2016"]]},"page":"1129-1151","title":"Asymptotic Theory of Integrated Conditional Moment Tests Author ( s ): Herman J . Bierens and Werner Ploberger Published by : The Econometric Society Stable URL : http://www.jstor.org/stable/2171881 Accessed : 04-06-2016 13 : 19 UTC Your use of the JSTOR ","type":"article-journal","volume":"65"},"uris":["http://www.mendeley.com/documents/?uuid=8fc8e62e-bd74-482d-9935-62fc300f0523"]}],"mendeley":{"formattedCitation":"(Bierens &amp; Ploberger, 2016)","manualFormatting":"Bierens &amp; Ploberger (2016)","plainTextFormattedCitation":"(Bierens &amp; Ploberger, 2016)","previouslyFormattedCitation":"(Bierens &amp; Ploberger, 2016)"},"properties":{"noteIndex":0},"schema":"https://github.com/citation-style-language/schema/raw/master/csl-citation.json"}</w:instrText>
      </w:r>
      <w:r w:rsidR="009441C4">
        <w:rPr>
          <w:sz w:val="24"/>
          <w:szCs w:val="24"/>
        </w:rPr>
        <w:fldChar w:fldCharType="separate"/>
      </w:r>
      <w:r w:rsidR="009441C4" w:rsidRPr="009441C4">
        <w:rPr>
          <w:noProof/>
          <w:sz w:val="24"/>
          <w:szCs w:val="24"/>
        </w:rPr>
        <w:t xml:space="preserve">Bierens &amp; Ploberger </w:t>
      </w:r>
      <w:r w:rsidR="009441C4">
        <w:rPr>
          <w:noProof/>
          <w:sz w:val="24"/>
          <w:szCs w:val="24"/>
        </w:rPr>
        <w:t>(</w:t>
      </w:r>
      <w:r w:rsidR="009441C4" w:rsidRPr="009441C4">
        <w:rPr>
          <w:noProof/>
          <w:sz w:val="24"/>
          <w:szCs w:val="24"/>
        </w:rPr>
        <w:t>2016)</w:t>
      </w:r>
      <w:r w:rsidR="009441C4">
        <w:rPr>
          <w:sz w:val="24"/>
          <w:szCs w:val="24"/>
        </w:rPr>
        <w:fldChar w:fldCharType="end"/>
      </w:r>
      <w:r w:rsidR="004B73DC">
        <w:rPr>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8E71E2">
        <w:rPr>
          <w:sz w:val="24"/>
          <w:szCs w:val="24"/>
        </w:rPr>
        <w:t>.</w:t>
      </w:r>
    </w:p>
    <w:p w14:paraId="05F65359" w14:textId="5B88C1FE" w:rsidR="00C83B4F" w:rsidRDefault="00A67C18" w:rsidP="00C2464D">
      <w:pPr>
        <w:spacing w:line="360" w:lineRule="auto"/>
        <w:ind w:firstLine="397"/>
        <w:jc w:val="both"/>
        <w:rPr>
          <w:sz w:val="24"/>
          <w:szCs w:val="24"/>
        </w:rPr>
      </w:pPr>
      <w:r>
        <w:rPr>
          <w:sz w:val="24"/>
          <w:szCs w:val="24"/>
        </w:rPr>
        <w:t>Instead of the</w:t>
      </w:r>
      <w:r w:rsidR="009E54A3">
        <w:rPr>
          <w:rFonts w:eastAsiaTheme="minorEastAsia"/>
          <w:sz w:val="24"/>
          <w:szCs w:val="24"/>
        </w:rPr>
        <w:t xml:space="preserve"> </w:t>
      </w:r>
      <m:oMath>
        <m:r>
          <m:rPr>
            <m:sty m:val="p"/>
          </m:rPr>
          <w:rPr>
            <w:rFonts w:ascii="Cambria Math" w:hAnsi="Cambria Math"/>
            <w:sz w:val="24"/>
            <w:szCs w:val="24"/>
          </w:rPr>
          <m:t>β</m:t>
        </m:r>
      </m:oMath>
      <w:r>
        <w:rPr>
          <w:rFonts w:eastAsiaTheme="minorEastAsia"/>
          <w:sz w:val="24"/>
          <w:szCs w:val="24"/>
        </w:rPr>
        <w:t xml:space="preserve"> </w:t>
      </w:r>
      <w:r>
        <w:rPr>
          <w:sz w:val="24"/>
          <w:szCs w:val="24"/>
        </w:rPr>
        <w:t>coefficient</w:t>
      </w:r>
      <w:r w:rsidR="002716ED">
        <w:rPr>
          <w:sz w:val="24"/>
          <w:szCs w:val="24"/>
        </w:rPr>
        <w:t xml:space="preserve"> in the TWFE</w:t>
      </w:r>
      <w:r w:rsidR="00EF64F8">
        <w:rPr>
          <w:sz w:val="24"/>
          <w:szCs w:val="24"/>
        </w:rPr>
        <w:t xml:space="preserve"> regressions</w:t>
      </w:r>
      <w:r>
        <w:rPr>
          <w:sz w:val="24"/>
          <w:szCs w:val="24"/>
        </w:rPr>
        <w:t xml:space="preserve">, </w:t>
      </w:r>
      <w:r w:rsidR="00CA4DC0">
        <w:rPr>
          <w:sz w:val="24"/>
          <w:szCs w:val="24"/>
        </w:rPr>
        <w:t xml:space="preserve">Callaway &amp; </w:t>
      </w:r>
      <w:proofErr w:type="spellStart"/>
      <w:r w:rsidR="00CA4DC0">
        <w:rPr>
          <w:sz w:val="24"/>
          <w:szCs w:val="24"/>
        </w:rPr>
        <w:t>Sant’Anna</w:t>
      </w:r>
      <w:proofErr w:type="spellEnd"/>
      <w:r w:rsidR="00CA4DC0">
        <w:rPr>
          <w:sz w:val="24"/>
          <w:szCs w:val="24"/>
        </w:rPr>
        <w:t xml:space="preserve"> (2018)</w:t>
      </w:r>
      <w:r>
        <w:rPr>
          <w:sz w:val="24"/>
          <w:szCs w:val="24"/>
        </w:rPr>
        <w:t xml:space="preserve"> proposed the group-time average treatment effects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Pr>
          <w:sz w:val="24"/>
          <w:szCs w:val="24"/>
        </w:rPr>
        <w:t>), which accounts for the time of first treatment and the evolution of dynamic effects, thus mitigates heterogeneity</w:t>
      </w:r>
      <w:r w:rsidR="0031292B">
        <w:rPr>
          <w:sz w:val="24"/>
          <w:szCs w:val="24"/>
        </w:rPr>
        <w:t xml:space="preserve"> </w:t>
      </w:r>
      <w:r w:rsidR="009076D7">
        <w:rPr>
          <w:sz w:val="24"/>
          <w:szCs w:val="24"/>
        </w:rPr>
        <w:t xml:space="preserve">and makes </w:t>
      </w:r>
      <w:r w:rsidR="00F97E09">
        <w:rPr>
          <w:sz w:val="24"/>
          <w:szCs w:val="24"/>
        </w:rPr>
        <w:t xml:space="preserve">it </w:t>
      </w:r>
      <w:r w:rsidR="009076D7">
        <w:rPr>
          <w:sz w:val="24"/>
          <w:szCs w:val="24"/>
        </w:rPr>
        <w:t>eas</w:t>
      </w:r>
      <w:r w:rsidR="00216253">
        <w:rPr>
          <w:sz w:val="24"/>
          <w:szCs w:val="24"/>
        </w:rPr>
        <w:t>ier</w:t>
      </w:r>
      <w:r w:rsidR="0031292B">
        <w:rPr>
          <w:sz w:val="24"/>
          <w:szCs w:val="24"/>
        </w:rPr>
        <w:t xml:space="preserve"> to interpret the causal effects</w:t>
      </w:r>
      <w:r>
        <w:rPr>
          <w:sz w:val="24"/>
          <w:szCs w:val="24"/>
        </w:rPr>
        <w:t xml:space="preserve">. </w:t>
      </w:r>
      <w:r w:rsidR="00CA4DC0">
        <w:rPr>
          <w:sz w:val="24"/>
          <w:szCs w:val="24"/>
        </w:rPr>
        <w:t xml:space="preserve">Callaway &amp; </w:t>
      </w:r>
      <w:proofErr w:type="spellStart"/>
      <w:r w:rsidR="00CA4DC0">
        <w:rPr>
          <w:sz w:val="24"/>
          <w:szCs w:val="24"/>
        </w:rPr>
        <w:t>Sant’Anna</w:t>
      </w:r>
      <w:proofErr w:type="spellEnd"/>
      <w:r w:rsidR="00CA4DC0">
        <w:rPr>
          <w:sz w:val="24"/>
          <w:szCs w:val="24"/>
        </w:rPr>
        <w:t xml:space="preserve"> (2018)</w:t>
      </w:r>
      <w:r w:rsidR="00E73653">
        <w:rPr>
          <w:sz w:val="24"/>
          <w:szCs w:val="24"/>
        </w:rPr>
        <w:t xml:space="preserve"> identified </w:t>
      </w:r>
      <w:r w:rsidR="0031292B">
        <w:rPr>
          <w:sz w:val="24"/>
          <w:szCs w:val="24"/>
        </w:rPr>
        <w:t xml:space="preserve">three possible alterations when </w:t>
      </w:r>
      <w:r w:rsidR="00E73653">
        <w:rPr>
          <w:sz w:val="24"/>
          <w:szCs w:val="24"/>
        </w:rPr>
        <w:t xml:space="preserve">aggregating </w:t>
      </w:r>
      <w:r w:rsidR="0031292B">
        <w:rPr>
          <w:sz w:val="24"/>
          <w:szCs w:val="24"/>
        </w:rPr>
        <w:t xml:space="preserve">the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sidR="00457C48">
        <w:rPr>
          <w:rFonts w:eastAsiaTheme="minorEastAsia"/>
          <w:sz w:val="24"/>
          <w:szCs w:val="24"/>
        </w:rPr>
        <w:t>s</w:t>
      </w:r>
      <w:r w:rsidR="0031292B">
        <w:rPr>
          <w:sz w:val="24"/>
          <w:szCs w:val="24"/>
        </w:rPr>
        <w:t>, which are the (</w:t>
      </w:r>
      <w:proofErr w:type="spellStart"/>
      <w:r w:rsidR="0031292B">
        <w:rPr>
          <w:sz w:val="24"/>
          <w:szCs w:val="24"/>
        </w:rPr>
        <w:t>i</w:t>
      </w:r>
      <w:proofErr w:type="spellEnd"/>
      <w:r w:rsidR="0031292B">
        <w:rPr>
          <w:sz w:val="24"/>
          <w:szCs w:val="24"/>
        </w:rPr>
        <w:t>) selective treatment timing, (ii) the dynamic treatment effect, and the (iii) calendar time effect. In this study</w:t>
      </w:r>
      <w:r w:rsidR="007D14E8">
        <w:rPr>
          <w:sz w:val="24"/>
          <w:szCs w:val="24"/>
        </w:rPr>
        <w:t>,</w:t>
      </w:r>
      <w:r w:rsidR="0031292B">
        <w:rPr>
          <w:sz w:val="24"/>
          <w:szCs w:val="24"/>
        </w:rPr>
        <w:t xml:space="preserve"> I will only consider the dynamic effects which </w:t>
      </w:r>
      <w:r w:rsidR="00216253">
        <w:rPr>
          <w:sz w:val="24"/>
          <w:szCs w:val="24"/>
        </w:rPr>
        <w:t>assume</w:t>
      </w:r>
      <w:r w:rsidR="0031292B">
        <w:rPr>
          <w:sz w:val="24"/>
          <w:szCs w:val="24"/>
        </w:rPr>
        <w:t xml:space="preserve"> that the effect</w:t>
      </w:r>
      <w:r w:rsidR="00216253">
        <w:rPr>
          <w:sz w:val="24"/>
          <w:szCs w:val="24"/>
        </w:rPr>
        <w:t xml:space="preserve"> of parental separation</w:t>
      </w:r>
      <w:r w:rsidR="0031292B">
        <w:rPr>
          <w:sz w:val="24"/>
          <w:szCs w:val="24"/>
        </w:rPr>
        <w:t xml:space="preserve"> may depend on the length of exposure. </w:t>
      </w:r>
      <w:r w:rsidR="00E73653">
        <w:rPr>
          <w:sz w:val="24"/>
          <w:szCs w:val="24"/>
        </w:rPr>
        <w:t xml:space="preserve">Therefore, </w:t>
      </w:r>
      <w:r w:rsidR="00CE1D0D">
        <w:rPr>
          <w:sz w:val="24"/>
          <w:szCs w:val="24"/>
        </w:rPr>
        <w:t>by aggregating across groups and periods,</w:t>
      </w:r>
      <w:r w:rsidR="00E73653">
        <w:rPr>
          <w:sz w:val="24"/>
          <w:szCs w:val="24"/>
        </w:rPr>
        <w:t xml:space="preserve"> we will have one robust parameter estimate of the effect of parental separation o</w:t>
      </w:r>
      <w:r w:rsidR="007D14E8">
        <w:rPr>
          <w:sz w:val="24"/>
          <w:szCs w:val="24"/>
        </w:rPr>
        <w:t>n</w:t>
      </w:r>
      <w:r w:rsidR="00E73653">
        <w:rPr>
          <w:sz w:val="24"/>
          <w:szCs w:val="24"/>
        </w:rPr>
        <w:t xml:space="preserve"> academic performance</w:t>
      </w:r>
      <w:r w:rsidR="00971C1A">
        <w:rPr>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E73653">
        <w:rPr>
          <w:sz w:val="24"/>
          <w:szCs w:val="24"/>
        </w:rPr>
        <w:t>.</w:t>
      </w:r>
    </w:p>
    <w:p w14:paraId="46BEFE52" w14:textId="40BB2731" w:rsidR="00864B95" w:rsidRPr="00C2464D" w:rsidRDefault="00864B95" w:rsidP="00864B95">
      <w:pPr>
        <w:spacing w:line="360" w:lineRule="auto"/>
        <w:ind w:firstLine="397"/>
        <w:jc w:val="both"/>
        <w:rPr>
          <w:rFonts w:eastAsiaTheme="minorEastAsia"/>
          <w:sz w:val="24"/>
          <w:szCs w:val="24"/>
        </w:rPr>
      </w:pPr>
      <w:r>
        <w:rPr>
          <w:sz w:val="24"/>
          <w:szCs w:val="24"/>
        </w:rPr>
        <w:t>Let us begin with the compos</w:t>
      </w:r>
      <w:r w:rsidR="00F97E09">
        <w:rPr>
          <w:sz w:val="24"/>
          <w:szCs w:val="24"/>
        </w:rPr>
        <w:t>iti</w:t>
      </w:r>
      <w:r>
        <w:rPr>
          <w:sz w:val="24"/>
          <w:szCs w:val="24"/>
        </w:rPr>
        <w:t>on of groups. O</w:t>
      </w:r>
      <w:r w:rsidRPr="001C713C">
        <w:rPr>
          <w:sz w:val="24"/>
          <w:szCs w:val="24"/>
        </w:rPr>
        <w:t xml:space="preserve">ur control group incorporates the children with intact families, and the group of children in non-intact families </w:t>
      </w:r>
      <w:r w:rsidR="00D6668D">
        <w:rPr>
          <w:sz w:val="24"/>
          <w:szCs w:val="24"/>
        </w:rPr>
        <w:t>(</w:t>
      </w:r>
      <w:r w:rsidR="00DC50BF">
        <w:rPr>
          <w:sz w:val="24"/>
          <w:szCs w:val="24"/>
        </w:rPr>
        <w:t>by</w:t>
      </w:r>
      <w:r w:rsidR="00D6668D">
        <w:rPr>
          <w:sz w:val="24"/>
          <w:szCs w:val="24"/>
        </w:rPr>
        <w:t xml:space="preserve"> definition) </w:t>
      </w:r>
      <w:r w:rsidRPr="001C713C">
        <w:rPr>
          <w:sz w:val="24"/>
          <w:szCs w:val="24"/>
        </w:rPr>
        <w:t>provides the treatment group</w:t>
      </w:r>
      <w:r>
        <w:rPr>
          <w:sz w:val="24"/>
          <w:szCs w:val="24"/>
        </w:rPr>
        <w:t>.</w:t>
      </w:r>
      <w:r w:rsidRPr="001C713C">
        <w:rPr>
          <w:rFonts w:eastAsiaTheme="minorEastAsia"/>
          <w:sz w:val="24"/>
          <w:szCs w:val="24"/>
        </w:rPr>
        <w:t xml:space="preserve"> </w:t>
      </w:r>
      <w:r w:rsidRPr="001C713C">
        <w:rPr>
          <w:sz w:val="24"/>
          <w:szCs w:val="24"/>
        </w:rPr>
        <w:t xml:space="preserve">Since the </w:t>
      </w:r>
      <w:r>
        <w:rPr>
          <w:sz w:val="24"/>
          <w:szCs w:val="24"/>
        </w:rPr>
        <w:t>DID</w:t>
      </w:r>
      <w:r w:rsidRPr="001C713C">
        <w:rPr>
          <w:sz w:val="24"/>
          <w:szCs w:val="24"/>
        </w:rPr>
        <w:t xml:space="preserve"> method observes differences in the </w:t>
      </w:r>
      <w:r>
        <w:rPr>
          <w:sz w:val="24"/>
          <w:szCs w:val="24"/>
        </w:rPr>
        <w:t xml:space="preserve">group-time </w:t>
      </w:r>
      <w:r w:rsidRPr="001C713C">
        <w:rPr>
          <w:sz w:val="24"/>
          <w:szCs w:val="24"/>
        </w:rPr>
        <w:t xml:space="preserve">averages, </w:t>
      </w:r>
      <w:r>
        <w:rPr>
          <w:sz w:val="24"/>
          <w:szCs w:val="24"/>
        </w:rPr>
        <w:t>repeated cross-sectional data will suit the purpose</w:t>
      </w:r>
      <w:r w:rsidR="00070F26">
        <w:rPr>
          <w:sz w:val="24"/>
          <w:szCs w:val="24"/>
        </w:rPr>
        <w:t xml:space="preserve"> and we do not need to treat the issue of unbalanced panel</w:t>
      </w:r>
      <w:r w:rsidR="00740440">
        <w:rPr>
          <w:sz w:val="24"/>
          <w:szCs w:val="24"/>
        </w:rPr>
        <w:t>s</w:t>
      </w:r>
      <w:r w:rsidRPr="001C713C">
        <w:rPr>
          <w:sz w:val="24"/>
          <w:szCs w:val="24"/>
        </w:rPr>
        <w:t xml:space="preserve">. </w:t>
      </w:r>
      <w:r>
        <w:rPr>
          <w:sz w:val="24"/>
          <w:szCs w:val="24"/>
        </w:rPr>
        <w:t>We will narrow down our observation period for the years between 2006 and 2009 (</w:t>
      </w:r>
      <m:oMath>
        <m:r>
          <w:rPr>
            <w:rFonts w:ascii="Cambria Math" w:hAnsi="Cambria Math"/>
            <w:sz w:val="24"/>
            <w:szCs w:val="24"/>
          </w:rPr>
          <m:t>T = 4)</m:t>
        </m:r>
      </m:oMath>
      <w:r>
        <w:rPr>
          <w:rFonts w:eastAsiaTheme="minorEastAsia"/>
          <w:sz w:val="24"/>
          <w:szCs w:val="24"/>
        </w:rPr>
        <w:t xml:space="preserve"> </w:t>
      </w:r>
      <w:r>
        <w:rPr>
          <w:sz w:val="24"/>
          <w:szCs w:val="24"/>
        </w:rPr>
        <w:t xml:space="preserve">when students were likely to attend secondary education, having 2006 the pre-treatment year. </w:t>
      </w:r>
      <w:r w:rsidR="00BA4108">
        <w:rPr>
          <w:sz w:val="24"/>
          <w:szCs w:val="24"/>
        </w:rPr>
        <w:t xml:space="preserve">Observations </w:t>
      </w:r>
      <w:r w:rsidR="00997883">
        <w:rPr>
          <w:sz w:val="24"/>
          <w:szCs w:val="24"/>
        </w:rPr>
        <w:t>that</w:t>
      </w:r>
      <w:r w:rsidR="00BA4108">
        <w:rPr>
          <w:sz w:val="24"/>
          <w:szCs w:val="24"/>
        </w:rPr>
        <w:t xml:space="preserve"> were already treated in 2006 are dropped from the sample. </w:t>
      </w:r>
      <w:r>
        <w:rPr>
          <w:sz w:val="24"/>
          <w:szCs w:val="24"/>
        </w:rPr>
        <w:t xml:space="preserve">As it was earlier emphasized, parental separation can occur </w:t>
      </w:r>
      <w:r w:rsidR="00997883">
        <w:rPr>
          <w:sz w:val="24"/>
          <w:szCs w:val="24"/>
        </w:rPr>
        <w:t>at</w:t>
      </w:r>
      <w:r>
        <w:rPr>
          <w:sz w:val="24"/>
          <w:szCs w:val="24"/>
        </w:rPr>
        <w:t xml:space="preserve"> different points of time between the span of four years</w:t>
      </w:r>
      <w:r w:rsidR="00070F26">
        <w:rPr>
          <w:sz w:val="24"/>
          <w:szCs w:val="24"/>
        </w:rPr>
        <w:t xml:space="preserve"> and the recorded year of treatment will be fed into </w:t>
      </w:r>
      <w:r w:rsidR="006B2A38">
        <w:rPr>
          <w:sz w:val="24"/>
          <w:szCs w:val="24"/>
        </w:rPr>
        <w:t xml:space="preserve">a </w:t>
      </w:r>
      <w:r w:rsidR="00070F26">
        <w:rPr>
          <w:sz w:val="24"/>
          <w:szCs w:val="24"/>
        </w:rPr>
        <w:t>variable</w:t>
      </w:r>
      <w:r w:rsidR="00404C10">
        <w:rPr>
          <w:sz w:val="24"/>
          <w:szCs w:val="24"/>
        </w:rPr>
        <w:t xml:space="preserve">, therefore we </w:t>
      </w:r>
      <w:r w:rsidR="00777960">
        <w:rPr>
          <w:sz w:val="24"/>
          <w:szCs w:val="24"/>
        </w:rPr>
        <w:t>can accurately determine</w:t>
      </w:r>
      <w:r w:rsidR="00404C10">
        <w:rPr>
          <w:sz w:val="24"/>
          <w:szCs w:val="24"/>
        </w:rPr>
        <w:t xml:space="preserve"> the year of separation</w:t>
      </w:r>
      <w:r>
        <w:rPr>
          <w:sz w:val="24"/>
          <w:szCs w:val="24"/>
        </w:rPr>
        <w:t xml:space="preserve">. </w:t>
      </w:r>
    </w:p>
    <w:p w14:paraId="3A790C8D" w14:textId="50E080B6" w:rsidR="00A7104F" w:rsidRDefault="00EB6FEF" w:rsidP="00A7104F">
      <w:pPr>
        <w:spacing w:line="360" w:lineRule="auto"/>
        <w:ind w:firstLine="397"/>
        <w:jc w:val="both"/>
        <w:rPr>
          <w:rFonts w:eastAsiaTheme="minorEastAsia"/>
          <w:sz w:val="24"/>
          <w:szCs w:val="24"/>
        </w:rPr>
      </w:pPr>
      <w:r>
        <w:rPr>
          <w:sz w:val="24"/>
          <w:szCs w:val="24"/>
        </w:rPr>
        <w:t xml:space="preserve">In </w:t>
      </w:r>
      <w:r w:rsidR="00864B95">
        <w:rPr>
          <w:sz w:val="24"/>
          <w:szCs w:val="24"/>
        </w:rPr>
        <w:t>what follows</w:t>
      </w:r>
      <w:r w:rsidR="007D14E8">
        <w:rPr>
          <w:sz w:val="24"/>
          <w:szCs w:val="24"/>
        </w:rPr>
        <w:t>,</w:t>
      </w:r>
      <w:r>
        <w:rPr>
          <w:sz w:val="24"/>
          <w:szCs w:val="24"/>
        </w:rPr>
        <w:t xml:space="preserve"> I will briefly describe the key points of the approach, since the proof</w:t>
      </w:r>
      <w:r w:rsidR="00EC1AEF">
        <w:rPr>
          <w:sz w:val="24"/>
          <w:szCs w:val="24"/>
        </w:rPr>
        <w:t>s and remarks</w:t>
      </w:r>
      <w:r>
        <w:rPr>
          <w:sz w:val="24"/>
          <w:szCs w:val="24"/>
        </w:rPr>
        <w:t xml:space="preserve"> of the theorems are beyond the scope of this essay. </w:t>
      </w:r>
      <w:r w:rsidR="00CD3B42">
        <w:rPr>
          <w:sz w:val="24"/>
          <w:szCs w:val="24"/>
        </w:rPr>
        <w:t>Should you</w:t>
      </w:r>
      <w:r>
        <w:rPr>
          <w:sz w:val="24"/>
          <w:szCs w:val="24"/>
        </w:rPr>
        <w:t xml:space="preserve"> deeply interested in the details, please refer to </w:t>
      </w:r>
      <w:r w:rsidR="00CA4DC0">
        <w:rPr>
          <w:sz w:val="24"/>
          <w:szCs w:val="24"/>
        </w:rPr>
        <w:t xml:space="preserve">Callaway &amp; </w:t>
      </w:r>
      <w:proofErr w:type="spellStart"/>
      <w:r w:rsidR="00CA4DC0">
        <w:rPr>
          <w:sz w:val="24"/>
          <w:szCs w:val="24"/>
        </w:rPr>
        <w:t>Sant’Anna</w:t>
      </w:r>
      <w:proofErr w:type="spellEnd"/>
      <w:r w:rsidR="00CA4DC0">
        <w:rPr>
          <w:sz w:val="24"/>
          <w:szCs w:val="24"/>
        </w:rPr>
        <w:t xml:space="preserve"> (2018)</w:t>
      </w:r>
      <w:r>
        <w:rPr>
          <w:sz w:val="24"/>
          <w:szCs w:val="24"/>
        </w:rPr>
        <w:t xml:space="preserve">. </w:t>
      </w:r>
      <w:r w:rsidR="00CB7BDB">
        <w:rPr>
          <w:sz w:val="24"/>
          <w:szCs w:val="24"/>
        </w:rPr>
        <w:t>In our case</w:t>
      </w:r>
      <w:r w:rsidR="007D14E8">
        <w:rPr>
          <w:sz w:val="24"/>
          <w:szCs w:val="24"/>
        </w:rPr>
        <w:t>,</w:t>
      </w:r>
      <w:r w:rsidR="00CB7BDB">
        <w:rPr>
          <w:sz w:val="24"/>
          <w:szCs w:val="24"/>
        </w:rPr>
        <w:t xml:space="preserve"> there are </w:t>
      </w:r>
      <m:oMath>
        <m:r>
          <w:rPr>
            <w:rFonts w:ascii="Cambria Math" w:hAnsi="Cambria Math"/>
            <w:sz w:val="24"/>
            <w:szCs w:val="24"/>
          </w:rPr>
          <m:t>T = 4</m:t>
        </m:r>
      </m:oMath>
      <w:r w:rsidR="00B02BCE">
        <w:rPr>
          <w:rFonts w:eastAsiaTheme="minorEastAsia"/>
          <w:sz w:val="24"/>
          <w:szCs w:val="24"/>
        </w:rPr>
        <w:t xml:space="preserve"> </w:t>
      </w:r>
      <w:r w:rsidR="00CB7BDB">
        <w:rPr>
          <w:sz w:val="24"/>
          <w:szCs w:val="24"/>
        </w:rPr>
        <w:t xml:space="preserve">periods </w:t>
      </w:r>
      <w:r w:rsidR="00B02BCE">
        <w:rPr>
          <w:sz w:val="24"/>
          <w:szCs w:val="24"/>
        </w:rPr>
        <w:t xml:space="preserve">in total </w:t>
      </w:r>
      <w:r w:rsidR="00CB7BDB">
        <w:rPr>
          <w:sz w:val="24"/>
          <w:szCs w:val="24"/>
        </w:rPr>
        <w:t>between 2006 and 2009, where</w:t>
      </w:r>
      <w:r w:rsidR="00E832E6">
        <w:rPr>
          <w:sz w:val="24"/>
          <w:szCs w:val="24"/>
        </w:rPr>
        <w:t xml:space="preserve"> </w:t>
      </w:r>
      <w:r w:rsidR="00CB7BDB">
        <w:rPr>
          <w:sz w:val="24"/>
          <w:szCs w:val="24"/>
        </w:rPr>
        <w:t>in 2006 (</w:t>
      </w:r>
      <m:oMath>
        <m:r>
          <w:rPr>
            <w:rFonts w:ascii="Cambria Math" w:hAnsi="Cambria Math"/>
            <w:sz w:val="24"/>
            <w:szCs w:val="24"/>
          </w:rPr>
          <m:t>t = 1</m:t>
        </m:r>
      </m:oMath>
      <w:r w:rsidR="00CB7BDB">
        <w:rPr>
          <w:sz w:val="24"/>
          <w:szCs w:val="24"/>
        </w:rPr>
        <w:t xml:space="preserve">) no one is </w:t>
      </w:r>
      <w:r w:rsidR="00DA0979">
        <w:rPr>
          <w:sz w:val="24"/>
          <w:szCs w:val="24"/>
        </w:rPr>
        <w:t xml:space="preserve">yet </w:t>
      </w:r>
      <w:r w:rsidR="00CB7BDB">
        <w:rPr>
          <w:sz w:val="24"/>
          <w:szCs w:val="24"/>
        </w:rPr>
        <w:t xml:space="preserve">treated. </w:t>
      </w:r>
      <w:r w:rsidR="004D5379">
        <w:rPr>
          <w:sz w:val="24"/>
          <w:szCs w:val="24"/>
        </w:rPr>
        <w:t xml:space="preserve">Let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oMath>
      <w:r w:rsidR="004D5379">
        <w:rPr>
          <w:rFonts w:eastAsiaTheme="minorEastAsia"/>
          <w:sz w:val="24"/>
          <w:szCs w:val="24"/>
        </w:rPr>
        <w:t xml:space="preserve"> be the binary variable of treatment which is equal to one </w:t>
      </w:r>
      <w:r w:rsidR="007D14E8">
        <w:rPr>
          <w:rFonts w:eastAsiaTheme="minorEastAsia"/>
          <w:sz w:val="24"/>
          <w:szCs w:val="24"/>
        </w:rPr>
        <w:t>i</w:t>
      </w:r>
      <w:r w:rsidR="004D5379">
        <w:rPr>
          <w:rFonts w:eastAsiaTheme="minorEastAsia"/>
          <w:sz w:val="24"/>
          <w:szCs w:val="24"/>
        </w:rPr>
        <w:t xml:space="preserve">f the children live in a non-intact household and zero otherwise.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oMath>
      <w:r w:rsidR="004D5379">
        <w:rPr>
          <w:rFonts w:eastAsiaTheme="minorEastAsia"/>
          <w:sz w:val="24"/>
          <w:szCs w:val="24"/>
        </w:rPr>
        <w:t xml:space="preserve"> will also be a binary variable </w:t>
      </w:r>
      <w:r w:rsidR="007D14E8">
        <w:rPr>
          <w:rFonts w:eastAsiaTheme="minorEastAsia"/>
          <w:sz w:val="24"/>
          <w:szCs w:val="24"/>
        </w:rPr>
        <w:t>that</w:t>
      </w:r>
      <w:r w:rsidR="004D5379">
        <w:rPr>
          <w:rFonts w:eastAsiaTheme="minorEastAsia"/>
          <w:sz w:val="24"/>
          <w:szCs w:val="24"/>
        </w:rPr>
        <w:t xml:space="preserve"> is equal to one </w:t>
      </w:r>
      <w:r w:rsidR="007D14E8">
        <w:rPr>
          <w:rFonts w:eastAsiaTheme="minorEastAsia"/>
          <w:sz w:val="24"/>
          <w:szCs w:val="24"/>
        </w:rPr>
        <w:t>i</w:t>
      </w:r>
      <w:r w:rsidR="004D5379">
        <w:rPr>
          <w:rFonts w:eastAsiaTheme="minorEastAsia"/>
          <w:sz w:val="24"/>
          <w:szCs w:val="24"/>
        </w:rPr>
        <w:t xml:space="preserve">f the first </w:t>
      </w:r>
      <w:r w:rsidR="00C443C7">
        <w:rPr>
          <w:rFonts w:eastAsiaTheme="minorEastAsia"/>
          <w:sz w:val="24"/>
          <w:szCs w:val="24"/>
        </w:rPr>
        <w:t>separation</w:t>
      </w:r>
      <w:r w:rsidR="004D5379">
        <w:rPr>
          <w:rFonts w:eastAsiaTheme="minorEastAsia"/>
          <w:sz w:val="24"/>
          <w:szCs w:val="24"/>
        </w:rPr>
        <w:t xml:space="preserve"> occurs in the period of </w:t>
      </w:r>
      <m:oMath>
        <m:r>
          <w:rPr>
            <w:rFonts w:ascii="Cambria Math" w:eastAsiaTheme="minorEastAsia" w:hAnsi="Cambria Math"/>
            <w:sz w:val="24"/>
            <w:szCs w:val="24"/>
          </w:rPr>
          <m:t>g</m:t>
        </m:r>
      </m:oMath>
      <w:r w:rsidR="004D5379">
        <w:rPr>
          <w:rFonts w:eastAsiaTheme="minorEastAsia"/>
          <w:sz w:val="24"/>
          <w:szCs w:val="24"/>
        </w:rPr>
        <w:t xml:space="preserve">, given </w:t>
      </w:r>
      <m:oMath>
        <m:r>
          <w:rPr>
            <w:rFonts w:ascii="Cambria Math" w:eastAsiaTheme="minorEastAsia" w:hAnsi="Cambria Math"/>
            <w:sz w:val="24"/>
            <w:szCs w:val="24"/>
          </w:rPr>
          <m:t>g &lt; t &lt;T</m:t>
        </m:r>
      </m:oMath>
      <w:r w:rsidR="004D5379">
        <w:rPr>
          <w:rFonts w:eastAsiaTheme="minorEastAsia"/>
          <w:sz w:val="24"/>
          <w:szCs w:val="24"/>
        </w:rPr>
        <w:t>.</w:t>
      </w:r>
      <w:r w:rsidR="00280D2D">
        <w:rPr>
          <w:rFonts w:eastAsiaTheme="minorEastAsia"/>
          <w:sz w:val="24"/>
          <w:szCs w:val="24"/>
        </w:rPr>
        <w:t xml:space="preserve"> Also</w:t>
      </w:r>
      <w:r w:rsidR="00C11D28">
        <w:rPr>
          <w:rFonts w:eastAsiaTheme="minorEastAsia"/>
          <w:sz w:val="24"/>
          <w:szCs w:val="24"/>
        </w:rPr>
        <w:t xml:space="preserve">, </w:t>
      </w:r>
      <m:oMath>
        <m:r>
          <w:rPr>
            <w:rFonts w:ascii="Cambria Math" w:eastAsiaTheme="minorEastAsia" w:hAnsi="Cambria Math"/>
            <w:sz w:val="24"/>
            <w:szCs w:val="24"/>
          </w:rPr>
          <m:t>C</m:t>
        </m:r>
      </m:oMath>
      <w:r w:rsidR="00C11D28">
        <w:rPr>
          <w:rFonts w:eastAsiaTheme="minorEastAsia"/>
          <w:sz w:val="24"/>
          <w:szCs w:val="24"/>
        </w:rPr>
        <w:t xml:space="preserve"> is a binary variable that takes a value of one if the individual is in the control group (never </w:t>
      </w:r>
      <w:r w:rsidR="00C443C7">
        <w:rPr>
          <w:rFonts w:eastAsiaTheme="minorEastAsia"/>
          <w:sz w:val="24"/>
          <w:szCs w:val="24"/>
        </w:rPr>
        <w:t>experienced a family disruption</w:t>
      </w:r>
      <w:r w:rsidR="00E15B88">
        <w:rPr>
          <w:rFonts w:eastAsiaTheme="minorEastAsia"/>
          <w:sz w:val="24"/>
          <w:szCs w:val="24"/>
        </w:rPr>
        <w:t xml:space="preserve"> within the four years</w:t>
      </w:r>
      <w:r w:rsidR="00C11D28">
        <w:rPr>
          <w:rFonts w:eastAsiaTheme="minorEastAsia"/>
          <w:sz w:val="24"/>
          <w:szCs w:val="24"/>
        </w:rPr>
        <w:t xml:space="preserve">). </w:t>
      </w:r>
      <w:r w:rsidR="009A31EB">
        <w:rPr>
          <w:rFonts w:eastAsiaTheme="minorEastAsia"/>
          <w:sz w:val="24"/>
          <w:szCs w:val="24"/>
        </w:rPr>
        <w:t xml:space="preserve">The dummy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oMath>
      <w:r w:rsidR="009A31EB">
        <w:rPr>
          <w:rFonts w:eastAsiaTheme="minorEastAsia"/>
          <w:sz w:val="24"/>
          <w:szCs w:val="24"/>
        </w:rPr>
        <w:t xml:space="preserve"> and </w:t>
      </w:r>
      <m:oMath>
        <m:r>
          <w:rPr>
            <w:rFonts w:ascii="Cambria Math" w:eastAsiaTheme="minorEastAsia" w:hAnsi="Cambria Math"/>
            <w:sz w:val="24"/>
            <w:szCs w:val="24"/>
          </w:rPr>
          <m:t>C</m:t>
        </m:r>
      </m:oMath>
      <w:r w:rsidR="009A31EB">
        <w:rPr>
          <w:rFonts w:eastAsiaTheme="minorEastAsia"/>
          <w:sz w:val="24"/>
          <w:szCs w:val="24"/>
        </w:rPr>
        <w:t xml:space="preserve"> fully complements the population, as for each individual </w:t>
      </w:r>
      <w:r w:rsidR="009A31EB">
        <w:rPr>
          <w:rFonts w:eastAsiaTheme="minorEastAsia"/>
          <w:sz w:val="24"/>
          <w:szCs w:val="24"/>
        </w:rPr>
        <w:lastRenderedPageBreak/>
        <w:t xml:space="preserve">exactly one of </w:t>
      </w:r>
      <w:r w:rsidR="00BF22D0">
        <w:rPr>
          <w:rFonts w:eastAsiaTheme="minorEastAsia"/>
          <w:sz w:val="24"/>
          <w:szCs w:val="24"/>
        </w:rPr>
        <w:t>the variable</w:t>
      </w:r>
      <w:r w:rsidR="007D14E8">
        <w:rPr>
          <w:rFonts w:eastAsiaTheme="minorEastAsia"/>
          <w:sz w:val="24"/>
          <w:szCs w:val="24"/>
        </w:rPr>
        <w:t>s</w:t>
      </w:r>
      <w:r w:rsidR="00BF22D0">
        <w:rPr>
          <w:rFonts w:eastAsiaTheme="minorEastAsia"/>
          <w:sz w:val="24"/>
          <w:szCs w:val="24"/>
        </w:rPr>
        <w:t xml:space="preserve"> is equal to one. </w:t>
      </w:r>
      <w:r w:rsidR="00946A6A">
        <w:rPr>
          <w:rFonts w:eastAsiaTheme="minorEastAsia"/>
          <w:sz w:val="24"/>
          <w:szCs w:val="24"/>
        </w:rPr>
        <w:t>Define the generalized propensity score</w:t>
      </w:r>
      <w:r w:rsidR="00EC5660">
        <w:rPr>
          <w:rFonts w:eastAsiaTheme="minorEastAsia"/>
          <w:sz w:val="24"/>
          <w:szCs w:val="24"/>
        </w:rPr>
        <w:t xml:space="preserve"> constructed by the authors</w:t>
      </w:r>
      <w:r w:rsidR="00946A6A">
        <w:rPr>
          <w:rFonts w:eastAsiaTheme="minorEastAsia"/>
          <w:sz w:val="24"/>
          <w:szCs w:val="24"/>
        </w:rPr>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sep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r>
              <w:rPr>
                <w:rFonts w:ascii="Cambria Math" w:eastAsiaTheme="minorEastAsia" w:hAnsi="Cambria Math"/>
                <w:sz w:val="24"/>
                <w:szCs w:val="24"/>
              </w:rPr>
              <m:t>=1</m:t>
            </m:r>
            <m:ctrlPr>
              <w:rPr>
                <w:rFonts w:ascii="Cambria Math" w:eastAsiaTheme="minorEastAsia" w:hAnsi="Cambria Math"/>
                <w:sz w:val="24"/>
                <w:szCs w:val="24"/>
              </w:rPr>
            </m:ctrlPr>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r>
              <w:rPr>
                <w:rFonts w:ascii="Cambria Math" w:eastAsiaTheme="minorEastAsia" w:hAnsi="Cambria Math"/>
                <w:sz w:val="24"/>
                <w:szCs w:val="24"/>
              </w:rPr>
              <m:t>+C=1</m:t>
            </m:r>
          </m:e>
        </m:d>
      </m:oMath>
      <w:r w:rsidR="00946A6A">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946A6A">
        <w:rPr>
          <w:rFonts w:eastAsiaTheme="minorEastAsia"/>
          <w:sz w:val="24"/>
          <w:szCs w:val="24"/>
        </w:rPr>
        <w:t xml:space="preserve"> is the </w:t>
      </w:r>
      <w:r w:rsidR="003D4696">
        <w:rPr>
          <w:rFonts w:eastAsiaTheme="minorEastAsia"/>
          <w:sz w:val="24"/>
          <w:szCs w:val="24"/>
        </w:rPr>
        <w:t xml:space="preserve">estimated </w:t>
      </w:r>
      <w:r w:rsidR="00946A6A">
        <w:rPr>
          <w:rFonts w:eastAsiaTheme="minorEastAsia"/>
          <w:sz w:val="24"/>
          <w:szCs w:val="24"/>
        </w:rPr>
        <w:t xml:space="preserve">probability that a student is treated conditional on covariates of </w:t>
      </w:r>
      <m:oMath>
        <m:r>
          <w:rPr>
            <w:rFonts w:ascii="Cambria Math" w:eastAsiaTheme="minorEastAsia" w:hAnsi="Cambria Math"/>
            <w:sz w:val="24"/>
            <w:szCs w:val="24"/>
          </w:rPr>
          <m:t>X</m:t>
        </m:r>
      </m:oMath>
      <w:r w:rsidR="00946A6A">
        <w:rPr>
          <w:rFonts w:eastAsiaTheme="minorEastAsia"/>
          <w:sz w:val="24"/>
          <w:szCs w:val="24"/>
        </w:rPr>
        <w:t xml:space="preserve">, group </w:t>
      </w:r>
      <m:oMath>
        <m:r>
          <w:rPr>
            <w:rFonts w:ascii="Cambria Math" w:eastAsiaTheme="minorEastAsia" w:hAnsi="Cambria Math"/>
            <w:sz w:val="24"/>
            <w:szCs w:val="24"/>
          </w:rPr>
          <m:t>g</m:t>
        </m:r>
      </m:oMath>
      <w:r w:rsidR="00946A6A">
        <w:rPr>
          <w:rFonts w:eastAsiaTheme="minorEastAsia"/>
          <w:sz w:val="24"/>
          <w:szCs w:val="24"/>
        </w:rPr>
        <w:t xml:space="preserve">. Lastly, denote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oMath>
      <w:r w:rsidR="00946A6A">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oMath>
      <w:r w:rsidR="00946A6A">
        <w:rPr>
          <w:rFonts w:eastAsiaTheme="minorEastAsia"/>
          <w:sz w:val="24"/>
          <w:szCs w:val="24"/>
        </w:rPr>
        <w:t xml:space="preserve"> as the potential ou</w:t>
      </w:r>
      <w:r w:rsidR="007D14E8">
        <w:rPr>
          <w:rFonts w:eastAsiaTheme="minorEastAsia"/>
          <w:sz w:val="24"/>
          <w:szCs w:val="24"/>
        </w:rPr>
        <w:t>t</w:t>
      </w:r>
      <w:r w:rsidR="00946A6A">
        <w:rPr>
          <w:rFonts w:eastAsiaTheme="minorEastAsia"/>
          <w:sz w:val="24"/>
          <w:szCs w:val="24"/>
        </w:rPr>
        <w:t>comes at time t with and without treatment, respectively</w:t>
      </w:r>
      <w:r w:rsidR="009865A7">
        <w:rPr>
          <w:rFonts w:eastAsiaTheme="minorEastAsia"/>
          <w:sz w:val="24"/>
          <w:szCs w:val="24"/>
        </w:rPr>
        <w:t>. Knowing that</w:t>
      </w:r>
      <w:r w:rsidR="00DF5AB8">
        <w:rPr>
          <w:rFonts w:eastAsiaTheme="minorEastAsia"/>
          <w:sz w:val="24"/>
          <w:szCs w:val="24"/>
        </w:rPr>
        <w:t>,</w:t>
      </w:r>
      <w:r w:rsidR="009865A7">
        <w:rPr>
          <w:rFonts w:eastAsiaTheme="minorEastAsia"/>
          <w:sz w:val="24"/>
          <w:szCs w:val="24"/>
        </w:rPr>
        <w:t xml:space="preserve"> the observed outcome can be described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d>
              <m:dPr>
                <m:ctrlPr>
                  <w:rPr>
                    <w:rFonts w:ascii="Cambria Math" w:eastAsiaTheme="minorEastAsia" w:hAnsi="Cambria Math"/>
                    <w:i/>
                    <w:sz w:val="24"/>
                    <w:szCs w:val="24"/>
                  </w:rPr>
                </m:ctrlPr>
              </m:dPr>
              <m:e>
                <m:r>
                  <w:rPr>
                    <w:rFonts w:ascii="Cambria Math" w:eastAsiaTheme="minorEastAsia" w:hAnsi="Cambria Math"/>
                    <w:sz w:val="24"/>
                    <w:szCs w:val="24"/>
                  </w:rPr>
                  <m:t>1</m:t>
                </m:r>
              </m:e>
            </m:d>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d>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oMath>
      <w:r w:rsidR="009865A7">
        <w:rPr>
          <w:rFonts w:eastAsiaTheme="minorEastAsia"/>
          <w:sz w:val="24"/>
          <w:szCs w:val="24"/>
        </w:rPr>
        <w:t xml:space="preserve">. </w:t>
      </w:r>
      <w:r w:rsidR="00711488">
        <w:rPr>
          <w:rFonts w:eastAsiaTheme="minorEastAsia"/>
          <w:sz w:val="24"/>
          <w:szCs w:val="24"/>
        </w:rPr>
        <w:t>Given that we are not able to observe both outcomes for each individual</w:t>
      </w:r>
      <w:r w:rsidR="00DF5AB8">
        <w:rPr>
          <w:rFonts w:eastAsiaTheme="minorEastAsia"/>
          <w:sz w:val="24"/>
          <w:szCs w:val="24"/>
        </w:rPr>
        <w:t>, t</w:t>
      </w:r>
      <w:r w:rsidR="00711488">
        <w:rPr>
          <w:rFonts w:eastAsiaTheme="minorEastAsia"/>
          <w:sz w:val="24"/>
          <w:szCs w:val="24"/>
        </w:rPr>
        <w:t xml:space="preserve">he </w:t>
      </w:r>
      <w:r w:rsidR="00A4237A">
        <w:rPr>
          <w:rFonts w:eastAsiaTheme="minorEastAsia"/>
          <w:sz w:val="24"/>
          <w:szCs w:val="24"/>
        </w:rPr>
        <w:t>group-time average treatment effect</w:t>
      </w:r>
      <w:r w:rsidR="00D166D1">
        <w:rPr>
          <w:rFonts w:eastAsiaTheme="minorEastAsia"/>
          <w:sz w:val="24"/>
          <w:szCs w:val="24"/>
        </w:rPr>
        <w:t xml:space="preserve">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sidR="00D166D1">
        <w:rPr>
          <w:rFonts w:eastAsiaTheme="minorEastAsia"/>
          <w:sz w:val="24"/>
          <w:szCs w:val="24"/>
        </w:rPr>
        <w:t>)</w:t>
      </w:r>
      <w:r w:rsidR="00711488">
        <w:rPr>
          <w:rFonts w:eastAsiaTheme="minorEastAsia"/>
          <w:sz w:val="24"/>
          <w:szCs w:val="24"/>
        </w:rPr>
        <w:t xml:space="preserve"> </w:t>
      </w:r>
      <w:r w:rsidR="00A4237A">
        <w:rPr>
          <w:rFonts w:eastAsiaTheme="minorEastAsia"/>
          <w:sz w:val="24"/>
          <w:szCs w:val="24"/>
        </w:rPr>
        <w:t>offers a better solution</w:t>
      </w:r>
      <w:r w:rsidR="008C0172">
        <w:rPr>
          <w:rFonts w:eastAsiaTheme="minorEastAsia"/>
          <w:sz w:val="24"/>
          <w:szCs w:val="24"/>
        </w:rPr>
        <w:t>, which has the following functional form</w:t>
      </w:r>
      <w:r w:rsidR="00971C1A">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8C0172">
        <w:rPr>
          <w:rFonts w:eastAsiaTheme="minorEastAsia"/>
          <w:sz w:val="24"/>
          <w:szCs w:val="24"/>
        </w:rPr>
        <w:t>:</w:t>
      </w:r>
    </w:p>
    <w:p w14:paraId="2599711A" w14:textId="77777777" w:rsidR="007A0A4D" w:rsidRPr="00A7104F" w:rsidRDefault="007A0A4D" w:rsidP="00A7104F">
      <w:pPr>
        <w:spacing w:line="360" w:lineRule="auto"/>
        <w:ind w:firstLine="397"/>
        <w:jc w:val="both"/>
        <w:rPr>
          <w:rFonts w:eastAsiaTheme="minorEastAsia"/>
          <w:sz w:val="24"/>
          <w:szCs w:val="24"/>
        </w:rPr>
      </w:pPr>
    </w:p>
    <w:tbl>
      <w:tblPr>
        <w:tblStyle w:val="TableGrid"/>
        <w:tblW w:w="5000" w:type="pct"/>
        <w:tblLook w:val="04A0" w:firstRow="1" w:lastRow="0" w:firstColumn="1" w:lastColumn="0" w:noHBand="0" w:noVBand="1"/>
      </w:tblPr>
      <w:tblGrid>
        <w:gridCol w:w="323"/>
        <w:gridCol w:w="8288"/>
        <w:gridCol w:w="461"/>
      </w:tblGrid>
      <w:tr w:rsidR="00A7104F" w14:paraId="151809B5" w14:textId="77777777" w:rsidTr="007A0A4D">
        <w:tc>
          <w:tcPr>
            <w:tcW w:w="199" w:type="pct"/>
            <w:tcBorders>
              <w:top w:val="nil"/>
              <w:left w:val="nil"/>
              <w:bottom w:val="nil"/>
              <w:right w:val="nil"/>
            </w:tcBorders>
          </w:tcPr>
          <w:p w14:paraId="3DC204A7" w14:textId="77777777" w:rsidR="00A7104F" w:rsidRDefault="00A7104F" w:rsidP="00A7104F">
            <w:pPr>
              <w:spacing w:line="360" w:lineRule="auto"/>
              <w:jc w:val="both"/>
              <w:rPr>
                <w:rFonts w:eastAsiaTheme="minorEastAsia"/>
                <w:sz w:val="24"/>
                <w:szCs w:val="24"/>
              </w:rPr>
            </w:pPr>
          </w:p>
        </w:tc>
        <w:tc>
          <w:tcPr>
            <w:tcW w:w="4589" w:type="pct"/>
            <w:tcBorders>
              <w:top w:val="nil"/>
              <w:left w:val="nil"/>
              <w:bottom w:val="nil"/>
              <w:right w:val="nil"/>
            </w:tcBorders>
          </w:tcPr>
          <w:p w14:paraId="57394A64" w14:textId="34C927C7" w:rsidR="00A7104F" w:rsidRPr="00692E9B" w:rsidRDefault="00692E9B" w:rsidP="00A7104F">
            <w:pPr>
              <w:spacing w:line="360" w:lineRule="auto"/>
              <w:jc w:val="both"/>
              <w:rPr>
                <w:rFonts w:eastAsiaTheme="minorEastAsia"/>
                <w:i/>
                <w:iCs/>
                <w:sz w:val="24"/>
                <w:szCs w:val="24"/>
              </w:rPr>
            </w:pPr>
            <m:oMathPara>
              <m:oMath>
                <m:r>
                  <w:rPr>
                    <w:rFonts w:ascii="Cambria Math" w:hAnsi="Cambria Math" w:cstheme="minorHAnsi"/>
                    <w:sz w:val="24"/>
                    <w:szCs w:val="24"/>
                  </w:rPr>
                  <m:t>ATT</m:t>
                </m:r>
                <m:d>
                  <m:dPr>
                    <m:ctrlPr>
                      <w:rPr>
                        <w:rFonts w:ascii="Cambria Math" w:hAnsi="Cambria Math" w:cstheme="minorHAnsi"/>
                        <w:i/>
                        <w:iCs/>
                        <w:sz w:val="24"/>
                        <w:szCs w:val="24"/>
                      </w:rPr>
                    </m:ctrlPr>
                  </m:dPr>
                  <m:e>
                    <m:r>
                      <w:rPr>
                        <w:rFonts w:ascii="Cambria Math" w:hAnsi="Cambria Math" w:cstheme="minorHAnsi"/>
                        <w:sz w:val="24"/>
                        <w:szCs w:val="24"/>
                      </w:rPr>
                      <m:t>g,t</m:t>
                    </m:r>
                  </m:e>
                </m:d>
                <m:r>
                  <w:rPr>
                    <w:rFonts w:ascii="Cambria Math" w:hAnsi="Cambria Math" w:cstheme="minorHAnsi"/>
                    <w:sz w:val="24"/>
                    <w:szCs w:val="24"/>
                  </w:rPr>
                  <m:t>=E</m:t>
                </m:r>
                <m:d>
                  <m:dPr>
                    <m:begChr m:val="["/>
                    <m:sep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1</m:t>
                        </m:r>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0</m:t>
                        </m:r>
                      </m:e>
                    </m:d>
                  </m:e>
                  <m:e>
                    <m:sSub>
                      <m:sSubPr>
                        <m:ctrlPr>
                          <w:rPr>
                            <w:rFonts w:ascii="Cambria Math" w:hAnsi="Cambria Math" w:cstheme="minorHAnsi"/>
                            <w:i/>
                            <w:iCs/>
                            <w:sz w:val="24"/>
                            <w:szCs w:val="24"/>
                          </w:rPr>
                        </m:ctrlPr>
                      </m:sSubPr>
                      <m:e>
                        <m:r>
                          <w:rPr>
                            <w:rFonts w:ascii="Cambria Math" w:hAnsi="Cambria Math" w:cstheme="minorHAnsi"/>
                            <w:sz w:val="24"/>
                            <w:szCs w:val="24"/>
                          </w:rPr>
                          <m:t>G</m:t>
                        </m:r>
                      </m:e>
                      <m:sub>
                        <m:r>
                          <w:rPr>
                            <w:rFonts w:ascii="Cambria Math" w:hAnsi="Cambria Math" w:cstheme="minorHAnsi"/>
                            <w:sz w:val="24"/>
                            <w:szCs w:val="24"/>
                          </w:rPr>
                          <m:t>g</m:t>
                        </m:r>
                      </m:sub>
                    </m:sSub>
                    <m:r>
                      <w:rPr>
                        <w:rFonts w:ascii="Cambria Math" w:hAnsi="Cambria Math" w:cstheme="minorHAnsi"/>
                        <w:sz w:val="24"/>
                        <w:szCs w:val="24"/>
                      </w:rPr>
                      <m:t>=1</m:t>
                    </m:r>
                  </m:e>
                </m:d>
              </m:oMath>
            </m:oMathPara>
          </w:p>
        </w:tc>
        <w:tc>
          <w:tcPr>
            <w:tcW w:w="212" w:type="pct"/>
            <w:tcBorders>
              <w:top w:val="nil"/>
              <w:left w:val="nil"/>
              <w:bottom w:val="nil"/>
              <w:right w:val="nil"/>
            </w:tcBorders>
          </w:tcPr>
          <w:p w14:paraId="4BE7C25B" w14:textId="3A032273" w:rsidR="00A7104F" w:rsidRDefault="00A7104F" w:rsidP="00A7104F">
            <w:pPr>
              <w:spacing w:line="360" w:lineRule="auto"/>
              <w:jc w:val="both"/>
              <w:rPr>
                <w:rFonts w:eastAsiaTheme="minorEastAsia"/>
                <w:sz w:val="24"/>
                <w:szCs w:val="24"/>
              </w:rPr>
            </w:pPr>
            <w:r>
              <w:t>(</w:t>
            </w:r>
            <w:r>
              <w:fldChar w:fldCharType="begin"/>
            </w:r>
            <w:r>
              <w:instrText xml:space="preserve"> SEQ Eq. \* ARABIC </w:instrText>
            </w:r>
            <w:r>
              <w:fldChar w:fldCharType="separate"/>
            </w:r>
            <w:r>
              <w:rPr>
                <w:noProof/>
              </w:rPr>
              <w:t>1</w:t>
            </w:r>
            <w:r>
              <w:fldChar w:fldCharType="end"/>
            </w:r>
            <w:r>
              <w:t>)</w:t>
            </w:r>
          </w:p>
        </w:tc>
      </w:tr>
    </w:tbl>
    <w:p w14:paraId="0BA2F429" w14:textId="77777777" w:rsidR="008C0172" w:rsidRPr="009865A7" w:rsidRDefault="008C0172" w:rsidP="00A7104F">
      <w:pPr>
        <w:spacing w:line="360" w:lineRule="auto"/>
        <w:jc w:val="both"/>
        <w:rPr>
          <w:rFonts w:eastAsiaTheme="minorEastAsia"/>
          <w:sz w:val="24"/>
          <w:szCs w:val="24"/>
        </w:rPr>
      </w:pPr>
    </w:p>
    <w:p w14:paraId="2018690F" w14:textId="3586B92D" w:rsidR="00E804F2" w:rsidRDefault="004102B8" w:rsidP="003D49E5">
      <w:pPr>
        <w:spacing w:line="360" w:lineRule="auto"/>
        <w:ind w:firstLine="397"/>
        <w:jc w:val="both"/>
        <w:rPr>
          <w:rFonts w:eastAsiaTheme="minorEastAsia"/>
          <w:sz w:val="24"/>
          <w:szCs w:val="24"/>
        </w:rPr>
      </w:pPr>
      <w:r>
        <w:rPr>
          <w:rFonts w:eastAsiaTheme="minorEastAsia"/>
          <w:sz w:val="24"/>
          <w:szCs w:val="24"/>
        </w:rPr>
        <w:t xml:space="preserve">Such implementation of the treatment effect </w:t>
      </w:r>
      <w:r w:rsidR="00033A4D">
        <w:rPr>
          <w:rFonts w:eastAsiaTheme="minorEastAsia"/>
          <w:sz w:val="24"/>
          <w:szCs w:val="24"/>
        </w:rPr>
        <w:t xml:space="preserve">offers flexibility to </w:t>
      </w:r>
      <w:r w:rsidR="005B4CDC">
        <w:rPr>
          <w:rFonts w:eastAsiaTheme="minorEastAsia"/>
          <w:sz w:val="24"/>
          <w:szCs w:val="24"/>
        </w:rPr>
        <w:t>add</w:t>
      </w:r>
      <w:r w:rsidR="00033A4D">
        <w:rPr>
          <w:rFonts w:eastAsiaTheme="minorEastAsia"/>
          <w:sz w:val="24"/>
          <w:szCs w:val="24"/>
        </w:rPr>
        <w:t xml:space="preserve">ress different dimensions of heterogeneity by the time of adoption. </w:t>
      </w:r>
      <w:r w:rsidR="007D14E8">
        <w:rPr>
          <w:rFonts w:eastAsiaTheme="minorEastAsia"/>
          <w:sz w:val="24"/>
          <w:szCs w:val="24"/>
        </w:rPr>
        <w:t>Subsequently,</w:t>
      </w:r>
      <w:r w:rsidR="00033A4D">
        <w:rPr>
          <w:rFonts w:eastAsiaTheme="minorEastAsia"/>
          <w:sz w:val="24"/>
          <w:szCs w:val="24"/>
        </w:rPr>
        <w:t xml:space="preserve"> it </w:t>
      </w:r>
      <w:r w:rsidR="00D166D1">
        <w:rPr>
          <w:rFonts w:eastAsiaTheme="minorEastAsia"/>
          <w:sz w:val="24"/>
          <w:szCs w:val="24"/>
        </w:rPr>
        <w:t>allows us to</w:t>
      </w:r>
      <w:r w:rsidR="00033A4D">
        <w:rPr>
          <w:rFonts w:eastAsiaTheme="minorEastAsia"/>
          <w:sz w:val="24"/>
          <w:szCs w:val="24"/>
        </w:rPr>
        <w:t xml:space="preserve"> interpret the effect of parental separation over time and compare the short and long</w:t>
      </w:r>
      <w:r w:rsidR="007D14E8">
        <w:rPr>
          <w:rFonts w:eastAsiaTheme="minorEastAsia"/>
          <w:sz w:val="24"/>
          <w:szCs w:val="24"/>
        </w:rPr>
        <w:t>-</w:t>
      </w:r>
      <w:r w:rsidR="00033A4D">
        <w:rPr>
          <w:rFonts w:eastAsiaTheme="minorEastAsia"/>
          <w:sz w:val="24"/>
          <w:szCs w:val="24"/>
        </w:rPr>
        <w:t xml:space="preserve">run effects. </w:t>
      </w:r>
    </w:p>
    <w:p w14:paraId="5F2C778B" w14:textId="766A7C6C" w:rsidR="00E804F2" w:rsidRPr="006C019D" w:rsidRDefault="00D8234D"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w:t>
      </w:r>
      <w:r w:rsidR="006548FE" w:rsidRPr="006C019D">
        <w:rPr>
          <w:rFonts w:asciiTheme="minorHAnsi" w:hAnsiTheme="minorHAnsi" w:cstheme="minorHAnsi"/>
          <w:color w:val="auto"/>
          <w:sz w:val="24"/>
          <w:szCs w:val="24"/>
        </w:rPr>
        <w:t>4</w:t>
      </w:r>
      <w:r w:rsidRPr="006C019D">
        <w:rPr>
          <w:rFonts w:asciiTheme="minorHAnsi" w:hAnsiTheme="minorHAnsi" w:cstheme="minorHAnsi"/>
          <w:color w:val="auto"/>
          <w:sz w:val="24"/>
          <w:szCs w:val="24"/>
        </w:rPr>
        <w:t>.</w:t>
      </w:r>
      <w:r w:rsidR="008277FC" w:rsidRPr="006C019D">
        <w:rPr>
          <w:rFonts w:asciiTheme="minorHAnsi" w:hAnsiTheme="minorHAnsi" w:cstheme="minorHAnsi"/>
          <w:color w:val="auto"/>
          <w:sz w:val="24"/>
          <w:szCs w:val="24"/>
        </w:rPr>
        <w:t>2.</w:t>
      </w:r>
      <w:r w:rsidR="006548FE" w:rsidRPr="006C019D">
        <w:rPr>
          <w:rFonts w:asciiTheme="minorHAnsi" w:hAnsiTheme="minorHAnsi" w:cstheme="minorHAnsi"/>
          <w:color w:val="auto"/>
          <w:sz w:val="24"/>
          <w:szCs w:val="24"/>
        </w:rPr>
        <w:t>3</w:t>
      </w:r>
      <w:r w:rsidRPr="006C019D">
        <w:rPr>
          <w:rFonts w:asciiTheme="minorHAnsi" w:hAnsiTheme="minorHAnsi" w:cstheme="minorHAnsi"/>
          <w:color w:val="auto"/>
          <w:sz w:val="24"/>
          <w:szCs w:val="24"/>
        </w:rPr>
        <w:t xml:space="preserve">. </w:t>
      </w:r>
      <w:r w:rsidR="00E804F2" w:rsidRPr="006C019D">
        <w:rPr>
          <w:rFonts w:asciiTheme="minorHAnsi" w:hAnsiTheme="minorHAnsi" w:cstheme="minorHAnsi"/>
          <w:color w:val="auto"/>
          <w:sz w:val="24"/>
          <w:szCs w:val="24"/>
        </w:rPr>
        <w:t>Assumptions</w:t>
      </w:r>
    </w:p>
    <w:p w14:paraId="5C8D2E3F" w14:textId="27A6D0B5" w:rsidR="009865A7" w:rsidRDefault="00D166D1" w:rsidP="003D49E5">
      <w:pPr>
        <w:spacing w:line="360" w:lineRule="auto"/>
        <w:ind w:firstLine="397"/>
        <w:jc w:val="both"/>
        <w:rPr>
          <w:sz w:val="24"/>
          <w:szCs w:val="24"/>
        </w:rPr>
      </w:pPr>
      <w:r>
        <w:rPr>
          <w:rFonts w:eastAsiaTheme="minorEastAsia"/>
          <w:sz w:val="24"/>
          <w:szCs w:val="24"/>
        </w:rPr>
        <w:t xml:space="preserve">Before discussing the details of the nonparametric identification strategy for the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Pr>
          <w:rFonts w:eastAsiaTheme="minorEastAsia"/>
          <w:sz w:val="24"/>
          <w:szCs w:val="24"/>
        </w:rPr>
        <w:t xml:space="preserve">, let us summarize the main assumptions </w:t>
      </w:r>
      <w:r w:rsidR="000E5D48">
        <w:rPr>
          <w:rFonts w:eastAsiaTheme="minorEastAsia"/>
          <w:sz w:val="24"/>
          <w:szCs w:val="24"/>
        </w:rPr>
        <w:t xml:space="preserve">indicated in the paper of </w:t>
      </w:r>
      <w:r w:rsidR="00CA4DC0">
        <w:rPr>
          <w:sz w:val="24"/>
          <w:szCs w:val="24"/>
        </w:rPr>
        <w:t xml:space="preserve">Callaway &amp; </w:t>
      </w:r>
      <w:proofErr w:type="spellStart"/>
      <w:r w:rsidR="00CA4DC0">
        <w:rPr>
          <w:sz w:val="24"/>
          <w:szCs w:val="24"/>
        </w:rPr>
        <w:t>Sant’Anna</w:t>
      </w:r>
      <w:proofErr w:type="spellEnd"/>
      <w:r w:rsidR="00CA4DC0">
        <w:rPr>
          <w:sz w:val="24"/>
          <w:szCs w:val="24"/>
        </w:rPr>
        <w:t xml:space="preserve"> (2018)</w:t>
      </w:r>
      <w:r>
        <w:rPr>
          <w:sz w:val="24"/>
          <w:szCs w:val="24"/>
        </w:rPr>
        <w:t xml:space="preserve">. </w:t>
      </w:r>
    </w:p>
    <w:p w14:paraId="0BA3EAA7" w14:textId="1D9A7E65" w:rsidR="000E5D48" w:rsidRPr="0068421C" w:rsidRDefault="000E5D48" w:rsidP="004102B8">
      <w:pPr>
        <w:spacing w:line="360" w:lineRule="auto"/>
        <w:jc w:val="both"/>
        <w:rPr>
          <w:rFonts w:eastAsiaTheme="minorEastAsia"/>
          <w:i/>
          <w:iCs/>
          <w:sz w:val="24"/>
          <w:szCs w:val="24"/>
        </w:rPr>
      </w:pPr>
      <w:r w:rsidRPr="0068421C">
        <w:rPr>
          <w:b/>
          <w:bCs/>
          <w:sz w:val="24"/>
          <w:szCs w:val="24"/>
        </w:rPr>
        <w:t>Assumption 1 (Sampling</w:t>
      </w:r>
      <w:r w:rsidR="00971C1A">
        <w:rPr>
          <w:b/>
          <w:bCs/>
          <w:sz w:val="24"/>
          <w:szCs w:val="24"/>
        </w:rPr>
        <w:t xml:space="preserve"> for Repeated Cross-sections</w:t>
      </w:r>
      <w:r w:rsidRPr="0068421C">
        <w:rPr>
          <w:b/>
          <w:bCs/>
          <w:sz w:val="24"/>
          <w:szCs w:val="24"/>
        </w:rPr>
        <w:t>):</w:t>
      </w:r>
      <w:r>
        <w:rPr>
          <w:sz w:val="24"/>
          <w:szCs w:val="24"/>
        </w:rPr>
        <w:t xml:space="preserve"> </w:t>
      </w:r>
      <w:r w:rsidRPr="0068421C">
        <w:rPr>
          <w:i/>
          <w:iCs/>
          <w:sz w:val="24"/>
          <w:szCs w:val="24"/>
        </w:rPr>
        <w:t xml:space="preserve">Conditional of </w:t>
      </w:r>
      <m:oMath>
        <m:r>
          <w:rPr>
            <w:rFonts w:ascii="Cambria Math" w:hAnsi="Cambria Math"/>
            <w:sz w:val="24"/>
            <w:szCs w:val="24"/>
          </w:rPr>
          <m:t>T = t</m:t>
        </m:r>
      </m:oMath>
      <w:r w:rsidRPr="0068421C">
        <w:rPr>
          <w:rFonts w:eastAsiaTheme="minorEastAsia"/>
          <w:i/>
          <w:iCs/>
          <w:sz w:val="24"/>
          <w:szCs w:val="24"/>
        </w:rPr>
        <w:t xml:space="preserve">, the data are independent and identically distributed (iid.) from the distribution of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r>
              <w:rPr>
                <w:rFonts w:ascii="Cambria Math" w:eastAsiaTheme="minorEastAsia" w:hAnsi="Cambria Math"/>
                <w:sz w:val="24"/>
                <w:szCs w:val="24"/>
              </w:rPr>
              <m:t>, . . . ,</m:t>
            </m:r>
            <m:sSub>
              <m:sSubPr>
                <m:ctrlPr>
                  <w:rPr>
                    <w:rFonts w:ascii="Cambria Math" w:eastAsiaTheme="minorEastAsia" w:hAnsi="Cambria Math"/>
                    <w:i/>
                    <w:iCs/>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,C,X</m:t>
            </m:r>
          </m:e>
        </m:d>
      </m:oMath>
      <w:r w:rsidRPr="0068421C">
        <w:rPr>
          <w:rFonts w:eastAsiaTheme="minorEastAsia"/>
          <w:i/>
          <w:iCs/>
          <w:sz w:val="24"/>
          <w:szCs w:val="24"/>
        </w:rPr>
        <w:t xml:space="preserve">, for all </w:t>
      </w:r>
      <m:oMath>
        <m:r>
          <w:rPr>
            <w:rFonts w:ascii="Cambria Math" w:eastAsiaTheme="minorEastAsia" w:hAnsi="Cambria Math"/>
            <w:sz w:val="24"/>
            <w:szCs w:val="24"/>
          </w:rPr>
          <m:t>t = 1, . . . , T</m:t>
        </m:r>
      </m:oMath>
      <w:r w:rsidR="00F21826" w:rsidRPr="0068421C">
        <w:rPr>
          <w:rFonts w:eastAsiaTheme="minorEastAsia"/>
          <w:i/>
          <w:iCs/>
          <w:sz w:val="24"/>
          <w:szCs w:val="24"/>
        </w:rPr>
        <w:t>.</w:t>
      </w:r>
      <w:r w:rsidR="00094B5A" w:rsidRPr="0068421C">
        <w:rPr>
          <w:rFonts w:eastAsiaTheme="minorEastAsia"/>
          <w:i/>
          <w:iCs/>
          <w:sz w:val="24"/>
          <w:szCs w:val="24"/>
        </w:rPr>
        <w:t xml:space="preserve"> That is our sample consist</w:t>
      </w:r>
      <w:r w:rsidR="007D14E8">
        <w:rPr>
          <w:rFonts w:eastAsiaTheme="minorEastAsia"/>
          <w:i/>
          <w:iCs/>
          <w:sz w:val="24"/>
          <w:szCs w:val="24"/>
        </w:rPr>
        <w:t>s</w:t>
      </w:r>
      <w:r w:rsidR="00094B5A" w:rsidRPr="0068421C">
        <w:rPr>
          <w:rFonts w:eastAsiaTheme="minorEastAsia"/>
          <w:i/>
          <w:iCs/>
          <w:sz w:val="24"/>
          <w:szCs w:val="24"/>
        </w:rPr>
        <w:t xml:space="preserve"> </w:t>
      </w:r>
      <w:r w:rsidR="007D14E8">
        <w:rPr>
          <w:rFonts w:eastAsiaTheme="minorEastAsia"/>
          <w:i/>
          <w:iCs/>
          <w:sz w:val="24"/>
          <w:szCs w:val="24"/>
        </w:rPr>
        <w:t xml:space="preserve">of </w:t>
      </w:r>
      <w:r w:rsidR="00094B5A" w:rsidRPr="0068421C">
        <w:rPr>
          <w:rFonts w:eastAsiaTheme="minorEastAsia"/>
          <w:i/>
          <w:iCs/>
          <w:sz w:val="24"/>
          <w:szCs w:val="24"/>
        </w:rPr>
        <w:t>random draws from the mixture distribution</w:t>
      </w:r>
      <w:r w:rsidR="00971C1A">
        <w:rPr>
          <w:rFonts w:eastAsiaTheme="minorEastAsia"/>
          <w:i/>
          <w:iCs/>
          <w:sz w:val="24"/>
          <w:szCs w:val="24"/>
        </w:rPr>
        <w:t xml:space="preserve"> </w:t>
      </w:r>
      <w:r w:rsidR="00971C1A">
        <w:rPr>
          <w:rFonts w:eastAsiaTheme="minorEastAsia"/>
          <w:i/>
          <w:iCs/>
          <w:sz w:val="24"/>
          <w:szCs w:val="24"/>
        </w:rPr>
        <w:fldChar w:fldCharType="begin" w:fldLock="1"/>
      </w:r>
      <w:r w:rsidR="00391435">
        <w:rPr>
          <w:rFonts w:eastAsiaTheme="minorEastAsia"/>
          <w:i/>
          <w:iCs/>
          <w:sz w:val="24"/>
          <w:szCs w:val="24"/>
        </w:rPr>
        <w:instrText>ADDIN CSL_CITATION {"citationItems":[{"id":"ITEM-1","itemData":{"abstract":"This supplementary appendix contains (a) the proofs of the results stated in the main text; (b) results for the case where a researcher has access to repeated cross sections data rather than panel data; (c) extensions of our main results when using \"not yet treated\" observations as a control group; (d) additional details on group-time average treatment effects under an unconditional parallel trends assumption, paying particular attention to the possibilities of using regressions to estimate group-time average treatment effects; and (e) additional details about the spatial distribution of state-level minimum wage policy changes in our sample. Appendix A: Proofs of Main Results We provide the proofs of our results in this appendix. Before proceeding, we first state and prove several auxiliary lemmas that help us proving our main theorems. Let AT T X (g, t) = E[Y t (1) − Y t (0)|X, G g = 1]. Lemma A.1. Under Assumptions 1-4, and for 2 ≤ g ≤ t ≤ T , AT T X (g, t) = E[Y t − Y g−1 |X, G g = 1] − E[Y t − Y g−1 |X, C = 1] a.s.. Proof of Lemma A.1: In what follows, take all equalities to hold almost surely (a.s.). Notice that for identifying AT T X (g, t), the key term is E[Y t (0)|X, G g = 1]. And notice that for h &gt; s, E[Y s (0)|X, G h = 1] = E[Y s |X, G h = 1], which holds because in time periods before an individual is first treated, their untreated potential outcomes are observed outcomes. Also, note that, for 2 ≤ g ≤ t ≤ T , E[Y t (0)|X, G g = 1] = E[∆Y t (0)|X, G g = 1] + E[Y t−1 (0)|X, G g = 1] (A.1)","author":[{"dropping-particle":"","family":"Callaway","given":"Brantly","non-dropping-particle":"","parse-names":false,"suffix":""},{"dropping-particle":"","family":"Sant'anna","given":"Pedro H C","non-dropping-particle":"","parse-names":false,"suffix":""}],"id":"ITEM-1","issue":"0","issued":{"date-parts":[["2019"]]},"title":"Supplementary Appendix: Difference-in-Differences with Multiple Time Periods","type":"article-journal","volume":"1"},"uris":["http://www.mendeley.com/documents/?uuid=755d4d51-a161-43b0-8423-6bd3e844d037"]}],"mendeley":{"formattedCitation":"(Callaway &amp; Sant’anna, 2019)","plainTextFormattedCitation":"(Callaway &amp; Sant’anna, 2019)","previouslyFormattedCitation":"(Callaway &amp; Sant’anna, 2019)"},"properties":{"noteIndex":0},"schema":"https://github.com/citation-style-language/schema/raw/master/csl-citation.json"}</w:instrText>
      </w:r>
      <w:r w:rsidR="00971C1A">
        <w:rPr>
          <w:rFonts w:eastAsiaTheme="minorEastAsia"/>
          <w:i/>
          <w:iCs/>
          <w:sz w:val="24"/>
          <w:szCs w:val="24"/>
        </w:rPr>
        <w:fldChar w:fldCharType="separate"/>
      </w:r>
      <w:r w:rsidR="00971C1A" w:rsidRPr="00971C1A">
        <w:rPr>
          <w:rFonts w:eastAsiaTheme="minorEastAsia"/>
          <w:iCs/>
          <w:noProof/>
          <w:sz w:val="24"/>
          <w:szCs w:val="24"/>
        </w:rPr>
        <w:t>(Callaway &amp; Sant’anna, 2019)</w:t>
      </w:r>
      <w:r w:rsidR="00971C1A">
        <w:rPr>
          <w:rFonts w:eastAsiaTheme="minorEastAsia"/>
          <w:i/>
          <w:iCs/>
          <w:sz w:val="24"/>
          <w:szCs w:val="24"/>
        </w:rPr>
        <w:fldChar w:fldCharType="end"/>
      </w:r>
      <w:r w:rsidR="00094B5A" w:rsidRPr="0068421C">
        <w:rPr>
          <w:rFonts w:eastAsiaTheme="minorEastAsia"/>
          <w:i/>
          <w:iCs/>
          <w:sz w:val="24"/>
          <w:szCs w:val="24"/>
        </w:rPr>
        <w:t xml:space="preserve">. </w:t>
      </w:r>
    </w:p>
    <w:p w14:paraId="7110BE3D" w14:textId="5C0B5E75" w:rsidR="00094B5A" w:rsidRDefault="00094B5A" w:rsidP="004102B8">
      <w:pPr>
        <w:spacing w:line="360" w:lineRule="auto"/>
        <w:jc w:val="both"/>
        <w:rPr>
          <w:rFonts w:eastAsiaTheme="minorEastAsia"/>
          <w:i/>
          <w:iCs/>
          <w:sz w:val="24"/>
          <w:szCs w:val="24"/>
        </w:rPr>
      </w:pPr>
      <w:r w:rsidRPr="0068421C">
        <w:rPr>
          <w:rFonts w:eastAsiaTheme="minorEastAsia"/>
          <w:b/>
          <w:bCs/>
          <w:sz w:val="24"/>
          <w:szCs w:val="24"/>
        </w:rPr>
        <w:t>Assumption 2 (</w:t>
      </w:r>
      <w:r w:rsidR="009E1218">
        <w:rPr>
          <w:rFonts w:eastAsiaTheme="minorEastAsia"/>
          <w:b/>
          <w:bCs/>
          <w:sz w:val="24"/>
          <w:szCs w:val="24"/>
        </w:rPr>
        <w:t xml:space="preserve">Augmented </w:t>
      </w:r>
      <w:r w:rsidRPr="0068421C">
        <w:rPr>
          <w:rFonts w:eastAsiaTheme="minorEastAsia"/>
          <w:b/>
          <w:bCs/>
          <w:sz w:val="24"/>
          <w:szCs w:val="24"/>
        </w:rPr>
        <w:t>Conditional Parallel Trends):</w:t>
      </w:r>
      <w:r>
        <w:rPr>
          <w:rFonts w:eastAsiaTheme="minorEastAsia"/>
          <w:sz w:val="24"/>
          <w:szCs w:val="24"/>
        </w:rPr>
        <w:t xml:space="preserve"> </w:t>
      </w:r>
      <w:r w:rsidR="00E025C0" w:rsidRPr="0068421C">
        <w:rPr>
          <w:rFonts w:eastAsiaTheme="minorEastAsia"/>
          <w:i/>
          <w:iCs/>
          <w:sz w:val="24"/>
          <w:szCs w:val="24"/>
        </w:rPr>
        <w:t xml:space="preserve">The conditional PTA should hold in multiple periods for each group, so the average outcomes of the groups are equal in absence of the treatment. </w:t>
      </w:r>
      <w:r w:rsidR="007F1C4B" w:rsidRPr="0068421C">
        <w:rPr>
          <w:rFonts w:eastAsiaTheme="minorEastAsia"/>
          <w:i/>
          <w:iCs/>
          <w:sz w:val="24"/>
          <w:szCs w:val="24"/>
        </w:rPr>
        <w:t>Formally, f</w:t>
      </w:r>
      <w:r w:rsidRPr="0068421C">
        <w:rPr>
          <w:rFonts w:eastAsiaTheme="minorEastAsia"/>
          <w:i/>
          <w:iCs/>
          <w:sz w:val="24"/>
          <w:szCs w:val="24"/>
        </w:rPr>
        <w:t xml:space="preserve">or all </w:t>
      </w:r>
      <m:oMath>
        <m:r>
          <w:rPr>
            <w:rFonts w:ascii="Cambria Math" w:eastAsiaTheme="minorEastAsia" w:hAnsi="Cambria Math"/>
            <w:sz w:val="24"/>
            <w:szCs w:val="24"/>
          </w:rPr>
          <m:t>t = 2 , . . . ,T, g = 2 , . . . , T</m:t>
        </m:r>
      </m:oMath>
      <w:r w:rsidRPr="0068421C">
        <w:rPr>
          <w:rFonts w:eastAsiaTheme="minorEastAsia"/>
          <w:i/>
          <w:iCs/>
          <w:sz w:val="24"/>
          <w:szCs w:val="24"/>
        </w:rPr>
        <w:t xml:space="preserve">, such that </w:t>
      </w:r>
      <m:oMath>
        <m:r>
          <w:rPr>
            <w:rFonts w:ascii="Cambria Math" w:eastAsiaTheme="minorEastAsia" w:hAnsi="Cambria Math"/>
            <w:sz w:val="24"/>
            <w:szCs w:val="24"/>
          </w:rPr>
          <m:t>g ≤ t</m:t>
        </m:r>
      </m:oMath>
      <w:r w:rsidR="00971C1A">
        <w:rPr>
          <w:rFonts w:eastAsiaTheme="minorEastAsia"/>
          <w:i/>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Pr="0068421C">
        <w:rPr>
          <w:rFonts w:eastAsiaTheme="minorEastAsia"/>
          <w:i/>
          <w:iCs/>
          <w:sz w:val="24"/>
          <w:szCs w:val="24"/>
        </w:rPr>
        <w:t>,</w:t>
      </w:r>
    </w:p>
    <w:p w14:paraId="7EACF632" w14:textId="77777777" w:rsidR="007A0A4D" w:rsidRPr="0068421C" w:rsidRDefault="007A0A4D" w:rsidP="004102B8">
      <w:pPr>
        <w:spacing w:line="360" w:lineRule="auto"/>
        <w:jc w:val="both"/>
        <w:rPr>
          <w:rFonts w:eastAsiaTheme="minorEastAsia"/>
          <w:i/>
          <w:iCs/>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094B5A" w14:paraId="2F74B0F3" w14:textId="77777777" w:rsidTr="007A0A4D">
        <w:tc>
          <w:tcPr>
            <w:tcW w:w="199" w:type="pct"/>
          </w:tcPr>
          <w:p w14:paraId="59369CB8" w14:textId="77777777" w:rsidR="00094B5A" w:rsidRDefault="00094B5A" w:rsidP="00A7104F">
            <w:pPr>
              <w:spacing w:line="360" w:lineRule="auto"/>
              <w:jc w:val="both"/>
              <w:rPr>
                <w:rFonts w:eastAsiaTheme="minorEastAsia"/>
                <w:sz w:val="24"/>
                <w:szCs w:val="24"/>
              </w:rPr>
            </w:pPr>
          </w:p>
        </w:tc>
        <w:tc>
          <w:tcPr>
            <w:tcW w:w="4589" w:type="pct"/>
          </w:tcPr>
          <w:p w14:paraId="1F271C33" w14:textId="4DD9F1EC" w:rsidR="00094B5A" w:rsidRPr="00692E9B" w:rsidRDefault="00692E9B" w:rsidP="00A7104F">
            <w:pPr>
              <w:spacing w:line="360" w:lineRule="auto"/>
              <w:jc w:val="both"/>
              <w:rPr>
                <w:rFonts w:eastAsiaTheme="minorEastAsia"/>
                <w:i/>
                <w:iCs/>
                <w:sz w:val="24"/>
                <w:szCs w:val="24"/>
              </w:rPr>
            </w:pPr>
            <m:oMathPara>
              <m:oMath>
                <m:r>
                  <w:rPr>
                    <w:rFonts w:ascii="Cambria Math" w:hAnsi="Cambria Math" w:cstheme="minorHAnsi"/>
                    <w:sz w:val="24"/>
                    <w:szCs w:val="24"/>
                  </w:rPr>
                  <m:t>E</m:t>
                </m:r>
                <m:d>
                  <m:dPr>
                    <m:begChr m:val="["/>
                    <m:sep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1</m:t>
                        </m:r>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0</m:t>
                        </m:r>
                      </m:e>
                    </m:d>
                  </m:e>
                  <m:e>
                    <m:sSub>
                      <m:sSubPr>
                        <m:ctrlPr>
                          <w:rPr>
                            <w:rFonts w:ascii="Cambria Math" w:hAnsi="Cambria Math" w:cstheme="minorHAnsi"/>
                            <w:i/>
                            <w:iCs/>
                            <w:sz w:val="24"/>
                            <w:szCs w:val="24"/>
                          </w:rPr>
                        </m:ctrlPr>
                      </m:sSubPr>
                      <m:e>
                        <m:r>
                          <w:rPr>
                            <w:rFonts w:ascii="Cambria Math" w:hAnsi="Cambria Math" w:cstheme="minorHAnsi"/>
                            <w:sz w:val="24"/>
                            <w:szCs w:val="24"/>
                          </w:rPr>
                          <m:t>G</m:t>
                        </m:r>
                      </m:e>
                      <m:sub>
                        <m:r>
                          <w:rPr>
                            <w:rFonts w:ascii="Cambria Math" w:hAnsi="Cambria Math" w:cstheme="minorHAnsi"/>
                            <w:sz w:val="24"/>
                            <w:szCs w:val="24"/>
                          </w:rPr>
                          <m:t>g</m:t>
                        </m:r>
                      </m:sub>
                    </m:sSub>
                    <m:r>
                      <w:rPr>
                        <w:rFonts w:ascii="Cambria Math" w:hAnsi="Cambria Math" w:cstheme="minorHAnsi"/>
                        <w:sz w:val="24"/>
                        <w:szCs w:val="24"/>
                      </w:rPr>
                      <m:t>=1</m:t>
                    </m:r>
                  </m:e>
                </m:d>
                <m:r>
                  <w:rPr>
                    <w:rFonts w:ascii="Cambria Math" w:hAnsi="Cambria Math" w:cstheme="minorHAnsi"/>
                    <w:sz w:val="24"/>
                    <w:szCs w:val="24"/>
                  </w:rPr>
                  <m:t xml:space="preserve"> = E</m:t>
                </m:r>
                <m:d>
                  <m:dPr>
                    <m:begChr m:val="["/>
                    <m:sep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1</m:t>
                        </m:r>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d>
                      <m:dPr>
                        <m:ctrlPr>
                          <w:rPr>
                            <w:rFonts w:ascii="Cambria Math" w:hAnsi="Cambria Math" w:cstheme="minorHAnsi"/>
                            <w:i/>
                            <w:iCs/>
                            <w:sz w:val="24"/>
                            <w:szCs w:val="24"/>
                          </w:rPr>
                        </m:ctrlPr>
                      </m:dPr>
                      <m:e>
                        <m:r>
                          <w:rPr>
                            <w:rFonts w:ascii="Cambria Math" w:hAnsi="Cambria Math" w:cstheme="minorHAnsi"/>
                            <w:sz w:val="24"/>
                            <w:szCs w:val="24"/>
                          </w:rPr>
                          <m:t>0</m:t>
                        </m:r>
                      </m:e>
                    </m:d>
                  </m:e>
                  <m:e>
                    <m:r>
                      <w:rPr>
                        <w:rFonts w:ascii="Cambria Math" w:hAnsi="Cambria Math" w:cstheme="minorHAnsi"/>
                        <w:sz w:val="24"/>
                        <w:szCs w:val="24"/>
                      </w:rPr>
                      <m:t>X, C =1</m:t>
                    </m:r>
                  </m:e>
                </m:d>
                <m:r>
                  <w:rPr>
                    <w:rFonts w:ascii="Cambria Math" w:eastAsiaTheme="minorEastAsia" w:hAnsi="Cambria Math"/>
                    <w:sz w:val="24"/>
                    <w:szCs w:val="24"/>
                  </w:rPr>
                  <m:t xml:space="preserve"> a.s..</m:t>
                </m:r>
              </m:oMath>
            </m:oMathPara>
          </w:p>
        </w:tc>
        <w:tc>
          <w:tcPr>
            <w:tcW w:w="212" w:type="pct"/>
          </w:tcPr>
          <w:p w14:paraId="3A718128" w14:textId="0FE3F77D" w:rsidR="00094B5A" w:rsidRDefault="00094B5A" w:rsidP="00A7104F">
            <w:pPr>
              <w:spacing w:line="360" w:lineRule="auto"/>
              <w:jc w:val="both"/>
              <w:rPr>
                <w:rFonts w:eastAsiaTheme="minorEastAsia"/>
                <w:sz w:val="24"/>
                <w:szCs w:val="24"/>
              </w:rPr>
            </w:pPr>
            <w:r>
              <w:t>(</w:t>
            </w:r>
            <w:r>
              <w:fldChar w:fldCharType="begin"/>
            </w:r>
            <w:r>
              <w:instrText xml:space="preserve"> SEQ Eq. \* ARABIC </w:instrText>
            </w:r>
            <w:r>
              <w:fldChar w:fldCharType="separate"/>
            </w:r>
            <w:r>
              <w:rPr>
                <w:noProof/>
              </w:rPr>
              <w:t>2</w:t>
            </w:r>
            <w:r>
              <w:fldChar w:fldCharType="end"/>
            </w:r>
            <w:r>
              <w:t>)</w:t>
            </w:r>
          </w:p>
        </w:tc>
      </w:tr>
    </w:tbl>
    <w:p w14:paraId="47392D3E" w14:textId="77777777" w:rsidR="00BD364A" w:rsidRDefault="00BD364A" w:rsidP="004102B8">
      <w:pPr>
        <w:spacing w:line="360" w:lineRule="auto"/>
        <w:jc w:val="both"/>
        <w:rPr>
          <w:rFonts w:eastAsiaTheme="minorEastAsia"/>
          <w:sz w:val="24"/>
          <w:szCs w:val="24"/>
        </w:rPr>
      </w:pPr>
    </w:p>
    <w:p w14:paraId="2C870590" w14:textId="0EE29910" w:rsidR="00E025C0" w:rsidRPr="0068421C" w:rsidRDefault="00E025C0" w:rsidP="004102B8">
      <w:pPr>
        <w:spacing w:line="360" w:lineRule="auto"/>
        <w:jc w:val="both"/>
        <w:rPr>
          <w:rFonts w:eastAsiaTheme="minorEastAsia"/>
          <w:i/>
          <w:iCs/>
          <w:sz w:val="24"/>
          <w:szCs w:val="24"/>
        </w:rPr>
      </w:pPr>
      <w:r w:rsidRPr="0068421C">
        <w:rPr>
          <w:rFonts w:eastAsiaTheme="minorEastAsia"/>
          <w:b/>
          <w:bCs/>
          <w:sz w:val="24"/>
          <w:szCs w:val="24"/>
        </w:rPr>
        <w:t>Assumption 3 (Irreversibility of Treatment</w:t>
      </w:r>
      <w:r w:rsidRPr="0068421C">
        <w:rPr>
          <w:rFonts w:eastAsiaTheme="minorEastAsia"/>
          <w:b/>
          <w:bCs/>
          <w:i/>
          <w:iCs/>
          <w:sz w:val="24"/>
          <w:szCs w:val="24"/>
        </w:rPr>
        <w:t>):</w:t>
      </w:r>
      <w:r w:rsidRPr="0068421C">
        <w:rPr>
          <w:rFonts w:eastAsiaTheme="minorEastAsia"/>
          <w:i/>
          <w:iCs/>
          <w:sz w:val="24"/>
          <w:szCs w:val="24"/>
        </w:rPr>
        <w:t xml:space="preserve"> </w:t>
      </w:r>
      <w:r w:rsidR="00BD364A" w:rsidRPr="0068421C">
        <w:rPr>
          <w:rFonts w:eastAsiaTheme="minorEastAsia"/>
          <w:i/>
          <w:iCs/>
          <w:sz w:val="24"/>
          <w:szCs w:val="24"/>
        </w:rPr>
        <w:t>Once an individual is treated (separated from one parent)</w:t>
      </w:r>
      <w:r w:rsidR="00693C7A" w:rsidRPr="0068421C">
        <w:rPr>
          <w:rFonts w:eastAsiaTheme="minorEastAsia"/>
          <w:i/>
          <w:iCs/>
          <w:sz w:val="24"/>
          <w:szCs w:val="24"/>
        </w:rPr>
        <w:t>, he/she will remain so in the next period</w:t>
      </w:r>
      <w:r w:rsidR="00971C1A">
        <w:rPr>
          <w:rFonts w:eastAsiaTheme="minorEastAsia"/>
          <w:i/>
          <w:iCs/>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693C7A" w:rsidRPr="0068421C">
        <w:rPr>
          <w:rFonts w:eastAsiaTheme="minorEastAsia"/>
          <w:i/>
          <w:iCs/>
          <w:sz w:val="24"/>
          <w:szCs w:val="24"/>
        </w:rPr>
        <w:t>. That is, f</w:t>
      </w:r>
      <w:r w:rsidRPr="0068421C">
        <w:rPr>
          <w:rFonts w:eastAsiaTheme="minorEastAsia"/>
          <w:i/>
          <w:iCs/>
          <w:sz w:val="24"/>
          <w:szCs w:val="24"/>
        </w:rPr>
        <w:t xml:space="preserve">or </w:t>
      </w:r>
      <m:oMath>
        <m:r>
          <w:rPr>
            <w:rFonts w:ascii="Cambria Math" w:eastAsiaTheme="minorEastAsia" w:hAnsi="Cambria Math"/>
            <w:sz w:val="24"/>
            <w:szCs w:val="24"/>
          </w:rPr>
          <m:t>t= 2 , . . . ,T</m:t>
        </m:r>
      </m:oMath>
      <w:r w:rsidRPr="0068421C">
        <w:rPr>
          <w:rFonts w:eastAsiaTheme="minorEastAsia"/>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t-1</m:t>
            </m:r>
          </m:sub>
        </m:sSub>
      </m:oMath>
      <w:r w:rsidRPr="0068421C">
        <w:rPr>
          <w:rFonts w:eastAsiaTheme="minorEastAsia"/>
          <w:i/>
          <w:iCs/>
          <w:sz w:val="24"/>
          <w:szCs w:val="24"/>
        </w:rPr>
        <w:t xml:space="preserve"> implies that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r>
          <w:rPr>
            <w:rFonts w:ascii="Cambria Math" w:eastAsiaTheme="minorEastAsia" w:hAnsi="Cambria Math"/>
            <w:sz w:val="24"/>
            <w:szCs w:val="24"/>
          </w:rPr>
          <m:t>=1</m:t>
        </m:r>
      </m:oMath>
    </w:p>
    <w:p w14:paraId="0E229AB0" w14:textId="6F885E72" w:rsidR="00E025C0" w:rsidRPr="0068421C" w:rsidRDefault="00E025C0" w:rsidP="004102B8">
      <w:pPr>
        <w:spacing w:line="360" w:lineRule="auto"/>
        <w:jc w:val="both"/>
        <w:rPr>
          <w:rFonts w:eastAsiaTheme="minorEastAsia"/>
          <w:i/>
          <w:iCs/>
          <w:sz w:val="24"/>
          <w:szCs w:val="24"/>
        </w:rPr>
      </w:pPr>
      <w:r w:rsidRPr="0068421C">
        <w:rPr>
          <w:rFonts w:eastAsiaTheme="minorEastAsia"/>
          <w:b/>
          <w:bCs/>
          <w:sz w:val="24"/>
          <w:szCs w:val="24"/>
        </w:rPr>
        <w:t>Assumption 4 (Overlap):</w:t>
      </w:r>
      <w:r>
        <w:rPr>
          <w:rFonts w:eastAsiaTheme="minorEastAsia"/>
          <w:sz w:val="24"/>
          <w:szCs w:val="24"/>
        </w:rPr>
        <w:t xml:space="preserve"> </w:t>
      </w:r>
      <w:r w:rsidR="00BB2675" w:rsidRPr="0068421C">
        <w:rPr>
          <w:rFonts w:eastAsiaTheme="minorEastAsia"/>
          <w:i/>
          <w:iCs/>
          <w:sz w:val="24"/>
          <w:szCs w:val="24"/>
        </w:rPr>
        <w:t>Positive share of the population start</w:t>
      </w:r>
      <w:r w:rsidR="007D14E8">
        <w:rPr>
          <w:rFonts w:eastAsiaTheme="minorEastAsia"/>
          <w:i/>
          <w:iCs/>
          <w:sz w:val="24"/>
          <w:szCs w:val="24"/>
        </w:rPr>
        <w:t>s</w:t>
      </w:r>
      <w:r w:rsidR="00BB2675" w:rsidRPr="0068421C">
        <w:rPr>
          <w:rFonts w:eastAsiaTheme="minorEastAsia"/>
          <w:i/>
          <w:iCs/>
          <w:sz w:val="24"/>
          <w:szCs w:val="24"/>
        </w:rPr>
        <w:t xml:space="preserve"> to be treated in period </w:t>
      </w:r>
      <m:oMath>
        <m:r>
          <w:rPr>
            <w:rFonts w:ascii="Cambria Math" w:eastAsiaTheme="minorEastAsia" w:hAnsi="Cambria Math"/>
            <w:sz w:val="24"/>
            <w:szCs w:val="24"/>
          </w:rPr>
          <m:t>g</m:t>
        </m:r>
      </m:oMath>
      <w:r w:rsidR="00BB2675" w:rsidRPr="0068421C">
        <w:rPr>
          <w:rFonts w:eastAsiaTheme="minorEastAsia"/>
          <w:i/>
          <w:iCs/>
          <w:sz w:val="24"/>
          <w:szCs w:val="24"/>
        </w:rPr>
        <w:t xml:space="preserve">, and given covariates of </w:t>
      </w:r>
      <m:oMath>
        <m:r>
          <w:rPr>
            <w:rFonts w:ascii="Cambria Math" w:eastAsiaTheme="minorEastAsia" w:hAnsi="Cambria Math"/>
            <w:sz w:val="24"/>
            <w:szCs w:val="24"/>
          </w:rPr>
          <m:t>X</m:t>
        </m:r>
      </m:oMath>
      <w:r w:rsidR="00BB2675" w:rsidRPr="0068421C">
        <w:rPr>
          <w:rFonts w:eastAsiaTheme="minorEastAsia"/>
          <w:i/>
          <w:iCs/>
          <w:sz w:val="24"/>
          <w:szCs w:val="24"/>
        </w:rPr>
        <w:t xml:space="preserve"> there is also a positive probability that some are not treated</w:t>
      </w:r>
      <w:r w:rsidR="00971C1A">
        <w:rPr>
          <w:rFonts w:eastAsiaTheme="minorEastAsia"/>
          <w:i/>
          <w:iCs/>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BB2675" w:rsidRPr="0068421C">
        <w:rPr>
          <w:rFonts w:eastAsiaTheme="minorEastAsia"/>
          <w:i/>
          <w:iCs/>
          <w:sz w:val="24"/>
          <w:szCs w:val="24"/>
        </w:rPr>
        <w:t>. Formally, f</w:t>
      </w:r>
      <w:r w:rsidRPr="0068421C">
        <w:rPr>
          <w:rFonts w:eastAsiaTheme="minorEastAsia"/>
          <w:i/>
          <w:iCs/>
          <w:sz w:val="24"/>
          <w:szCs w:val="24"/>
        </w:rPr>
        <w:t xml:space="preserve">or all </w:t>
      </w:r>
      <m:oMath>
        <m:r>
          <w:rPr>
            <w:rFonts w:ascii="Cambria Math" w:eastAsiaTheme="minorEastAsia" w:hAnsi="Cambria Math"/>
            <w:sz w:val="24"/>
            <w:szCs w:val="24"/>
          </w:rPr>
          <m:t>g=2,…,T,P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r>
              <w:rPr>
                <w:rFonts w:ascii="Cambria Math" w:eastAsiaTheme="minorEastAsia" w:hAnsi="Cambria Math"/>
                <w:sz w:val="24"/>
                <w:szCs w:val="24"/>
              </w:rPr>
              <m:t>=1</m:t>
            </m:r>
          </m:e>
        </m:d>
        <m:r>
          <w:rPr>
            <w:rFonts w:ascii="Cambria Math" w:eastAsiaTheme="minorEastAsia" w:hAnsi="Cambria Math"/>
            <w:sz w:val="24"/>
            <w:szCs w:val="24"/>
          </w:rPr>
          <m:t>&gt;0</m:t>
        </m:r>
      </m:oMath>
      <w:r w:rsidRPr="0068421C">
        <w:rPr>
          <w:rFonts w:eastAsiaTheme="minorEastAsia"/>
          <w:i/>
          <w:iCs/>
          <w:sz w:val="24"/>
          <w:szCs w:val="24"/>
        </w:rPr>
        <w:t xml:space="preserve"> and for some </w:t>
      </w:r>
      <m:oMath>
        <m:r>
          <w:rPr>
            <w:rFonts w:ascii="Cambria Math" w:eastAsiaTheme="minorEastAsia" w:hAnsi="Cambria Math"/>
            <w:sz w:val="24"/>
            <w:szCs w:val="24"/>
          </w:rPr>
          <m:t xml:space="preserve">ε&gt;0,  </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g</m:t>
            </m:r>
          </m:sub>
        </m:sSub>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&lt;1-ε a.s..</m:t>
        </m:r>
      </m:oMath>
    </w:p>
    <w:p w14:paraId="6427A4C5" w14:textId="5107BCAC" w:rsidR="00E804F2" w:rsidRPr="006C019D" w:rsidRDefault="00CD4644"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Pr="006C019D">
        <w:rPr>
          <w:rFonts w:asciiTheme="minorHAnsi" w:hAnsiTheme="minorHAnsi" w:cstheme="minorHAnsi"/>
          <w:color w:val="auto"/>
          <w:sz w:val="24"/>
          <w:szCs w:val="24"/>
        </w:rPr>
        <w:t xml:space="preserve">4. </w:t>
      </w:r>
      <w:r w:rsidR="00E804F2" w:rsidRPr="006C019D">
        <w:rPr>
          <w:rFonts w:asciiTheme="minorHAnsi" w:hAnsiTheme="minorHAnsi" w:cstheme="minorHAnsi"/>
          <w:color w:val="auto"/>
          <w:sz w:val="24"/>
          <w:szCs w:val="24"/>
        </w:rPr>
        <w:t>Group-time Average Treatment Effect</w:t>
      </w:r>
    </w:p>
    <w:p w14:paraId="15A97649" w14:textId="5CA2D35C" w:rsidR="00E025C0" w:rsidRPr="008151FA" w:rsidRDefault="00644656" w:rsidP="003D49E5">
      <w:pPr>
        <w:spacing w:line="360" w:lineRule="auto"/>
        <w:ind w:firstLine="397"/>
        <w:jc w:val="both"/>
        <w:rPr>
          <w:rFonts w:eastAsiaTheme="minorEastAsia"/>
          <w:sz w:val="24"/>
          <w:szCs w:val="24"/>
        </w:rPr>
      </w:pPr>
      <w:r>
        <w:rPr>
          <w:rFonts w:eastAsiaTheme="minorEastAsia"/>
          <w:sz w:val="24"/>
          <w:szCs w:val="24"/>
        </w:rPr>
        <w:t xml:space="preserve">Under the assumptions above and for </w:t>
      </w:r>
      <m:oMath>
        <m:r>
          <w:rPr>
            <w:rFonts w:ascii="Cambria Math" w:eastAsiaTheme="minorEastAsia" w:hAnsi="Cambria Math"/>
            <w:sz w:val="24"/>
            <w:szCs w:val="24"/>
          </w:rPr>
          <m:t>2 ≤ g ≤ t ≤ T =4</m:t>
        </m:r>
      </m:oMath>
      <w:r>
        <w:rPr>
          <w:rFonts w:eastAsiaTheme="minorEastAsia"/>
          <w:sz w:val="24"/>
          <w:szCs w:val="24"/>
        </w:rPr>
        <w:t>, the group-time</w:t>
      </w:r>
      <w:r w:rsidR="00E804F2">
        <w:rPr>
          <w:rFonts w:eastAsiaTheme="minorEastAsia"/>
          <w:sz w:val="24"/>
          <w:szCs w:val="24"/>
        </w:rPr>
        <w:t xml:space="preserve"> </w:t>
      </w:r>
      <w:r>
        <w:rPr>
          <w:rFonts w:eastAsiaTheme="minorEastAsia"/>
          <w:sz w:val="24"/>
          <w:szCs w:val="24"/>
        </w:rPr>
        <w:t>average treatment effect</w:t>
      </w:r>
      <w:r w:rsidR="008151FA">
        <w:rPr>
          <w:rFonts w:eastAsiaTheme="minorEastAsia"/>
          <w:sz w:val="24"/>
          <w:szCs w:val="24"/>
        </w:rPr>
        <w:t>s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8151FA">
        <w:rPr>
          <w:rFonts w:eastAsiaTheme="minorEastAsia"/>
          <w:sz w:val="24"/>
          <w:szCs w:val="24"/>
        </w:rPr>
        <w:t xml:space="preserve">) </w:t>
      </w:r>
      <w:r>
        <w:rPr>
          <w:rFonts w:eastAsiaTheme="minorEastAsia"/>
          <w:sz w:val="24"/>
          <w:szCs w:val="24"/>
        </w:rPr>
        <w:t xml:space="preserve">for group </w:t>
      </w:r>
      <m:oMath>
        <m:r>
          <w:rPr>
            <w:rFonts w:ascii="Cambria Math" w:eastAsiaTheme="minorEastAsia" w:hAnsi="Cambria Math"/>
            <w:sz w:val="24"/>
            <w:szCs w:val="24"/>
          </w:rPr>
          <m:t>g</m:t>
        </m:r>
      </m:oMath>
      <w:r>
        <w:rPr>
          <w:rFonts w:eastAsiaTheme="minorEastAsia"/>
          <w:sz w:val="24"/>
          <w:szCs w:val="24"/>
        </w:rPr>
        <w:t xml:space="preserve"> and in period </w:t>
      </w:r>
      <m:oMath>
        <m:r>
          <w:rPr>
            <w:rFonts w:ascii="Cambria Math" w:eastAsiaTheme="minorEastAsia" w:hAnsi="Cambria Math"/>
            <w:sz w:val="24"/>
            <w:szCs w:val="24"/>
          </w:rPr>
          <m:t>t</m:t>
        </m:r>
      </m:oMath>
      <w:r w:rsidR="008151FA">
        <w:rPr>
          <w:rFonts w:eastAsiaTheme="minorEastAsia"/>
          <w:sz w:val="24"/>
          <w:szCs w:val="24"/>
        </w:rPr>
        <w:t xml:space="preserve">, condition on </w:t>
      </w:r>
      <m:oMath>
        <m:r>
          <w:rPr>
            <w:rFonts w:ascii="Cambria Math" w:eastAsiaTheme="minorEastAsia" w:hAnsi="Cambria Math"/>
            <w:sz w:val="24"/>
            <w:szCs w:val="24"/>
          </w:rPr>
          <m:t>X</m:t>
        </m:r>
      </m:oMath>
      <w:r w:rsidR="008151FA">
        <w:rPr>
          <w:rFonts w:eastAsiaTheme="minorEastAsia"/>
          <w:sz w:val="24"/>
          <w:szCs w:val="24"/>
        </w:rPr>
        <w:t xml:space="preserve"> covariates</w:t>
      </w:r>
      <w:r>
        <w:rPr>
          <w:rFonts w:eastAsiaTheme="minorEastAsia"/>
          <w:sz w:val="24"/>
          <w:szCs w:val="24"/>
        </w:rPr>
        <w:t xml:space="preserve"> can be nonparametrically identified by</w:t>
      </w:r>
      <w:r w:rsidR="000D6380">
        <w:rPr>
          <w:rFonts w:eastAsiaTheme="minorEastAsia"/>
          <w:sz w:val="24"/>
          <w:szCs w:val="24"/>
        </w:rPr>
        <w:t xml:space="preserve"> the following theorem</w:t>
      </w:r>
      <w:r w:rsidR="00971C1A">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p>
    <w:p w14:paraId="2EF280F0" w14:textId="77777777" w:rsidR="007A0A4D" w:rsidRPr="000D6D13" w:rsidRDefault="007A0A4D" w:rsidP="004102B8">
      <w:pPr>
        <w:spacing w:line="360" w:lineRule="auto"/>
        <w:jc w:val="both"/>
        <w:rPr>
          <w:rFonts w:eastAsiaTheme="minorEastAsi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30080E" w14:paraId="63B274B8" w14:textId="77777777" w:rsidTr="007A0A4D">
        <w:tc>
          <w:tcPr>
            <w:tcW w:w="199" w:type="pct"/>
          </w:tcPr>
          <w:p w14:paraId="02547197" w14:textId="77777777" w:rsidR="0030080E" w:rsidRDefault="0030080E" w:rsidP="00A7104F">
            <w:pPr>
              <w:spacing w:line="360" w:lineRule="auto"/>
              <w:jc w:val="both"/>
              <w:rPr>
                <w:rFonts w:eastAsiaTheme="minorEastAsia"/>
                <w:sz w:val="24"/>
                <w:szCs w:val="24"/>
              </w:rPr>
            </w:pPr>
          </w:p>
        </w:tc>
        <w:tc>
          <w:tcPr>
            <w:tcW w:w="4589" w:type="pct"/>
          </w:tcPr>
          <w:p w14:paraId="7C9657A9" w14:textId="08D0AC3C" w:rsidR="00692E9B" w:rsidRPr="00692E9B" w:rsidRDefault="00692E9B" w:rsidP="0030080E">
            <w:pPr>
              <w:spacing w:line="360" w:lineRule="auto"/>
              <w:jc w:val="both"/>
              <w:rPr>
                <w:rFonts w:eastAsiaTheme="minorEastAsia"/>
                <w:i/>
                <w:iCs/>
                <w:sz w:val="24"/>
                <w:szCs w:val="24"/>
              </w:rPr>
            </w:pPr>
            <m:oMathPara>
              <m:oMath>
                <m:r>
                  <w:rPr>
                    <w:rFonts w:ascii="Cambria Math" w:hAnsi="Cambria Math" w:cstheme="minorHAnsi"/>
                    <w:sz w:val="24"/>
                    <w:szCs w:val="24"/>
                  </w:rPr>
                  <m:t>ATT</m:t>
                </m:r>
                <m:d>
                  <m:dPr>
                    <m:ctrlPr>
                      <w:rPr>
                        <w:rFonts w:ascii="Cambria Math" w:hAnsi="Cambria Math" w:cstheme="minorHAnsi"/>
                        <w:i/>
                        <w:iCs/>
                        <w:sz w:val="24"/>
                        <w:szCs w:val="24"/>
                      </w:rPr>
                    </m:ctrlPr>
                  </m:dPr>
                  <m:e>
                    <m:r>
                      <w:rPr>
                        <w:rFonts w:ascii="Cambria Math" w:hAnsi="Cambria Math" w:cstheme="minorHAnsi"/>
                        <w:sz w:val="24"/>
                        <w:szCs w:val="24"/>
                      </w:rPr>
                      <m:t>g,t</m:t>
                    </m:r>
                  </m:e>
                </m:d>
                <m:r>
                  <w:rPr>
                    <w:rFonts w:ascii="Cambria Math" w:hAnsi="Cambria Math" w:cstheme="minorHAnsi"/>
                    <w:sz w:val="24"/>
                    <w:szCs w:val="24"/>
                  </w:rPr>
                  <m:t>=E</m:t>
                </m:r>
                <m:d>
                  <m:dPr>
                    <m:begChr m:val="["/>
                    <m:endChr m:val="]"/>
                    <m:ctrlPr>
                      <w:rPr>
                        <w:rFonts w:ascii="Cambria Math" w:hAnsi="Cambria Math" w:cstheme="minorHAnsi"/>
                        <w:i/>
                        <w:iCs/>
                        <w:sz w:val="24"/>
                        <w:szCs w:val="24"/>
                      </w:rPr>
                    </m:ctrlPr>
                  </m:dPr>
                  <m:e>
                    <m:d>
                      <m:dPr>
                        <m:ctrlPr>
                          <w:rPr>
                            <w:rFonts w:ascii="Cambria Math" w:hAnsi="Cambria Math" w:cstheme="minorHAnsi"/>
                            <w:i/>
                            <w:iCs/>
                            <w:sz w:val="24"/>
                            <w:szCs w:val="24"/>
                          </w:rPr>
                        </m:ctrlPr>
                      </m:dPr>
                      <m:e>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G</m:t>
                                </m:r>
                              </m:e>
                              <m:sub>
                                <m:r>
                                  <w:rPr>
                                    <w:rFonts w:ascii="Cambria Math" w:hAnsi="Cambria Math" w:cstheme="minorHAnsi"/>
                                    <w:sz w:val="24"/>
                                    <w:szCs w:val="24"/>
                                  </w:rPr>
                                  <m:t>g</m:t>
                                </m:r>
                              </m:sub>
                            </m:sSub>
                          </m:num>
                          <m:den>
                            <m:r>
                              <w:rPr>
                                <w:rFonts w:ascii="Cambria Math" w:hAnsi="Cambria Math" w:cstheme="minorHAnsi"/>
                                <w:sz w:val="24"/>
                                <w:szCs w:val="24"/>
                              </w:rPr>
                              <m:t>E</m:t>
                            </m:r>
                            <m:d>
                              <m:dPr>
                                <m:beg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G</m:t>
                                    </m:r>
                                  </m:e>
                                  <m:sub>
                                    <m:r>
                                      <w:rPr>
                                        <w:rFonts w:ascii="Cambria Math" w:hAnsi="Cambria Math" w:cstheme="minorHAnsi"/>
                                        <w:sz w:val="24"/>
                                        <w:szCs w:val="24"/>
                                      </w:rPr>
                                      <m:t>g</m:t>
                                    </m:r>
                                  </m:sub>
                                </m:sSub>
                              </m:e>
                            </m:d>
                          </m:den>
                        </m:f>
                        <m:r>
                          <w:rPr>
                            <w:rFonts w:ascii="Cambria Math" w:hAnsi="Cambria Math" w:cstheme="minorHAnsi"/>
                            <w:sz w:val="24"/>
                            <w:szCs w:val="24"/>
                          </w:rPr>
                          <m:t>-</m:t>
                        </m:r>
                        <m:f>
                          <m:fPr>
                            <m:ctrlPr>
                              <w:rPr>
                                <w:rFonts w:ascii="Cambria Math" w:hAnsi="Cambria Math" w:cstheme="minorHAnsi"/>
                                <w:i/>
                                <w:iCs/>
                                <w:sz w:val="24"/>
                                <w:szCs w:val="24"/>
                              </w:rPr>
                            </m:ctrlPr>
                          </m:fPr>
                          <m:num>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p</m:t>
                                    </m:r>
                                  </m:e>
                                  <m:sub>
                                    <m:r>
                                      <w:rPr>
                                        <w:rFonts w:ascii="Cambria Math" w:hAnsi="Cambria Math" w:cstheme="minorHAnsi"/>
                                        <w:sz w:val="24"/>
                                        <w:szCs w:val="24"/>
                                      </w:rPr>
                                      <m:t>g</m:t>
                                    </m:r>
                                  </m:sub>
                                </m:sSub>
                                <m:d>
                                  <m:dPr>
                                    <m:ctrlPr>
                                      <w:rPr>
                                        <w:rFonts w:ascii="Cambria Math" w:hAnsi="Cambria Math" w:cstheme="minorHAnsi"/>
                                        <w:i/>
                                        <w:iCs/>
                                        <w:sz w:val="24"/>
                                        <w:szCs w:val="24"/>
                                      </w:rPr>
                                    </m:ctrlPr>
                                  </m:dPr>
                                  <m:e>
                                    <m:r>
                                      <w:rPr>
                                        <w:rFonts w:ascii="Cambria Math" w:hAnsi="Cambria Math" w:cstheme="minorHAnsi"/>
                                        <w:sz w:val="24"/>
                                        <w:szCs w:val="24"/>
                                      </w:rPr>
                                      <m:t>X</m:t>
                                    </m:r>
                                  </m:e>
                                </m:d>
                                <m:r>
                                  <w:rPr>
                                    <w:rFonts w:ascii="Cambria Math" w:hAnsi="Cambria Math" w:cstheme="minorHAnsi"/>
                                    <w:sz w:val="24"/>
                                    <w:szCs w:val="24"/>
                                  </w:rPr>
                                  <m:t>C</m:t>
                                </m:r>
                              </m:num>
                              <m:den>
                                <m:r>
                                  <w:rPr>
                                    <w:rFonts w:ascii="Cambria Math" w:hAnsi="Cambria Math" w:cstheme="minorHAnsi"/>
                                    <w:sz w:val="24"/>
                                    <w:szCs w:val="24"/>
                                  </w:rPr>
                                  <m:t>1-</m:t>
                                </m:r>
                                <m:sSub>
                                  <m:sSubPr>
                                    <m:ctrlPr>
                                      <w:rPr>
                                        <w:rFonts w:ascii="Cambria Math" w:hAnsi="Cambria Math" w:cstheme="minorHAnsi"/>
                                        <w:i/>
                                        <w:iCs/>
                                        <w:sz w:val="24"/>
                                        <w:szCs w:val="24"/>
                                      </w:rPr>
                                    </m:ctrlPr>
                                  </m:sSubPr>
                                  <m:e>
                                    <m:r>
                                      <w:rPr>
                                        <w:rFonts w:ascii="Cambria Math" w:hAnsi="Cambria Math" w:cstheme="minorHAnsi"/>
                                        <w:sz w:val="24"/>
                                        <w:szCs w:val="24"/>
                                      </w:rPr>
                                      <m:t>p</m:t>
                                    </m:r>
                                  </m:e>
                                  <m:sub>
                                    <m:r>
                                      <w:rPr>
                                        <w:rFonts w:ascii="Cambria Math" w:hAnsi="Cambria Math" w:cstheme="minorHAnsi"/>
                                        <w:sz w:val="24"/>
                                        <w:szCs w:val="24"/>
                                      </w:rPr>
                                      <m:t>g</m:t>
                                    </m:r>
                                  </m:sub>
                                </m:sSub>
                                <m:d>
                                  <m:dPr>
                                    <m:ctrlPr>
                                      <w:rPr>
                                        <w:rFonts w:ascii="Cambria Math" w:hAnsi="Cambria Math" w:cstheme="minorHAnsi"/>
                                        <w:i/>
                                        <w:iCs/>
                                        <w:sz w:val="24"/>
                                        <w:szCs w:val="24"/>
                                      </w:rPr>
                                    </m:ctrlPr>
                                  </m:dPr>
                                  <m:e>
                                    <m:r>
                                      <w:rPr>
                                        <w:rFonts w:ascii="Cambria Math" w:hAnsi="Cambria Math" w:cstheme="minorHAnsi"/>
                                        <w:sz w:val="24"/>
                                        <w:szCs w:val="24"/>
                                      </w:rPr>
                                      <m:t>X</m:t>
                                    </m:r>
                                  </m:e>
                                </m:d>
                              </m:den>
                            </m:f>
                          </m:num>
                          <m:den>
                            <m:r>
                              <w:rPr>
                                <w:rFonts w:ascii="Cambria Math" w:hAnsi="Cambria Math" w:cstheme="minorHAnsi"/>
                                <w:sz w:val="24"/>
                                <w:szCs w:val="24"/>
                              </w:rPr>
                              <m:t>E</m:t>
                            </m:r>
                            <m:d>
                              <m:dPr>
                                <m:begChr m:val="["/>
                                <m:endChr m:val="]"/>
                                <m:ctrlPr>
                                  <w:rPr>
                                    <w:rFonts w:ascii="Cambria Math" w:hAnsi="Cambria Math" w:cstheme="minorHAnsi"/>
                                    <w:i/>
                                    <w:iCs/>
                                    <w:sz w:val="24"/>
                                    <w:szCs w:val="24"/>
                                  </w:rPr>
                                </m:ctrlPr>
                              </m:dPr>
                              <m:e>
                                <m:f>
                                  <m:fPr>
                                    <m:ctrlPr>
                                      <w:rPr>
                                        <w:rFonts w:ascii="Cambria Math" w:hAnsi="Cambria Math" w:cstheme="minorHAnsi"/>
                                        <w:i/>
                                        <w:iCs/>
                                        <w:sz w:val="24"/>
                                        <w:szCs w:val="24"/>
                                      </w:rPr>
                                    </m:ctrlPr>
                                  </m:fPr>
                                  <m:num>
                                    <m:sSub>
                                      <m:sSubPr>
                                        <m:ctrlPr>
                                          <w:rPr>
                                            <w:rFonts w:ascii="Cambria Math" w:hAnsi="Cambria Math" w:cstheme="minorHAnsi"/>
                                            <w:i/>
                                            <w:iCs/>
                                            <w:sz w:val="24"/>
                                            <w:szCs w:val="24"/>
                                          </w:rPr>
                                        </m:ctrlPr>
                                      </m:sSubPr>
                                      <m:e>
                                        <m:r>
                                          <w:rPr>
                                            <w:rFonts w:ascii="Cambria Math" w:hAnsi="Cambria Math" w:cstheme="minorHAnsi"/>
                                            <w:sz w:val="24"/>
                                            <w:szCs w:val="24"/>
                                          </w:rPr>
                                          <m:t>p</m:t>
                                        </m:r>
                                      </m:e>
                                      <m:sub>
                                        <m:r>
                                          <w:rPr>
                                            <w:rFonts w:ascii="Cambria Math" w:hAnsi="Cambria Math" w:cstheme="minorHAnsi"/>
                                            <w:sz w:val="24"/>
                                            <w:szCs w:val="24"/>
                                          </w:rPr>
                                          <m:t>g</m:t>
                                        </m:r>
                                      </m:sub>
                                    </m:sSub>
                                    <m:d>
                                      <m:dPr>
                                        <m:ctrlPr>
                                          <w:rPr>
                                            <w:rFonts w:ascii="Cambria Math" w:hAnsi="Cambria Math" w:cstheme="minorHAnsi"/>
                                            <w:i/>
                                            <w:iCs/>
                                            <w:sz w:val="24"/>
                                            <w:szCs w:val="24"/>
                                          </w:rPr>
                                        </m:ctrlPr>
                                      </m:dPr>
                                      <m:e>
                                        <m:r>
                                          <w:rPr>
                                            <w:rFonts w:ascii="Cambria Math" w:hAnsi="Cambria Math" w:cstheme="minorHAnsi"/>
                                            <w:sz w:val="24"/>
                                            <w:szCs w:val="24"/>
                                          </w:rPr>
                                          <m:t>X</m:t>
                                        </m:r>
                                      </m:e>
                                    </m:d>
                                    <m:r>
                                      <w:rPr>
                                        <w:rFonts w:ascii="Cambria Math" w:hAnsi="Cambria Math" w:cstheme="minorHAnsi"/>
                                        <w:sz w:val="24"/>
                                        <w:szCs w:val="24"/>
                                      </w:rPr>
                                      <m:t>C</m:t>
                                    </m:r>
                                  </m:num>
                                  <m:den>
                                    <m:r>
                                      <w:rPr>
                                        <w:rFonts w:ascii="Cambria Math" w:hAnsi="Cambria Math" w:cstheme="minorHAnsi"/>
                                        <w:sz w:val="24"/>
                                        <w:szCs w:val="24"/>
                                      </w:rPr>
                                      <m:t>1-</m:t>
                                    </m:r>
                                    <m:sSub>
                                      <m:sSubPr>
                                        <m:ctrlPr>
                                          <w:rPr>
                                            <w:rFonts w:ascii="Cambria Math" w:hAnsi="Cambria Math" w:cstheme="minorHAnsi"/>
                                            <w:i/>
                                            <w:iCs/>
                                            <w:sz w:val="24"/>
                                            <w:szCs w:val="24"/>
                                          </w:rPr>
                                        </m:ctrlPr>
                                      </m:sSubPr>
                                      <m:e>
                                        <m:r>
                                          <w:rPr>
                                            <w:rFonts w:ascii="Cambria Math" w:hAnsi="Cambria Math" w:cstheme="minorHAnsi"/>
                                            <w:sz w:val="24"/>
                                            <w:szCs w:val="24"/>
                                          </w:rPr>
                                          <m:t>p</m:t>
                                        </m:r>
                                      </m:e>
                                      <m:sub>
                                        <m:r>
                                          <w:rPr>
                                            <w:rFonts w:ascii="Cambria Math" w:hAnsi="Cambria Math" w:cstheme="minorHAnsi"/>
                                            <w:sz w:val="24"/>
                                            <w:szCs w:val="24"/>
                                          </w:rPr>
                                          <m:t>g</m:t>
                                        </m:r>
                                      </m:sub>
                                    </m:sSub>
                                    <m:d>
                                      <m:dPr>
                                        <m:ctrlPr>
                                          <w:rPr>
                                            <w:rFonts w:ascii="Cambria Math" w:hAnsi="Cambria Math" w:cstheme="minorHAnsi"/>
                                            <w:i/>
                                            <w:iCs/>
                                            <w:sz w:val="24"/>
                                            <w:szCs w:val="24"/>
                                          </w:rPr>
                                        </m:ctrlPr>
                                      </m:dPr>
                                      <m:e>
                                        <m:r>
                                          <w:rPr>
                                            <w:rFonts w:ascii="Cambria Math" w:hAnsi="Cambria Math" w:cstheme="minorHAnsi"/>
                                            <w:sz w:val="24"/>
                                            <w:szCs w:val="24"/>
                                          </w:rPr>
                                          <m:t>X</m:t>
                                        </m:r>
                                      </m:e>
                                    </m:d>
                                  </m:den>
                                </m:f>
                              </m:e>
                            </m:d>
                          </m:den>
                        </m:f>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g-1</m:t>
                            </m:r>
                          </m:sub>
                        </m:sSub>
                      </m:e>
                    </m:d>
                  </m:e>
                </m:d>
              </m:oMath>
            </m:oMathPara>
          </w:p>
        </w:tc>
        <w:tc>
          <w:tcPr>
            <w:tcW w:w="212" w:type="pct"/>
          </w:tcPr>
          <w:p w14:paraId="2EADFC3D" w14:textId="402E0BE7" w:rsidR="0030080E" w:rsidRDefault="0030080E" w:rsidP="00A7104F">
            <w:pPr>
              <w:spacing w:line="360" w:lineRule="auto"/>
              <w:jc w:val="both"/>
              <w:rPr>
                <w:rFonts w:eastAsiaTheme="minorEastAsia"/>
                <w:sz w:val="24"/>
                <w:szCs w:val="24"/>
              </w:rPr>
            </w:pPr>
            <w:r>
              <w:t>(</w:t>
            </w:r>
            <w:r>
              <w:fldChar w:fldCharType="begin"/>
            </w:r>
            <w:r>
              <w:instrText xml:space="preserve"> SEQ Eq. \* ARABIC </w:instrText>
            </w:r>
            <w:r>
              <w:fldChar w:fldCharType="separate"/>
            </w:r>
            <w:r>
              <w:rPr>
                <w:noProof/>
              </w:rPr>
              <w:t>3</w:t>
            </w:r>
            <w:r>
              <w:fldChar w:fldCharType="end"/>
            </w:r>
            <w:r>
              <w:t>)</w:t>
            </w:r>
          </w:p>
        </w:tc>
      </w:tr>
    </w:tbl>
    <w:p w14:paraId="5BF5C3E7" w14:textId="59850026" w:rsidR="0030080E" w:rsidRPr="00644656" w:rsidRDefault="0030080E" w:rsidP="004102B8">
      <w:pPr>
        <w:spacing w:line="360" w:lineRule="auto"/>
        <w:jc w:val="both"/>
        <w:rPr>
          <w:rFonts w:eastAsiaTheme="minorEastAsia"/>
          <w:sz w:val="24"/>
          <w:szCs w:val="24"/>
        </w:rPr>
      </w:pPr>
    </w:p>
    <w:p w14:paraId="192284E4" w14:textId="208A11B9" w:rsidR="009E6BA0" w:rsidRDefault="00322FB8" w:rsidP="008216EF">
      <w:pPr>
        <w:spacing w:line="360" w:lineRule="auto"/>
        <w:ind w:firstLine="397"/>
        <w:jc w:val="both"/>
        <w:rPr>
          <w:rFonts w:eastAsiaTheme="minorEastAsia"/>
          <w:sz w:val="24"/>
          <w:szCs w:val="24"/>
        </w:rPr>
      </w:pPr>
      <w:r>
        <w:rPr>
          <w:rFonts w:eastAsiaTheme="minorEastAsia"/>
          <w:sz w:val="24"/>
          <w:szCs w:val="24"/>
        </w:rPr>
        <w:t xml:space="preserve">Translating the equation into reasoning, a simple weighted average of “long differences” in the outcome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g-1</m:t>
                </m:r>
              </m:sub>
            </m:sSub>
          </m:e>
        </m:d>
      </m:oMath>
      <w:r>
        <w:rPr>
          <w:rFonts w:eastAsiaTheme="minorEastAsia"/>
          <w:sz w:val="24"/>
          <w:szCs w:val="24"/>
        </w:rPr>
        <w:t xml:space="preserve"> yields us the group-time average treatment effect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Pr>
          <w:rFonts w:eastAsiaTheme="minorEastAsia"/>
          <w:sz w:val="24"/>
          <w:szCs w:val="24"/>
        </w:rPr>
        <w:t>).</w:t>
      </w:r>
      <w:r w:rsidR="000D6D13">
        <w:rPr>
          <w:rFonts w:eastAsiaTheme="minorEastAsia"/>
          <w:sz w:val="24"/>
          <w:szCs w:val="24"/>
        </w:rPr>
        <w:t xml:space="preserve"> To construct the weights, one should take the observations of the control group (intact families) and group </w:t>
      </w:r>
      <m:oMath>
        <m:r>
          <w:rPr>
            <w:rFonts w:ascii="Cambria Math" w:eastAsiaTheme="minorEastAsia" w:hAnsi="Cambria Math"/>
            <w:sz w:val="24"/>
            <w:szCs w:val="24"/>
          </w:rPr>
          <m:t>g</m:t>
        </m:r>
      </m:oMath>
      <w:r w:rsidR="000D6D13">
        <w:rPr>
          <w:rFonts w:eastAsiaTheme="minorEastAsia"/>
          <w:sz w:val="24"/>
          <w:szCs w:val="24"/>
        </w:rPr>
        <w:t xml:space="preserve"> (exposed to parental separation in period </w:t>
      </w:r>
      <m:oMath>
        <m:r>
          <w:rPr>
            <w:rFonts w:ascii="Cambria Math" w:eastAsiaTheme="minorEastAsia" w:hAnsi="Cambria Math"/>
            <w:sz w:val="24"/>
            <w:szCs w:val="24"/>
          </w:rPr>
          <m:t>g</m:t>
        </m:r>
      </m:oMath>
      <w:r w:rsidR="000D6D13">
        <w:rPr>
          <w:rFonts w:eastAsiaTheme="minorEastAsia"/>
          <w:sz w:val="24"/>
          <w:szCs w:val="24"/>
        </w:rPr>
        <w:t xml:space="preserve">), omit other groups, then weigh up observations from </w:t>
      </w:r>
      <w:r w:rsidR="007D14E8">
        <w:rPr>
          <w:rFonts w:eastAsiaTheme="minorEastAsia"/>
          <w:sz w:val="24"/>
          <w:szCs w:val="24"/>
        </w:rPr>
        <w:t xml:space="preserve">the </w:t>
      </w:r>
      <w:r w:rsidR="000D6D13">
        <w:rPr>
          <w:rFonts w:eastAsiaTheme="minorEastAsia"/>
          <w:sz w:val="24"/>
          <w:szCs w:val="24"/>
        </w:rPr>
        <w:t>control tha</w:t>
      </w:r>
      <w:r w:rsidR="009D3CC1">
        <w:rPr>
          <w:rFonts w:eastAsiaTheme="minorEastAsia"/>
          <w:sz w:val="24"/>
          <w:szCs w:val="24"/>
        </w:rPr>
        <w:t>t</w:t>
      </w:r>
      <w:r w:rsidR="000D6D13">
        <w:rPr>
          <w:rFonts w:eastAsiaTheme="minorEastAsia"/>
          <w:sz w:val="24"/>
          <w:szCs w:val="24"/>
        </w:rPr>
        <w:t xml:space="preserve"> have similar characteristics to thos</w:t>
      </w:r>
      <w:r w:rsidR="007D14E8">
        <w:rPr>
          <w:rFonts w:eastAsiaTheme="minorEastAsia"/>
          <w:sz w:val="24"/>
          <w:szCs w:val="24"/>
        </w:rPr>
        <w:t>e</w:t>
      </w:r>
      <w:r w:rsidR="000D6D13">
        <w:rPr>
          <w:rFonts w:eastAsiaTheme="minorEastAsia"/>
          <w:sz w:val="24"/>
          <w:szCs w:val="24"/>
        </w:rPr>
        <w:t xml:space="preserve"> in group </w:t>
      </w:r>
      <m:oMath>
        <m:r>
          <w:rPr>
            <w:rFonts w:ascii="Cambria Math" w:eastAsiaTheme="minorEastAsia" w:hAnsi="Cambria Math"/>
            <w:sz w:val="24"/>
            <w:szCs w:val="24"/>
          </w:rPr>
          <m:t>g</m:t>
        </m:r>
      </m:oMath>
      <w:r w:rsidR="0097589F">
        <w:rPr>
          <w:rFonts w:eastAsiaTheme="minorEastAsia"/>
          <w:sz w:val="24"/>
          <w:szCs w:val="24"/>
        </w:rPr>
        <w:t xml:space="preserve">. Similarly, observations </w:t>
      </w:r>
      <w:r w:rsidR="007D14E8">
        <w:rPr>
          <w:rFonts w:eastAsiaTheme="minorEastAsia"/>
          <w:sz w:val="24"/>
          <w:szCs w:val="24"/>
        </w:rPr>
        <w:t>that</w:t>
      </w:r>
      <w:r w:rsidR="0097589F">
        <w:rPr>
          <w:rFonts w:eastAsiaTheme="minorEastAsia"/>
          <w:sz w:val="24"/>
          <w:szCs w:val="24"/>
        </w:rPr>
        <w:t xml:space="preserve"> have characteristics rarely found in group </w:t>
      </w:r>
      <m:oMath>
        <m:r>
          <w:rPr>
            <w:rFonts w:ascii="Cambria Math" w:eastAsiaTheme="minorEastAsia" w:hAnsi="Cambria Math"/>
            <w:sz w:val="24"/>
            <w:szCs w:val="24"/>
          </w:rPr>
          <m:t>g</m:t>
        </m:r>
      </m:oMath>
      <w:r w:rsidR="0097589F">
        <w:rPr>
          <w:rFonts w:eastAsiaTheme="minorEastAsia"/>
          <w:sz w:val="24"/>
          <w:szCs w:val="24"/>
        </w:rPr>
        <w:t xml:space="preserve"> should have lower weights. Such adjustment guarantees that the covariates are balanced in both groups</w:t>
      </w:r>
      <w:r w:rsidR="00521B17">
        <w:rPr>
          <w:rFonts w:eastAsiaTheme="minorEastAsia"/>
          <w:sz w:val="24"/>
          <w:szCs w:val="24"/>
        </w:rPr>
        <w:t>, therefore outliers do not induce heterogeneity</w:t>
      </w:r>
      <w:r w:rsidR="0097589F">
        <w:rPr>
          <w:rFonts w:eastAsiaTheme="minorEastAsia"/>
          <w:sz w:val="24"/>
          <w:szCs w:val="24"/>
        </w:rPr>
        <w:t>.</w:t>
      </w:r>
      <w:r w:rsidR="009E6BA0">
        <w:rPr>
          <w:rFonts w:eastAsiaTheme="minorEastAsia"/>
          <w:sz w:val="24"/>
          <w:szCs w:val="24"/>
        </w:rPr>
        <w:t xml:space="preserve"> The estimation has an unconditional case when </w:t>
      </w:r>
      <m:oMath>
        <m:r>
          <w:rPr>
            <w:rFonts w:ascii="Cambria Math" w:eastAsiaTheme="minorEastAsia" w:hAnsi="Cambria Math"/>
            <w:sz w:val="24"/>
            <w:szCs w:val="24"/>
          </w:rPr>
          <m:t>X = 1</m:t>
        </m:r>
      </m:oMath>
      <w:r w:rsidR="009E6BA0">
        <w:rPr>
          <w:rFonts w:eastAsiaTheme="minorEastAsia"/>
          <w:sz w:val="24"/>
          <w:szCs w:val="24"/>
        </w:rPr>
        <w:t>, that is that we do not include any control variables into our model, but it is beyond the scope of this paper to elaborate its methodology and can be easily derived by substituting the appro</w:t>
      </w:r>
      <w:r w:rsidR="00596747">
        <w:rPr>
          <w:rFonts w:eastAsiaTheme="minorEastAsia"/>
          <w:sz w:val="24"/>
          <w:szCs w:val="24"/>
        </w:rPr>
        <w:t>pri</w:t>
      </w:r>
      <w:r w:rsidR="009E6BA0">
        <w:rPr>
          <w:rFonts w:eastAsiaTheme="minorEastAsia"/>
          <w:sz w:val="24"/>
          <w:szCs w:val="24"/>
        </w:rPr>
        <w:t xml:space="preserve">ate value. </w:t>
      </w:r>
      <w:r w:rsidR="00066BFF">
        <w:rPr>
          <w:rFonts w:eastAsiaTheme="minorEastAsia"/>
          <w:sz w:val="24"/>
          <w:szCs w:val="24"/>
        </w:rPr>
        <w:t xml:space="preserve">The final form of the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ctrlPr>
              <w:rPr>
                <w:rFonts w:ascii="Cambria Math" w:eastAsiaTheme="minorEastAsia" w:hAnsi="Cambria Math"/>
                <w:i/>
                <w:sz w:val="24"/>
                <w:szCs w:val="24"/>
              </w:rPr>
            </m:ctrlPr>
          </m:e>
        </m:d>
      </m:oMath>
      <w:r w:rsidR="00066BFF">
        <w:rPr>
          <w:rFonts w:eastAsiaTheme="minorEastAsia"/>
          <w:sz w:val="24"/>
          <w:szCs w:val="24"/>
        </w:rPr>
        <w:t xml:space="preserve"> denoted as follows</w:t>
      </w:r>
      <w:r w:rsidR="002F4937">
        <w:rPr>
          <w:rFonts w:eastAsiaTheme="minorEastAsia"/>
          <w:sz w:val="24"/>
          <w:szCs w:val="24"/>
        </w:rPr>
        <w:t>, which is much simpler than the conditional case</w:t>
      </w:r>
      <w:r w:rsidR="008151FA">
        <w:rPr>
          <w:rFonts w:eastAsiaTheme="minorEastAsia"/>
          <w:sz w:val="24"/>
          <w:szCs w:val="24"/>
        </w:rPr>
        <w:t xml:space="preserve"> in (3)</w:t>
      </w:r>
      <w:r w:rsidR="00971C1A">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8151FA">
        <w:rPr>
          <w:rFonts w:eastAsiaTheme="minorEastAsia"/>
          <w:sz w:val="24"/>
          <w:szCs w:val="24"/>
        </w:rPr>
        <w:t xml:space="preserve">. </w:t>
      </w:r>
    </w:p>
    <w:p w14:paraId="7278C844" w14:textId="77777777" w:rsidR="007A0A4D" w:rsidRDefault="007A0A4D" w:rsidP="004102B8">
      <w:pPr>
        <w:spacing w:line="360" w:lineRule="auto"/>
        <w:jc w:val="both"/>
        <w:rPr>
          <w:rFonts w:eastAsiaTheme="minorEastAsi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066BFF" w14:paraId="318A5607" w14:textId="77777777" w:rsidTr="007A0A4D">
        <w:tc>
          <w:tcPr>
            <w:tcW w:w="199" w:type="pct"/>
          </w:tcPr>
          <w:p w14:paraId="7DA3A611" w14:textId="77777777" w:rsidR="00066BFF" w:rsidRDefault="00066BFF" w:rsidP="00A7104F">
            <w:pPr>
              <w:spacing w:line="360" w:lineRule="auto"/>
              <w:jc w:val="both"/>
              <w:rPr>
                <w:rFonts w:eastAsiaTheme="minorEastAsia"/>
                <w:sz w:val="24"/>
                <w:szCs w:val="24"/>
              </w:rPr>
            </w:pPr>
          </w:p>
        </w:tc>
        <w:tc>
          <w:tcPr>
            <w:tcW w:w="4589" w:type="pct"/>
          </w:tcPr>
          <w:p w14:paraId="0A26D630" w14:textId="4E64DBD8" w:rsidR="00066BFF" w:rsidRPr="00094B5A" w:rsidRDefault="00066BFF" w:rsidP="00A7104F">
            <w:pPr>
              <w:spacing w:line="360" w:lineRule="auto"/>
              <w:jc w:val="both"/>
              <w:rPr>
                <w:rFonts w:eastAsiaTheme="minorEastAsia"/>
                <w:sz w:val="24"/>
                <w:szCs w:val="24"/>
              </w:rPr>
            </w:pPr>
            <m:oMathPara>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r>
                  <w:rPr>
                    <w:rFonts w:ascii="Cambria Math" w:eastAsiaTheme="minorEastAsia" w:hAnsi="Cambria Math"/>
                    <w:sz w:val="24"/>
                    <w:szCs w:val="24"/>
                  </w:rPr>
                  <m:t>=E</m:t>
                </m:r>
                <m:d>
                  <m:dPr>
                    <m:begChr m:val="["/>
                    <m:sep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g-1</m:t>
                        </m:r>
                      </m:sub>
                    </m:sSub>
                    <m:ctrlPr>
                      <w:rPr>
                        <w:rFonts w:ascii="Cambria Math" w:eastAsiaTheme="minorEastAsia" w:hAnsi="Cambria Math"/>
                        <w:sz w:val="24"/>
                        <w:szCs w:val="24"/>
                      </w:rPr>
                    </m:ctrlPr>
                  </m:e>
                  <m:e>
                    <m:sSub>
                      <m:sSubPr>
                        <m:ctrlPr>
                          <w:rPr>
                            <w:rFonts w:ascii="Cambria Math" w:eastAsiaTheme="minorEastAsia" w:hAnsi="Cambria Math"/>
                            <w:i/>
                            <w:sz w:val="24"/>
                            <w:szCs w:val="24"/>
                          </w:rPr>
                        </m:ctrlPr>
                      </m:sSubPr>
                      <m:e>
                        <m:r>
                          <w:rPr>
                            <w:rFonts w:ascii="Cambria Math" w:eastAsiaTheme="minorEastAsia" w:hAnsi="Cambria Math"/>
                            <w:sz w:val="24"/>
                            <w:szCs w:val="24"/>
                          </w:rPr>
                          <m:t>G</m:t>
                        </m:r>
                        <m:ctrlPr>
                          <w:rPr>
                            <w:rFonts w:ascii="Cambria Math" w:eastAsiaTheme="minorEastAsia" w:hAnsi="Cambria Math"/>
                            <w:sz w:val="24"/>
                            <w:szCs w:val="24"/>
                          </w:rPr>
                        </m:ctrlPr>
                      </m:e>
                      <m:sub>
                        <m:r>
                          <w:rPr>
                            <w:rFonts w:ascii="Cambria Math" w:eastAsiaTheme="minorEastAsia" w:hAnsi="Cambria Math"/>
                            <w:sz w:val="24"/>
                            <w:szCs w:val="24"/>
                          </w:rPr>
                          <m:t>g</m:t>
                        </m:r>
                      </m:sub>
                    </m:sSub>
                    <m:r>
                      <w:rPr>
                        <w:rFonts w:ascii="Cambria Math" w:eastAsiaTheme="minorEastAsia" w:hAnsi="Cambria Math"/>
                        <w:sz w:val="24"/>
                        <w:szCs w:val="24"/>
                      </w:rPr>
                      <m:t>=1</m:t>
                    </m:r>
                  </m:e>
                </m:d>
                <m:r>
                  <w:rPr>
                    <w:rFonts w:ascii="Cambria Math" w:eastAsiaTheme="minorEastAsia" w:hAnsi="Cambria Math"/>
                    <w:sz w:val="24"/>
                    <w:szCs w:val="24"/>
                  </w:rPr>
                  <m:t>-E</m:t>
                </m:r>
                <m:d>
                  <m:dPr>
                    <m:begChr m:val="["/>
                    <m:sep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g-1</m:t>
                        </m:r>
                      </m:sub>
                    </m:sSub>
                    <m:ctrlPr>
                      <w:rPr>
                        <w:rFonts w:ascii="Cambria Math" w:eastAsiaTheme="minorEastAsia" w:hAnsi="Cambria Math"/>
                        <w:sz w:val="24"/>
                        <w:szCs w:val="24"/>
                      </w:rPr>
                    </m:ctrlPr>
                  </m:e>
                  <m:e>
                    <m:r>
                      <w:rPr>
                        <w:rFonts w:ascii="Cambria Math" w:eastAsiaTheme="minorEastAsia" w:hAnsi="Cambria Math"/>
                        <w:sz w:val="24"/>
                        <w:szCs w:val="24"/>
                      </w:rPr>
                      <m:t>C=1</m:t>
                    </m:r>
                  </m:e>
                </m:d>
                <m:r>
                  <w:rPr>
                    <w:rFonts w:ascii="Cambria Math" w:eastAsiaTheme="minorEastAsia" w:hAnsi="Cambria Math"/>
                    <w:sz w:val="24"/>
                    <w:szCs w:val="24"/>
                  </w:rPr>
                  <m:t>.</m:t>
                </m:r>
              </m:oMath>
            </m:oMathPara>
          </w:p>
        </w:tc>
        <w:tc>
          <w:tcPr>
            <w:tcW w:w="212" w:type="pct"/>
          </w:tcPr>
          <w:p w14:paraId="0EF3943B" w14:textId="574E65F9" w:rsidR="00066BFF" w:rsidRDefault="00066BFF" w:rsidP="00A7104F">
            <w:pPr>
              <w:spacing w:line="360" w:lineRule="auto"/>
              <w:jc w:val="both"/>
              <w:rPr>
                <w:rFonts w:eastAsiaTheme="minorEastAsia"/>
                <w:sz w:val="24"/>
                <w:szCs w:val="24"/>
              </w:rPr>
            </w:pPr>
            <w:r>
              <w:t>(</w:t>
            </w:r>
            <w:r>
              <w:fldChar w:fldCharType="begin"/>
            </w:r>
            <w:r>
              <w:instrText xml:space="preserve"> SEQ Eq. \* ARABIC </w:instrText>
            </w:r>
            <w:r>
              <w:fldChar w:fldCharType="separate"/>
            </w:r>
            <w:r>
              <w:rPr>
                <w:noProof/>
              </w:rPr>
              <w:t>4</w:t>
            </w:r>
            <w:r>
              <w:fldChar w:fldCharType="end"/>
            </w:r>
            <w:r>
              <w:t>)</w:t>
            </w:r>
          </w:p>
        </w:tc>
      </w:tr>
    </w:tbl>
    <w:p w14:paraId="2B392F42" w14:textId="77777777" w:rsidR="007B6CFB" w:rsidRDefault="007B6CFB" w:rsidP="004102B8">
      <w:pPr>
        <w:spacing w:line="360" w:lineRule="auto"/>
        <w:jc w:val="both"/>
        <w:rPr>
          <w:rFonts w:eastAsiaTheme="minorEastAsia"/>
          <w:sz w:val="24"/>
          <w:szCs w:val="24"/>
        </w:rPr>
      </w:pPr>
    </w:p>
    <w:p w14:paraId="77C5700D" w14:textId="28DE92DB" w:rsidR="007B6CFB" w:rsidRDefault="007B6CFB" w:rsidP="008216EF">
      <w:pPr>
        <w:spacing w:line="360" w:lineRule="auto"/>
        <w:ind w:firstLine="397"/>
        <w:jc w:val="both"/>
        <w:rPr>
          <w:rFonts w:eastAsiaTheme="minorEastAsia"/>
          <w:sz w:val="24"/>
          <w:szCs w:val="24"/>
        </w:rPr>
      </w:pPr>
      <w:r>
        <w:rPr>
          <w:rFonts w:eastAsiaTheme="minorEastAsia"/>
          <w:sz w:val="24"/>
          <w:szCs w:val="24"/>
        </w:rPr>
        <w:t>The</w:t>
      </w:r>
      <m:oMath>
        <m:r>
          <w:rPr>
            <w:rFonts w:ascii="Cambria Math" w:eastAsiaTheme="minorEastAsia" w:hAnsi="Cambria Math"/>
            <w:sz w:val="24"/>
            <w:szCs w:val="24"/>
          </w:rPr>
          <m:t xml:space="preserve"> 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A445DA">
        <w:rPr>
          <w:rFonts w:eastAsiaTheme="minorEastAsia"/>
          <w:sz w:val="24"/>
          <w:szCs w:val="24"/>
        </w:rPr>
        <w:t xml:space="preserve">s </w:t>
      </w:r>
      <w:r>
        <w:rPr>
          <w:rFonts w:eastAsiaTheme="minorEastAsia"/>
          <w:sz w:val="24"/>
          <w:szCs w:val="24"/>
        </w:rPr>
        <w:t xml:space="preserve">can be aggregated to obtain a single measurement of parental separation for the sake of causal inference. Aggregating the dynamic effect increases statistical power and reduces estimation uncertainty.  One way to combine the effects across </w:t>
      </w:r>
      <m:oMath>
        <m:r>
          <w:rPr>
            <w:rFonts w:ascii="Cambria Math" w:eastAsiaTheme="minorEastAsia" w:hAnsi="Cambria Math"/>
            <w:sz w:val="24"/>
            <w:szCs w:val="24"/>
          </w:rPr>
          <m:t>g</m:t>
        </m:r>
      </m:oMath>
      <w:r>
        <w:rPr>
          <w:rFonts w:eastAsiaTheme="minorEastAsia"/>
          <w:sz w:val="24"/>
          <w:szCs w:val="24"/>
        </w:rPr>
        <w:t xml:space="preserve"> and </w:t>
      </w:r>
      <m:oMath>
        <m:r>
          <w:rPr>
            <w:rFonts w:ascii="Cambria Math" w:eastAsiaTheme="minorEastAsia" w:hAnsi="Cambria Math"/>
            <w:sz w:val="24"/>
            <w:szCs w:val="24"/>
          </w:rPr>
          <m:t>t</m:t>
        </m:r>
      </m:oMath>
      <w:r>
        <w:rPr>
          <w:rFonts w:eastAsiaTheme="minorEastAsia"/>
          <w:sz w:val="24"/>
          <w:szCs w:val="24"/>
        </w:rPr>
        <w:t xml:space="preserve"> is to take the sum of w</w:t>
      </w:r>
      <w:r w:rsidR="007D14E8">
        <w:rPr>
          <w:rFonts w:eastAsiaTheme="minorEastAsia"/>
          <w:sz w:val="24"/>
          <w:szCs w:val="24"/>
        </w:rPr>
        <w:t>e</w:t>
      </w:r>
      <w:r>
        <w:rPr>
          <w:rFonts w:eastAsiaTheme="minorEastAsia"/>
          <w:sz w:val="24"/>
          <w:szCs w:val="24"/>
        </w:rPr>
        <w:t xml:space="preserve">ighted averages, where more weight put on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Pr>
          <w:rFonts w:eastAsiaTheme="minorEastAsia"/>
          <w:sz w:val="24"/>
          <w:szCs w:val="24"/>
        </w:rPr>
        <w:t xml:space="preserve"> with larger group sizes. Unlike in the case of TWFE where the </w:t>
      </w:r>
      <m:oMath>
        <m:r>
          <m:rPr>
            <m:sty m:val="p"/>
          </m:rPr>
          <w:rPr>
            <w:rFonts w:ascii="Cambria Math" w:eastAsiaTheme="minorEastAsia" w:hAnsi="Cambria Math"/>
            <w:sz w:val="24"/>
            <w:szCs w:val="24"/>
          </w:rPr>
          <m:t>β</m:t>
        </m:r>
      </m:oMath>
      <w:r>
        <w:rPr>
          <w:rFonts w:eastAsiaTheme="minorEastAsia"/>
          <w:sz w:val="24"/>
          <w:szCs w:val="24"/>
        </w:rPr>
        <w:t xml:space="preserve"> can consist </w:t>
      </w:r>
      <w:r w:rsidR="007D14E8">
        <w:rPr>
          <w:rFonts w:eastAsiaTheme="minorEastAsia"/>
          <w:sz w:val="24"/>
          <w:szCs w:val="24"/>
        </w:rPr>
        <w:t xml:space="preserve">of </w:t>
      </w:r>
      <w:r>
        <w:rPr>
          <w:rFonts w:eastAsiaTheme="minorEastAsia"/>
          <w:sz w:val="24"/>
          <w:szCs w:val="24"/>
        </w:rPr>
        <w:t xml:space="preserve">negative weight, such aggregation rules out the bias in the sing of </w:t>
      </w:r>
      <w:r w:rsidR="007D14E8">
        <w:rPr>
          <w:rFonts w:eastAsiaTheme="minorEastAsia"/>
          <w:sz w:val="24"/>
          <w:szCs w:val="24"/>
        </w:rPr>
        <w:t xml:space="preserve">the </w:t>
      </w:r>
      <w:r>
        <w:rPr>
          <w:rFonts w:eastAsiaTheme="minorEastAsia"/>
          <w:sz w:val="24"/>
          <w:szCs w:val="24"/>
        </w:rPr>
        <w:t>coefficient</w:t>
      </w:r>
      <w:r w:rsidR="00971C1A">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Pr>
          <w:rFonts w:eastAsiaTheme="minorEastAsia"/>
          <w:sz w:val="24"/>
          <w:szCs w:val="24"/>
        </w:rPr>
        <w:t xml:space="preserve">. </w:t>
      </w:r>
    </w:p>
    <w:p w14:paraId="6C7243C0" w14:textId="77777777" w:rsidR="007A0A4D" w:rsidRDefault="007A0A4D" w:rsidP="004102B8">
      <w:pPr>
        <w:spacing w:line="360" w:lineRule="auto"/>
        <w:jc w:val="both"/>
        <w:rPr>
          <w:rFonts w:eastAsiaTheme="minorEastAsia"/>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8F2D34" w14:paraId="2017BCF9" w14:textId="77777777" w:rsidTr="007A0A4D">
        <w:tc>
          <w:tcPr>
            <w:tcW w:w="199" w:type="pct"/>
          </w:tcPr>
          <w:p w14:paraId="43F6C2FD" w14:textId="77777777" w:rsidR="008F2D34" w:rsidRDefault="008F2D34" w:rsidP="00A7104F">
            <w:pPr>
              <w:spacing w:line="360" w:lineRule="auto"/>
              <w:jc w:val="both"/>
              <w:rPr>
                <w:rFonts w:eastAsiaTheme="minorEastAsia"/>
                <w:sz w:val="24"/>
                <w:szCs w:val="24"/>
              </w:rPr>
            </w:pPr>
          </w:p>
        </w:tc>
        <w:tc>
          <w:tcPr>
            <w:tcW w:w="4589" w:type="pct"/>
          </w:tcPr>
          <w:p w14:paraId="6CA342FE" w14:textId="6E2E2B34" w:rsidR="00A56A46" w:rsidRPr="00A56A46" w:rsidRDefault="00683D5C" w:rsidP="00683D5C">
            <w:pPr>
              <w:spacing w:line="360" w:lineRule="auto"/>
              <w:jc w:val="both"/>
              <w:rPr>
                <w:rFonts w:eastAsiaTheme="minorEastAsia"/>
                <w:sz w:val="23"/>
                <w:szCs w:val="23"/>
              </w:rPr>
            </w:pPr>
            <m:oMathPara>
              <m:oMath>
                <m:r>
                  <m:rPr>
                    <m:sty m:val="p"/>
                  </m:rPr>
                  <w:rPr>
                    <w:rFonts w:ascii="Cambria Math" w:eastAsiaTheme="minorEastAsia" w:hAnsi="Cambria Math"/>
                    <w:sz w:val="24"/>
                    <w:szCs w:val="24"/>
                  </w:rPr>
                  <w:softHyphen/>
                </m:r>
                <m:f>
                  <m:fPr>
                    <m:ctrlPr>
                      <w:rPr>
                        <w:rFonts w:ascii="Cambria Math" w:eastAsiaTheme="minorEastAsia" w:hAnsi="Cambria Math"/>
                        <w:sz w:val="24"/>
                        <w:szCs w:val="24"/>
                      </w:rPr>
                    </m:ctrlPr>
                  </m:fPr>
                  <m:num>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k</m:t>
                    </m:r>
                    <m:ctrlPr>
                      <w:rPr>
                        <w:rFonts w:ascii="Cambria Math" w:eastAsiaTheme="minorEastAsia" w:hAnsi="Cambria Math"/>
                        <w:i/>
                        <w:sz w:val="24"/>
                        <w:szCs w:val="24"/>
                      </w:rPr>
                    </m:ctrlPr>
                  </m:den>
                </m:f>
                <m:nary>
                  <m:naryPr>
                    <m:chr m:val="∑"/>
                    <m:ctrlPr>
                      <w:rPr>
                        <w:rFonts w:ascii="Cambria Math" w:hAnsi="Cambria Math" w:cs="Segoe UI Historic"/>
                        <w:sz w:val="23"/>
                        <w:szCs w:val="23"/>
                      </w:rPr>
                    </m:ctrlPr>
                  </m:naryPr>
                  <m:sub>
                    <m:r>
                      <m:rPr>
                        <m:sty m:val="p"/>
                      </m:rPr>
                      <w:rPr>
                        <w:rFonts w:ascii="Cambria Math" w:hAnsi="Cambria Math" w:cs="Segoe UI Historic"/>
                        <w:sz w:val="23"/>
                        <w:szCs w:val="23"/>
                      </w:rPr>
                      <m:t>g=2</m:t>
                    </m:r>
                  </m:sub>
                  <m:sup>
                    <m:r>
                      <w:rPr>
                        <w:rFonts w:ascii="Cambria Math" w:hAnsi="Cambria Math" w:cs="Segoe UI Historic"/>
                        <w:sz w:val="23"/>
                        <w:szCs w:val="23"/>
                      </w:rPr>
                      <m:t>T=4</m:t>
                    </m:r>
                  </m:sup>
                  <m:e>
                    <m:nary>
                      <m:naryPr>
                        <m:chr m:val="∑"/>
                        <m:ctrlPr>
                          <w:rPr>
                            <w:rFonts w:ascii="Cambria Math" w:hAnsi="Cambria Math" w:cs="Segoe UI Historic"/>
                            <w:sz w:val="23"/>
                            <w:szCs w:val="23"/>
                          </w:rPr>
                        </m:ctrlPr>
                      </m:naryPr>
                      <m:sub>
                        <m:r>
                          <m:rPr>
                            <m:sty m:val="p"/>
                          </m:rPr>
                          <w:rPr>
                            <w:rFonts w:ascii="Cambria Math" w:hAnsi="Cambria Math" w:cs="Segoe UI Historic"/>
                            <w:sz w:val="23"/>
                            <w:szCs w:val="23"/>
                          </w:rPr>
                          <m:t>t=2</m:t>
                        </m:r>
                      </m:sub>
                      <m:sup>
                        <m:r>
                          <w:rPr>
                            <w:rFonts w:ascii="Cambria Math" w:hAnsi="Cambria Math" w:cs="Segoe UI Historic"/>
                            <w:sz w:val="23"/>
                            <w:szCs w:val="23"/>
                          </w:rPr>
                          <m:t>T=4</m:t>
                        </m:r>
                      </m:sup>
                      <m:e>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g≤t}ATT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G=g</m:t>
                            </m:r>
                          </m:e>
                        </m:d>
                        <m:ctrlPr>
                          <w:rPr>
                            <w:rFonts w:ascii="Cambria Math" w:eastAsiaTheme="minorEastAsia" w:hAnsi="Cambria Math"/>
                            <w:i/>
                            <w:sz w:val="24"/>
                            <w:szCs w:val="24"/>
                          </w:rPr>
                        </m:ctrlPr>
                      </m:e>
                    </m:nary>
                  </m:e>
                </m:nary>
              </m:oMath>
            </m:oMathPara>
          </w:p>
        </w:tc>
        <w:tc>
          <w:tcPr>
            <w:tcW w:w="212" w:type="pct"/>
          </w:tcPr>
          <w:p w14:paraId="4E4DF75E" w14:textId="265C9ACF" w:rsidR="008F2D34" w:rsidRDefault="008F2D34" w:rsidP="00A7104F">
            <w:pPr>
              <w:spacing w:line="360" w:lineRule="auto"/>
              <w:jc w:val="both"/>
              <w:rPr>
                <w:rFonts w:eastAsiaTheme="minorEastAsia"/>
                <w:sz w:val="24"/>
                <w:szCs w:val="24"/>
              </w:rPr>
            </w:pPr>
            <w:r>
              <w:t>(</w:t>
            </w:r>
            <w:r>
              <w:fldChar w:fldCharType="begin"/>
            </w:r>
            <w:r>
              <w:instrText xml:space="preserve"> SEQ Eq. \* ARABIC </w:instrText>
            </w:r>
            <w:r>
              <w:fldChar w:fldCharType="separate"/>
            </w:r>
            <w:r>
              <w:rPr>
                <w:noProof/>
              </w:rPr>
              <w:t>5</w:t>
            </w:r>
            <w:r>
              <w:fldChar w:fldCharType="end"/>
            </w:r>
            <w:r>
              <w:t>)</w:t>
            </w:r>
          </w:p>
        </w:tc>
      </w:tr>
    </w:tbl>
    <w:p w14:paraId="31CDD593" w14:textId="2AA88172" w:rsidR="008F2D34" w:rsidRDefault="008F2D34" w:rsidP="004102B8">
      <w:pPr>
        <w:spacing w:line="360" w:lineRule="auto"/>
        <w:jc w:val="both"/>
        <w:rPr>
          <w:rFonts w:eastAsiaTheme="minorEastAsia"/>
          <w:sz w:val="24"/>
          <w:szCs w:val="24"/>
        </w:rPr>
      </w:pPr>
    </w:p>
    <w:p w14:paraId="2296D8D4" w14:textId="6C34AA13" w:rsidR="00106BD2" w:rsidRDefault="00106BD2" w:rsidP="004102B8">
      <w:pPr>
        <w:spacing w:line="360" w:lineRule="auto"/>
        <w:jc w:val="both"/>
        <w:rPr>
          <w:rFonts w:eastAsiaTheme="minorEastAsia"/>
          <w:sz w:val="23"/>
          <w:szCs w:val="23"/>
        </w:rPr>
      </w:pPr>
      <w:r>
        <w:rPr>
          <w:rFonts w:eastAsiaTheme="minorEastAsia"/>
          <w:sz w:val="24"/>
          <w:szCs w:val="24"/>
        </w:rPr>
        <w:t xml:space="preserve">where </w:t>
      </w:r>
      <m:oMath>
        <m:r>
          <w:rPr>
            <w:rFonts w:ascii="Cambria Math" w:eastAsiaTheme="minorEastAsia" w:hAnsi="Cambria Math"/>
            <w:sz w:val="24"/>
            <w:szCs w:val="24"/>
          </w:rPr>
          <m:t xml:space="preserve">k = </m:t>
        </m:r>
        <m:nary>
          <m:naryPr>
            <m:chr m:val="∑"/>
            <m:ctrlPr>
              <w:rPr>
                <w:rFonts w:ascii="Cambria Math" w:hAnsi="Cambria Math" w:cs="Segoe UI Historic"/>
                <w:sz w:val="23"/>
                <w:szCs w:val="23"/>
              </w:rPr>
            </m:ctrlPr>
          </m:naryPr>
          <m:sub>
            <m:r>
              <m:rPr>
                <m:sty m:val="p"/>
              </m:rPr>
              <w:rPr>
                <w:rFonts w:ascii="Cambria Math" w:hAnsi="Cambria Math" w:cs="Segoe UI Historic"/>
                <w:sz w:val="23"/>
                <w:szCs w:val="23"/>
              </w:rPr>
              <m:t>t=2</m:t>
            </m:r>
          </m:sub>
          <m:sup>
            <m:r>
              <w:rPr>
                <w:rFonts w:ascii="Cambria Math" w:hAnsi="Cambria Math" w:cs="Segoe UI Historic"/>
                <w:sz w:val="23"/>
                <w:szCs w:val="23"/>
              </w:rPr>
              <m:t>T</m:t>
            </m:r>
          </m:sup>
          <m:e>
            <m:nary>
              <m:naryPr>
                <m:chr m:val="∑"/>
                <m:ctrlPr>
                  <w:rPr>
                    <w:rFonts w:ascii="Cambria Math" w:hAnsi="Cambria Math" w:cs="Segoe UI Historic"/>
                    <w:sz w:val="23"/>
                    <w:szCs w:val="23"/>
                  </w:rPr>
                </m:ctrlPr>
              </m:naryPr>
              <m:sub>
                <m:r>
                  <w:rPr>
                    <w:rFonts w:ascii="Cambria Math" w:hAnsi="Cambria Math" w:cs="Segoe UI Historic"/>
                    <w:sz w:val="23"/>
                    <w:szCs w:val="23"/>
                  </w:rPr>
                  <m:t>g</m:t>
                </m:r>
                <m:r>
                  <m:rPr>
                    <m:sty m:val="p"/>
                  </m:rPr>
                  <w:rPr>
                    <w:rFonts w:ascii="Cambria Math" w:hAnsi="Cambria Math" w:cs="Segoe UI Historic"/>
                    <w:sz w:val="23"/>
                    <w:szCs w:val="23"/>
                  </w:rPr>
                  <m:t>=2</m:t>
                </m:r>
              </m:sub>
              <m:sup>
                <m:r>
                  <w:rPr>
                    <w:rFonts w:ascii="Cambria Math" w:hAnsi="Cambria Math" w:cs="Segoe UI Historic"/>
                    <w:sz w:val="23"/>
                    <w:szCs w:val="23"/>
                  </w:rPr>
                  <m:t>T</m:t>
                </m:r>
              </m:sup>
              <m:e>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g≤t}P</m:t>
                </m:r>
                <m:d>
                  <m:dPr>
                    <m:ctrlPr>
                      <w:rPr>
                        <w:rFonts w:ascii="Cambria Math" w:eastAsiaTheme="minorEastAsia" w:hAnsi="Cambria Math"/>
                        <w:i/>
                        <w:sz w:val="24"/>
                        <w:szCs w:val="24"/>
                      </w:rPr>
                    </m:ctrlPr>
                  </m:dPr>
                  <m:e>
                    <m:r>
                      <w:rPr>
                        <w:rFonts w:ascii="Cambria Math" w:eastAsiaTheme="minorEastAsia" w:hAnsi="Cambria Math"/>
                        <w:sz w:val="24"/>
                        <w:szCs w:val="24"/>
                      </w:rPr>
                      <m:t>G=g</m:t>
                    </m:r>
                  </m:e>
                </m:d>
                <m:ctrlPr>
                  <w:rPr>
                    <w:rFonts w:ascii="Cambria Math" w:eastAsiaTheme="minorEastAsia" w:hAnsi="Cambria Math"/>
                    <w:i/>
                    <w:sz w:val="24"/>
                    <w:szCs w:val="24"/>
                  </w:rPr>
                </m:ctrlPr>
              </m:e>
            </m:nary>
          </m:e>
        </m:nary>
      </m:oMath>
      <w:r w:rsidR="00626236">
        <w:rPr>
          <w:rFonts w:eastAsiaTheme="minorEastAsia"/>
          <w:sz w:val="23"/>
          <w:szCs w:val="23"/>
        </w:rPr>
        <w:t xml:space="preserve"> which ensures that </w:t>
      </w:r>
      <w:r w:rsidR="007D14E8">
        <w:rPr>
          <w:rFonts w:eastAsiaTheme="minorEastAsia"/>
          <w:sz w:val="23"/>
          <w:szCs w:val="23"/>
        </w:rPr>
        <w:t xml:space="preserve">the </w:t>
      </w:r>
      <w:r w:rsidR="00626236">
        <w:rPr>
          <w:rFonts w:eastAsiaTheme="minorEastAsia"/>
          <w:sz w:val="23"/>
          <w:szCs w:val="23"/>
        </w:rPr>
        <w:t xml:space="preserve">sum of weights is one. </w:t>
      </w:r>
    </w:p>
    <w:p w14:paraId="10B3B039" w14:textId="4A4DF6DF" w:rsidR="00A56A46" w:rsidRPr="006C019D" w:rsidRDefault="006548FE"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00CD4644" w:rsidRPr="006C019D">
        <w:rPr>
          <w:rFonts w:asciiTheme="minorHAnsi" w:hAnsiTheme="minorHAnsi" w:cstheme="minorHAnsi"/>
          <w:color w:val="auto"/>
          <w:sz w:val="24"/>
          <w:szCs w:val="24"/>
        </w:rPr>
        <w:t>5</w:t>
      </w:r>
      <w:r w:rsidRPr="006C019D">
        <w:rPr>
          <w:rFonts w:asciiTheme="minorHAnsi" w:hAnsiTheme="minorHAnsi" w:cstheme="minorHAnsi"/>
          <w:color w:val="auto"/>
          <w:sz w:val="24"/>
          <w:szCs w:val="24"/>
        </w:rPr>
        <w:t xml:space="preserve">. </w:t>
      </w:r>
      <w:r w:rsidR="00A56A46" w:rsidRPr="006C019D">
        <w:rPr>
          <w:rFonts w:asciiTheme="minorHAnsi" w:hAnsiTheme="minorHAnsi" w:cstheme="minorHAnsi"/>
          <w:color w:val="auto"/>
          <w:sz w:val="24"/>
          <w:szCs w:val="24"/>
        </w:rPr>
        <w:t>Dynamic Treatment Effects</w:t>
      </w:r>
    </w:p>
    <w:p w14:paraId="30BDF5F4" w14:textId="6A8BBFAE" w:rsidR="00EA0D4F" w:rsidRDefault="000D43A7" w:rsidP="008216EF">
      <w:pPr>
        <w:spacing w:line="360" w:lineRule="auto"/>
        <w:ind w:firstLine="397"/>
        <w:jc w:val="both"/>
        <w:rPr>
          <w:rFonts w:eastAsiaTheme="minorEastAsia"/>
          <w:sz w:val="23"/>
          <w:szCs w:val="23"/>
        </w:rPr>
      </w:pPr>
      <w:r>
        <w:rPr>
          <w:rFonts w:eastAsiaTheme="minorEastAsia"/>
          <w:sz w:val="23"/>
          <w:szCs w:val="23"/>
        </w:rPr>
        <w:t xml:space="preserve">In our case, we assumed that the effect of parental separation is </w:t>
      </w:r>
      <w:r w:rsidR="007D14E8">
        <w:rPr>
          <w:rFonts w:eastAsiaTheme="minorEastAsia"/>
          <w:sz w:val="23"/>
          <w:szCs w:val="23"/>
        </w:rPr>
        <w:t>dynamic</w:t>
      </w:r>
      <w:r>
        <w:rPr>
          <w:rFonts w:eastAsiaTheme="minorEastAsia"/>
          <w:sz w:val="23"/>
          <w:szCs w:val="23"/>
        </w:rPr>
        <w:t xml:space="preserve">, put differently, it depends on the length of exposure. </w:t>
      </w:r>
      <w:r w:rsidR="007D14E8">
        <w:rPr>
          <w:rFonts w:eastAsiaTheme="minorEastAsia"/>
          <w:sz w:val="23"/>
          <w:szCs w:val="23"/>
        </w:rPr>
        <w:t>We hypothesize</w:t>
      </w:r>
      <w:r w:rsidR="00EA0D4F">
        <w:rPr>
          <w:rFonts w:eastAsiaTheme="minorEastAsia"/>
          <w:sz w:val="23"/>
          <w:szCs w:val="23"/>
        </w:rPr>
        <w:t xml:space="preserve"> that the initial effect of the separation in period </w:t>
      </w:r>
      <m:oMath>
        <m:r>
          <w:rPr>
            <w:rFonts w:ascii="Cambria Math" w:eastAsiaTheme="minorEastAsia" w:hAnsi="Cambria Math"/>
            <w:sz w:val="23"/>
            <w:szCs w:val="23"/>
          </w:rPr>
          <m:t>g</m:t>
        </m:r>
      </m:oMath>
      <w:r w:rsidR="00EA0D4F">
        <w:rPr>
          <w:rFonts w:eastAsiaTheme="minorEastAsia"/>
          <w:sz w:val="23"/>
          <w:szCs w:val="23"/>
        </w:rPr>
        <w:t xml:space="preserve"> is the strongest, and afterward, the children manage to readjust slowly. </w:t>
      </w:r>
      <w:r w:rsidR="00A95D70">
        <w:rPr>
          <w:rFonts w:eastAsiaTheme="minorEastAsia"/>
          <w:sz w:val="23"/>
          <w:szCs w:val="23"/>
        </w:rPr>
        <w:t xml:space="preserve">Let us denote </w:t>
      </w:r>
      <m:oMath>
        <m:r>
          <w:rPr>
            <w:rFonts w:ascii="Cambria Math" w:eastAsiaTheme="minorEastAsia" w:hAnsi="Cambria Math"/>
            <w:sz w:val="23"/>
            <w:szCs w:val="23"/>
          </w:rPr>
          <m:t>e</m:t>
        </m:r>
      </m:oMath>
      <w:r w:rsidR="00A95D70">
        <w:rPr>
          <w:rFonts w:eastAsiaTheme="minorEastAsia"/>
          <w:sz w:val="23"/>
          <w:szCs w:val="23"/>
        </w:rPr>
        <w:t xml:space="preserve"> as the aggregation of </w:t>
      </w:r>
      <m:oMath>
        <m:r>
          <m:rPr>
            <m:sty m:val="p"/>
          </m:rPr>
          <w:rPr>
            <w:rFonts w:ascii="Cambria Math" w:eastAsiaTheme="minorEastAsia" w:hAnsi="Cambria Math"/>
            <w:sz w:val="23"/>
            <w:szCs w:val="23"/>
          </w:rPr>
          <m:t>ATT</m:t>
        </m:r>
        <m:d>
          <m:dPr>
            <m:ctrlPr>
              <w:rPr>
                <w:rFonts w:ascii="Cambria Math" w:eastAsiaTheme="minorEastAsia" w:hAnsi="Cambria Math"/>
                <w:i/>
                <w:sz w:val="23"/>
                <w:szCs w:val="23"/>
              </w:rPr>
            </m:ctrlPr>
          </m:dPr>
          <m:e>
            <m:r>
              <w:rPr>
                <w:rFonts w:ascii="Cambria Math" w:eastAsiaTheme="minorEastAsia" w:hAnsi="Cambria Math"/>
                <w:sz w:val="23"/>
                <w:szCs w:val="23"/>
              </w:rPr>
              <m:t>g,t</m:t>
            </m:r>
          </m:e>
        </m:d>
        <m:r>
          <m:rPr>
            <m:sty m:val="p"/>
          </m:rPr>
          <w:rPr>
            <w:rFonts w:ascii="Cambria Math" w:eastAsiaTheme="minorEastAsia" w:hAnsi="Cambria Math"/>
            <w:sz w:val="23"/>
            <w:szCs w:val="23"/>
          </w:rPr>
          <m:t xml:space="preserve"> </m:t>
        </m:r>
      </m:oMath>
      <w:r w:rsidR="00A95D70">
        <w:rPr>
          <w:rFonts w:eastAsiaTheme="minorEastAsia"/>
          <w:sz w:val="23"/>
          <w:szCs w:val="23"/>
        </w:rPr>
        <w:t xml:space="preserve">across </w:t>
      </w:r>
      <w:r w:rsidR="007D14E8">
        <w:rPr>
          <w:rFonts w:eastAsiaTheme="minorEastAsia"/>
          <w:sz w:val="23"/>
          <w:szCs w:val="23"/>
        </w:rPr>
        <w:t xml:space="preserve">the </w:t>
      </w:r>
      <w:r w:rsidR="00A95D70">
        <w:rPr>
          <w:rFonts w:eastAsiaTheme="minorEastAsia"/>
          <w:sz w:val="23"/>
          <w:szCs w:val="23"/>
        </w:rPr>
        <w:t xml:space="preserve">length of exposure to family disruption. </w:t>
      </w:r>
    </w:p>
    <w:p w14:paraId="669658FC" w14:textId="77777777" w:rsidR="007A0A4D" w:rsidRPr="0008535E" w:rsidRDefault="007A0A4D" w:rsidP="004102B8">
      <w:pPr>
        <w:spacing w:line="360" w:lineRule="auto"/>
        <w:jc w:val="both"/>
        <w:rPr>
          <w:rFonts w:eastAsiaTheme="minorEastAsia"/>
          <w:sz w:val="23"/>
          <w:szCs w:val="23"/>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08535E" w14:paraId="1B642B4B" w14:textId="77777777" w:rsidTr="007A0A4D">
        <w:tc>
          <w:tcPr>
            <w:tcW w:w="199" w:type="pct"/>
          </w:tcPr>
          <w:p w14:paraId="1190BDC5" w14:textId="77777777" w:rsidR="0008535E" w:rsidRDefault="0008535E" w:rsidP="00A7104F">
            <w:pPr>
              <w:spacing w:line="360" w:lineRule="auto"/>
              <w:jc w:val="both"/>
              <w:rPr>
                <w:rFonts w:eastAsiaTheme="minorEastAsia"/>
                <w:sz w:val="24"/>
                <w:szCs w:val="24"/>
              </w:rPr>
            </w:pPr>
          </w:p>
        </w:tc>
        <w:tc>
          <w:tcPr>
            <w:tcW w:w="4589" w:type="pct"/>
          </w:tcPr>
          <w:p w14:paraId="78CCE9D5" w14:textId="16A4F4FA" w:rsidR="0008535E" w:rsidRPr="00F554CB" w:rsidRDefault="00B76B5A" w:rsidP="00A7104F">
            <w:pPr>
              <w:spacing w:line="360" w:lineRule="auto"/>
              <w:jc w:val="both"/>
              <w:rPr>
                <w:rFonts w:eastAsiaTheme="minorEastAsia"/>
                <w:sz w:val="23"/>
                <w:szCs w:val="23"/>
              </w:rPr>
            </w:pPr>
            <m:oMathPara>
              <m:oMath>
                <m:sSub>
                  <m:sSubPr>
                    <m:ctrlPr>
                      <w:rPr>
                        <w:rFonts w:ascii="Cambria Math" w:hAnsi="Cambria Math" w:cs="Segoe UI Historic"/>
                        <w:i/>
                        <w:sz w:val="23"/>
                        <w:szCs w:val="23"/>
                      </w:rPr>
                    </m:ctrlPr>
                  </m:sSubPr>
                  <m:e>
                    <m:bar>
                      <m:barPr>
                        <m:pos m:val="top"/>
                        <m:ctrlPr>
                          <w:rPr>
                            <w:rFonts w:ascii="Cambria Math" w:hAnsi="Cambria Math" w:cs="Segoe UI Historic"/>
                            <w:sz w:val="23"/>
                            <w:szCs w:val="23"/>
                          </w:rPr>
                        </m:ctrlPr>
                      </m:barPr>
                      <m:e>
                        <m:r>
                          <m:rPr>
                            <m:sty m:val="p"/>
                          </m:rPr>
                          <w:rPr>
                            <w:rFonts w:ascii="Cambria Math" w:hAnsi="Cambria Math" w:cs="Segoe UI Historic"/>
                            <w:sz w:val="23"/>
                            <w:szCs w:val="23"/>
                          </w:rPr>
                          <m:t>θ</m:t>
                        </m:r>
                      </m:e>
                    </m:bar>
                  </m:e>
                  <m:sub>
                    <m:r>
                      <w:rPr>
                        <w:rFonts w:ascii="Cambria Math" w:hAnsi="Cambria Math" w:cs="Segoe UI Historic"/>
                        <w:sz w:val="23"/>
                        <w:szCs w:val="23"/>
                      </w:rPr>
                      <m:t>D</m:t>
                    </m:r>
                  </m:sub>
                </m:sSub>
                <m:d>
                  <m:dPr>
                    <m:ctrlPr>
                      <w:rPr>
                        <w:rFonts w:ascii="Cambria Math" w:hAnsi="Cambria Math" w:cs="Segoe UI Historic"/>
                        <w:i/>
                        <w:sz w:val="23"/>
                        <w:szCs w:val="23"/>
                      </w:rPr>
                    </m:ctrlPr>
                  </m:dPr>
                  <m:e>
                    <m:r>
                      <w:rPr>
                        <w:rFonts w:ascii="Cambria Math" w:hAnsi="Cambria Math" w:cs="Segoe UI Historic"/>
                        <w:sz w:val="23"/>
                        <w:szCs w:val="23"/>
                      </w:rPr>
                      <m:t>e</m:t>
                    </m:r>
                  </m:e>
                </m:d>
                <m:r>
                  <w:rPr>
                    <w:rFonts w:ascii="Cambria Math" w:hAnsi="Cambria Math" w:cs="Segoe UI Historic"/>
                    <w:sz w:val="23"/>
                    <w:szCs w:val="23"/>
                  </w:rPr>
                  <m:t>=</m:t>
                </m:r>
                <m:nary>
                  <m:naryPr>
                    <m:chr m:val="∑"/>
                    <m:ctrlPr>
                      <w:rPr>
                        <w:rFonts w:ascii="Cambria Math" w:hAnsi="Cambria Math" w:cs="Segoe UI Historic"/>
                        <w:sz w:val="23"/>
                        <w:szCs w:val="23"/>
                      </w:rPr>
                    </m:ctrlPr>
                  </m:naryPr>
                  <m:sub>
                    <m:r>
                      <w:rPr>
                        <w:rFonts w:ascii="Cambria Math" w:hAnsi="Cambria Math" w:cs="Segoe UI Historic"/>
                        <w:sz w:val="23"/>
                        <w:szCs w:val="23"/>
                      </w:rPr>
                      <m:t>g=2</m:t>
                    </m:r>
                    <m:ctrlPr>
                      <w:rPr>
                        <w:rFonts w:ascii="Cambria Math" w:hAnsi="Cambria Math" w:cs="Segoe UI Historic"/>
                        <w:i/>
                        <w:sz w:val="23"/>
                        <w:szCs w:val="23"/>
                      </w:rPr>
                    </m:ctrlPr>
                  </m:sub>
                  <m:sup>
                    <m:r>
                      <w:rPr>
                        <w:rFonts w:ascii="Cambria Math" w:hAnsi="Cambria Math" w:cs="Segoe UI Historic"/>
                        <w:sz w:val="23"/>
                        <w:szCs w:val="23"/>
                      </w:rPr>
                      <m:t>T=4</m:t>
                    </m:r>
                    <m:ctrlPr>
                      <w:rPr>
                        <w:rFonts w:ascii="Cambria Math" w:hAnsi="Cambria Math" w:cs="Segoe UI Historic"/>
                        <w:i/>
                        <w:sz w:val="23"/>
                        <w:szCs w:val="23"/>
                      </w:rPr>
                    </m:ctrlPr>
                  </m:sup>
                  <m:e>
                    <m:nary>
                      <m:naryPr>
                        <m:chr m:val="∑"/>
                        <m:ctrlPr>
                          <w:rPr>
                            <w:rFonts w:ascii="Cambria Math" w:hAnsi="Cambria Math" w:cs="Segoe UI Historic"/>
                            <w:sz w:val="23"/>
                            <w:szCs w:val="23"/>
                          </w:rPr>
                        </m:ctrlPr>
                      </m:naryPr>
                      <m:sub>
                        <m:r>
                          <w:rPr>
                            <w:rFonts w:ascii="Cambria Math" w:hAnsi="Cambria Math" w:cs="Segoe UI Historic"/>
                            <w:sz w:val="23"/>
                            <w:szCs w:val="23"/>
                          </w:rPr>
                          <m:t>t=2</m:t>
                        </m:r>
                        <m:ctrlPr>
                          <w:rPr>
                            <w:rFonts w:ascii="Cambria Math" w:hAnsi="Cambria Math" w:cs="Segoe UI Historic"/>
                            <w:i/>
                            <w:sz w:val="23"/>
                            <w:szCs w:val="23"/>
                          </w:rPr>
                        </m:ctrlPr>
                      </m:sub>
                      <m:sup>
                        <m:r>
                          <w:rPr>
                            <w:rFonts w:ascii="Cambria Math" w:hAnsi="Cambria Math" w:cs="Segoe UI Historic"/>
                            <w:sz w:val="23"/>
                            <w:szCs w:val="23"/>
                          </w:rPr>
                          <m:t>T=4</m:t>
                        </m:r>
                        <m:ctrlPr>
                          <w:rPr>
                            <w:rFonts w:ascii="Cambria Math" w:hAnsi="Cambria Math" w:cs="Segoe UI Historic"/>
                            <w:i/>
                            <w:sz w:val="23"/>
                            <w:szCs w:val="23"/>
                          </w:rPr>
                        </m:ctrlPr>
                      </m:sup>
                      <m:e>
                        <m:r>
                          <m:rPr>
                            <m:sty m:val="bi"/>
                          </m:rPr>
                          <w:rPr>
                            <w:rFonts w:ascii="Cambria Math" w:hAnsi="Cambria Math" w:cs="Segoe UI Historic"/>
                            <w:sz w:val="23"/>
                            <w:szCs w:val="23"/>
                          </w:rPr>
                          <m:t>1</m:t>
                        </m:r>
                        <m:r>
                          <m:rPr>
                            <m:lit/>
                          </m:rPr>
                          <w:rPr>
                            <w:rFonts w:ascii="Cambria Math" w:hAnsi="Cambria Math" w:cs="Segoe UI Historic"/>
                            <w:sz w:val="23"/>
                            <w:szCs w:val="23"/>
                          </w:rPr>
                          <m:t>{</m:t>
                        </m:r>
                        <m:r>
                          <w:rPr>
                            <w:rFonts w:ascii="Cambria Math" w:hAnsi="Cambria Math" w:cs="Segoe UI Historic"/>
                            <w:sz w:val="23"/>
                            <w:szCs w:val="23"/>
                          </w:rPr>
                          <m:t>t-g+1=e}ATT</m:t>
                        </m:r>
                        <m:d>
                          <m:dPr>
                            <m:ctrlPr>
                              <w:rPr>
                                <w:rFonts w:ascii="Cambria Math" w:hAnsi="Cambria Math" w:cs="Segoe UI Historic"/>
                                <w:i/>
                                <w:sz w:val="23"/>
                                <w:szCs w:val="23"/>
                              </w:rPr>
                            </m:ctrlPr>
                          </m:dPr>
                          <m:e>
                            <m:r>
                              <w:rPr>
                                <w:rFonts w:ascii="Cambria Math" w:hAnsi="Cambria Math" w:cs="Segoe UI Historic"/>
                                <w:sz w:val="23"/>
                                <w:szCs w:val="23"/>
                              </w:rPr>
                              <m:t>g,t</m:t>
                            </m:r>
                          </m:e>
                        </m:d>
                        <m:r>
                          <w:rPr>
                            <w:rFonts w:ascii="Cambria Math" w:hAnsi="Cambria Math" w:cs="Segoe UI Historic"/>
                            <w:sz w:val="23"/>
                            <w:szCs w:val="23"/>
                          </w:rPr>
                          <m:t>P</m:t>
                        </m:r>
                        <m:d>
                          <m:dPr>
                            <m:sepChr m:val="∣"/>
                            <m:ctrlPr>
                              <w:rPr>
                                <w:rFonts w:ascii="Cambria Math" w:hAnsi="Cambria Math" w:cs="Segoe UI Historic"/>
                                <w:i/>
                                <w:sz w:val="23"/>
                                <w:szCs w:val="23"/>
                              </w:rPr>
                            </m:ctrlPr>
                          </m:dPr>
                          <m:e>
                            <m:r>
                              <w:rPr>
                                <w:rFonts w:ascii="Cambria Math" w:hAnsi="Cambria Math" w:cs="Segoe UI Historic"/>
                                <w:sz w:val="23"/>
                                <w:szCs w:val="23"/>
                              </w:rPr>
                              <m:t>G=g</m:t>
                            </m:r>
                            <m:ctrlPr>
                              <w:rPr>
                                <w:rFonts w:ascii="Cambria Math" w:hAnsi="Cambria Math" w:cs="Segoe UI Historic"/>
                                <w:sz w:val="23"/>
                                <w:szCs w:val="23"/>
                              </w:rPr>
                            </m:ctrlPr>
                          </m:e>
                          <m:e>
                            <m:r>
                              <w:rPr>
                                <w:rFonts w:ascii="Cambria Math" w:hAnsi="Cambria Math" w:cs="Segoe UI Historic"/>
                                <w:sz w:val="23"/>
                                <w:szCs w:val="23"/>
                              </w:rPr>
                              <m:t>t-g+1=e</m:t>
                            </m:r>
                          </m:e>
                        </m:d>
                        <m:ctrlPr>
                          <w:rPr>
                            <w:rFonts w:ascii="Cambria Math" w:hAnsi="Cambria Math" w:cs="Segoe UI Historic"/>
                            <w:i/>
                            <w:sz w:val="23"/>
                            <w:szCs w:val="23"/>
                          </w:rPr>
                        </m:ctrlPr>
                      </m:e>
                    </m:nary>
                    <m:ctrlPr>
                      <w:rPr>
                        <w:rFonts w:ascii="Cambria Math" w:hAnsi="Cambria Math" w:cs="Segoe UI Historic"/>
                        <w:i/>
                        <w:sz w:val="23"/>
                        <w:szCs w:val="23"/>
                      </w:rPr>
                    </m:ctrlPr>
                  </m:e>
                </m:nary>
                <m:r>
                  <w:rPr>
                    <w:rFonts w:ascii="Cambria Math" w:hAnsi="Cambria Math" w:cs="Segoe UI Historic"/>
                    <w:sz w:val="23"/>
                    <w:szCs w:val="23"/>
                  </w:rPr>
                  <m:t xml:space="preserve"> </m:t>
                </m:r>
              </m:oMath>
            </m:oMathPara>
          </w:p>
        </w:tc>
        <w:tc>
          <w:tcPr>
            <w:tcW w:w="212" w:type="pct"/>
          </w:tcPr>
          <w:p w14:paraId="68338437" w14:textId="30E7A9FE" w:rsidR="0008535E" w:rsidRDefault="0008535E" w:rsidP="00A7104F">
            <w:pPr>
              <w:spacing w:line="360" w:lineRule="auto"/>
              <w:jc w:val="both"/>
              <w:rPr>
                <w:rFonts w:eastAsiaTheme="minorEastAsia"/>
                <w:sz w:val="24"/>
                <w:szCs w:val="24"/>
              </w:rPr>
            </w:pPr>
            <w:r>
              <w:t>(</w:t>
            </w:r>
            <w:r>
              <w:fldChar w:fldCharType="begin"/>
            </w:r>
            <w:r>
              <w:instrText xml:space="preserve"> SEQ Eq. \* ARABIC </w:instrText>
            </w:r>
            <w:r>
              <w:fldChar w:fldCharType="separate"/>
            </w:r>
            <w:r>
              <w:rPr>
                <w:noProof/>
              </w:rPr>
              <w:t>6</w:t>
            </w:r>
            <w:r>
              <w:rPr>
                <w:noProof/>
              </w:rPr>
              <w:fldChar w:fldCharType="end"/>
            </w:r>
            <w:r>
              <w:t>)</w:t>
            </w:r>
          </w:p>
        </w:tc>
      </w:tr>
    </w:tbl>
    <w:p w14:paraId="7AF1C1F9" w14:textId="4427BEED" w:rsidR="00A95D70" w:rsidRDefault="00A95D70" w:rsidP="004102B8">
      <w:pPr>
        <w:spacing w:line="360" w:lineRule="auto"/>
        <w:jc w:val="both"/>
        <w:rPr>
          <w:rFonts w:eastAsiaTheme="minorEastAsia"/>
          <w:sz w:val="23"/>
          <w:szCs w:val="23"/>
        </w:rPr>
      </w:pPr>
    </w:p>
    <w:p w14:paraId="0FBE77BB" w14:textId="0858B0AC" w:rsidR="00265F59" w:rsidRDefault="00265F59" w:rsidP="008216EF">
      <w:pPr>
        <w:spacing w:line="360" w:lineRule="auto"/>
        <w:ind w:firstLine="397"/>
        <w:jc w:val="both"/>
        <w:rPr>
          <w:rFonts w:eastAsiaTheme="minorEastAsia"/>
          <w:sz w:val="23"/>
          <w:szCs w:val="23"/>
        </w:rPr>
      </w:pPr>
      <w:r>
        <w:rPr>
          <w:rFonts w:eastAsiaTheme="minorEastAsia"/>
          <w:sz w:val="23"/>
          <w:szCs w:val="23"/>
        </w:rPr>
        <w:t xml:space="preserve">The equation above reflects the average effect of treatment for children been in non-intact families for exactly </w:t>
      </w:r>
      <m:oMath>
        <m:r>
          <w:rPr>
            <w:rFonts w:ascii="Cambria Math" w:eastAsiaTheme="minorEastAsia" w:hAnsi="Cambria Math"/>
            <w:sz w:val="23"/>
            <w:szCs w:val="23"/>
          </w:rPr>
          <m:t>e</m:t>
        </m:r>
      </m:oMath>
      <w:r>
        <w:rPr>
          <w:rFonts w:eastAsiaTheme="minorEastAsia"/>
          <w:sz w:val="23"/>
          <w:szCs w:val="23"/>
        </w:rPr>
        <w:t xml:space="preserve"> periods. If we aggregate the possible values of </w:t>
      </w:r>
      <m:oMath>
        <m:r>
          <w:rPr>
            <w:rFonts w:ascii="Cambria Math" w:eastAsiaTheme="minorEastAsia" w:hAnsi="Cambria Math"/>
            <w:sz w:val="23"/>
            <w:szCs w:val="23"/>
          </w:rPr>
          <m:t>e</m:t>
        </m:r>
      </m:oMath>
      <w:r>
        <w:rPr>
          <w:rFonts w:eastAsiaTheme="minorEastAsia"/>
          <w:sz w:val="23"/>
          <w:szCs w:val="23"/>
        </w:rPr>
        <w:t>, it yields the dynamic effect measurement</w:t>
      </w:r>
      <w:r w:rsidR="00971C1A">
        <w:rPr>
          <w:rFonts w:eastAsiaTheme="minorEastAsia"/>
          <w:sz w:val="23"/>
          <w:szCs w:val="23"/>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p>
    <w:p w14:paraId="30AACF2D" w14:textId="77777777" w:rsidR="007A0A4D" w:rsidRDefault="007A0A4D" w:rsidP="004102B8">
      <w:pPr>
        <w:spacing w:line="360" w:lineRule="auto"/>
        <w:jc w:val="both"/>
        <w:rPr>
          <w:rFonts w:eastAsiaTheme="minorEastAsia"/>
          <w:sz w:val="23"/>
          <w:szCs w:val="23"/>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8288"/>
        <w:gridCol w:w="461"/>
      </w:tblGrid>
      <w:tr w:rsidR="00265F59" w14:paraId="79B91CA2" w14:textId="77777777" w:rsidTr="007A0A4D">
        <w:tc>
          <w:tcPr>
            <w:tcW w:w="199" w:type="pct"/>
          </w:tcPr>
          <w:p w14:paraId="5518907B" w14:textId="77777777" w:rsidR="00265F59" w:rsidRDefault="00265F59" w:rsidP="00A7104F">
            <w:pPr>
              <w:spacing w:line="360" w:lineRule="auto"/>
              <w:jc w:val="both"/>
              <w:rPr>
                <w:rFonts w:eastAsiaTheme="minorEastAsia"/>
                <w:sz w:val="24"/>
                <w:szCs w:val="24"/>
              </w:rPr>
            </w:pPr>
          </w:p>
        </w:tc>
        <w:tc>
          <w:tcPr>
            <w:tcW w:w="4589" w:type="pct"/>
          </w:tcPr>
          <w:p w14:paraId="2A6BA1BE" w14:textId="1C772FAB" w:rsidR="00265F59" w:rsidRPr="00265F59" w:rsidRDefault="00B76B5A" w:rsidP="00A7104F">
            <w:pPr>
              <w:spacing w:line="360" w:lineRule="auto"/>
              <w:jc w:val="both"/>
              <w:rPr>
                <w:rFonts w:eastAsiaTheme="minorEastAsia"/>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D</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T-1</m:t>
                    </m:r>
                  </m:den>
                </m:f>
                <m:nary>
                  <m:naryPr>
                    <m:chr m:val="∑"/>
                    <m:ctrlPr>
                      <w:rPr>
                        <w:rFonts w:ascii="Cambria Math" w:hAnsi="Cambria Math" w:cstheme="minorHAnsi"/>
                        <w:sz w:val="24"/>
                        <w:szCs w:val="24"/>
                      </w:rPr>
                    </m:ctrlPr>
                  </m:naryPr>
                  <m:sub>
                    <m:r>
                      <m:rPr>
                        <m:sty m:val="p"/>
                      </m:rPr>
                      <w:rPr>
                        <w:rFonts w:ascii="Cambria Math" w:hAnsi="Cambria Math" w:cstheme="minorHAnsi"/>
                        <w:sz w:val="24"/>
                        <w:szCs w:val="24"/>
                      </w:rPr>
                      <m:t>e=1</m:t>
                    </m:r>
                  </m:sub>
                  <m:sup>
                    <m:r>
                      <m:rPr>
                        <m:sty m:val="p"/>
                      </m:rPr>
                      <w:rPr>
                        <w:rFonts w:ascii="Cambria Math" w:hAnsi="Cambria Math" w:cstheme="minorHAnsi"/>
                        <w:sz w:val="24"/>
                        <w:szCs w:val="24"/>
                      </w:rPr>
                      <m:t>T-1</m:t>
                    </m:r>
                  </m:sup>
                  <m:e>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m:rPr>
                                <m:sty m:val="p"/>
                              </m:rPr>
                              <w:rPr>
                                <w:rFonts w:ascii="Cambria Math" w:hAnsi="Cambria Math" w:cstheme="minorHAnsi"/>
                                <w:sz w:val="24"/>
                                <w:szCs w:val="24"/>
                              </w:rPr>
                              <m:t>θ</m:t>
                            </m:r>
                          </m:e>
                        </m:bar>
                      </m:e>
                      <m:sub>
                        <m:r>
                          <m:rPr>
                            <m:sty m:val="p"/>
                          </m:rPr>
                          <w:rPr>
                            <w:rFonts w:ascii="Cambria Math" w:hAnsi="Cambria Math" w:cstheme="minorHAnsi"/>
                            <w:sz w:val="24"/>
                            <w:szCs w:val="24"/>
                          </w:rPr>
                          <m:t>D</m:t>
                        </m:r>
                      </m:sub>
                    </m:sSub>
                    <m:d>
                      <m:dPr>
                        <m:ctrlPr>
                          <w:rPr>
                            <w:rFonts w:ascii="Cambria Math" w:hAnsi="Cambria Math" w:cstheme="minorHAnsi"/>
                            <w:sz w:val="24"/>
                            <w:szCs w:val="24"/>
                          </w:rPr>
                        </m:ctrlPr>
                      </m:dPr>
                      <m:e>
                        <m:r>
                          <m:rPr>
                            <m:sty m:val="p"/>
                          </m:rPr>
                          <w:rPr>
                            <w:rFonts w:ascii="Cambria Math" w:hAnsi="Cambria Math" w:cstheme="minorHAnsi"/>
                            <w:sz w:val="24"/>
                            <w:szCs w:val="24"/>
                          </w:rPr>
                          <m:t>e</m:t>
                        </m:r>
                      </m:e>
                    </m:d>
                    <m:r>
                      <w:rPr>
                        <w:rFonts w:ascii="Cambria Math" w:hAnsi="Cambria Math" w:cstheme="minorHAnsi"/>
                        <w:sz w:val="24"/>
                        <w:szCs w:val="24"/>
                      </w:rPr>
                      <m:t>,</m:t>
                    </m:r>
                  </m:e>
                </m:nary>
                <m:r>
                  <w:rPr>
                    <w:rFonts w:ascii="Cambria Math" w:eastAsiaTheme="minorEastAsia" w:hAnsi="Cambria Math"/>
                    <w:sz w:val="24"/>
                    <w:szCs w:val="24"/>
                  </w:rPr>
                  <m:t xml:space="preserve"> in our case </m:t>
                </m:r>
                <m:sSub>
                  <m:sSubPr>
                    <m:ctrlPr>
                      <w:rPr>
                        <w:rFonts w:ascii="Cambria Math" w:hAnsi="Cambria Math" w:cstheme="minorHAnsi"/>
                        <w:sz w:val="24"/>
                        <w:szCs w:val="24"/>
                      </w:rPr>
                    </m:ctrlPr>
                  </m:sSubPr>
                  <m:e>
                    <m:r>
                      <m:rPr>
                        <m:sty m:val="p"/>
                      </m:rPr>
                      <w:rPr>
                        <w:rFonts w:ascii="Cambria Math" w:hAnsi="Cambria Math" w:cstheme="minorHAnsi"/>
                        <w:sz w:val="24"/>
                        <w:szCs w:val="24"/>
                      </w:rPr>
                      <m:t>θ</m:t>
                    </m:r>
                  </m:e>
                  <m:sub>
                    <m:r>
                      <m:rPr>
                        <m:sty m:val="p"/>
                      </m:rPr>
                      <w:rPr>
                        <w:rFonts w:ascii="Cambria Math" w:hAnsi="Cambria Math" w:cstheme="minorHAnsi"/>
                        <w:sz w:val="24"/>
                        <w:szCs w:val="24"/>
                      </w:rPr>
                      <m:t>D</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4-1</m:t>
                    </m:r>
                  </m:den>
                </m:f>
                <m:nary>
                  <m:naryPr>
                    <m:chr m:val="∑"/>
                    <m:ctrlPr>
                      <w:rPr>
                        <w:rFonts w:ascii="Cambria Math" w:hAnsi="Cambria Math" w:cstheme="minorHAnsi"/>
                        <w:sz w:val="24"/>
                        <w:szCs w:val="24"/>
                      </w:rPr>
                    </m:ctrlPr>
                  </m:naryPr>
                  <m:sub>
                    <m:r>
                      <m:rPr>
                        <m:sty m:val="p"/>
                      </m:rPr>
                      <w:rPr>
                        <w:rFonts w:ascii="Cambria Math" w:hAnsi="Cambria Math" w:cstheme="minorHAnsi"/>
                        <w:sz w:val="24"/>
                        <w:szCs w:val="24"/>
                      </w:rPr>
                      <m:t>e=1</m:t>
                    </m:r>
                  </m:sub>
                  <m:sup>
                    <m:r>
                      <m:rPr>
                        <m:sty m:val="p"/>
                      </m:rPr>
                      <w:rPr>
                        <w:rFonts w:ascii="Cambria Math" w:hAnsi="Cambria Math" w:cstheme="minorHAnsi"/>
                        <w:sz w:val="24"/>
                        <w:szCs w:val="24"/>
                      </w:rPr>
                      <m:t>4-1</m:t>
                    </m:r>
                  </m:sup>
                  <m:e>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m:rPr>
                                <m:sty m:val="p"/>
                              </m:rPr>
                              <w:rPr>
                                <w:rFonts w:ascii="Cambria Math" w:hAnsi="Cambria Math" w:cstheme="minorHAnsi"/>
                                <w:sz w:val="24"/>
                                <w:szCs w:val="24"/>
                              </w:rPr>
                              <m:t>θ</m:t>
                            </m:r>
                          </m:e>
                        </m:bar>
                      </m:e>
                      <m:sub>
                        <m:r>
                          <m:rPr>
                            <m:sty m:val="p"/>
                          </m:rPr>
                          <w:rPr>
                            <w:rFonts w:ascii="Cambria Math" w:hAnsi="Cambria Math" w:cstheme="minorHAnsi"/>
                            <w:sz w:val="24"/>
                            <w:szCs w:val="24"/>
                          </w:rPr>
                          <m:t>D</m:t>
                        </m:r>
                      </m:sub>
                    </m:sSub>
                    <m:d>
                      <m:dPr>
                        <m:ctrlPr>
                          <w:rPr>
                            <w:rFonts w:ascii="Cambria Math" w:hAnsi="Cambria Math" w:cstheme="minorHAnsi"/>
                            <w:sz w:val="24"/>
                            <w:szCs w:val="24"/>
                          </w:rPr>
                        </m:ctrlPr>
                      </m:dPr>
                      <m:e>
                        <m:r>
                          <m:rPr>
                            <m:sty m:val="p"/>
                          </m:rPr>
                          <w:rPr>
                            <w:rFonts w:ascii="Cambria Math" w:hAnsi="Cambria Math" w:cstheme="minorHAnsi"/>
                            <w:sz w:val="24"/>
                            <w:szCs w:val="24"/>
                          </w:rPr>
                          <m:t>e</m:t>
                        </m:r>
                      </m:e>
                    </m:d>
                    <m:r>
                      <w:rPr>
                        <w:rFonts w:ascii="Cambria Math" w:hAnsi="Cambria Math" w:cstheme="minorHAnsi"/>
                        <w:sz w:val="24"/>
                        <w:szCs w:val="24"/>
                      </w:rPr>
                      <m:t>,</m:t>
                    </m:r>
                  </m:e>
                </m:nary>
              </m:oMath>
            </m:oMathPara>
          </w:p>
        </w:tc>
        <w:tc>
          <w:tcPr>
            <w:tcW w:w="212" w:type="pct"/>
          </w:tcPr>
          <w:p w14:paraId="7E28AE71" w14:textId="531E8A38" w:rsidR="00265F59" w:rsidRDefault="00265F59" w:rsidP="00A7104F">
            <w:pPr>
              <w:spacing w:line="360" w:lineRule="auto"/>
              <w:jc w:val="both"/>
              <w:rPr>
                <w:rFonts w:eastAsiaTheme="minorEastAsia"/>
                <w:sz w:val="24"/>
                <w:szCs w:val="24"/>
              </w:rPr>
            </w:pPr>
            <w:r>
              <w:t>(</w:t>
            </w:r>
            <w:r>
              <w:fldChar w:fldCharType="begin"/>
            </w:r>
            <w:r>
              <w:instrText xml:space="preserve"> SEQ Eq. \* ARABIC </w:instrText>
            </w:r>
            <w:r>
              <w:fldChar w:fldCharType="separate"/>
            </w:r>
            <w:r>
              <w:rPr>
                <w:noProof/>
              </w:rPr>
              <w:t>7</w:t>
            </w:r>
            <w:r>
              <w:rPr>
                <w:noProof/>
              </w:rPr>
              <w:fldChar w:fldCharType="end"/>
            </w:r>
            <w:r>
              <w:t>)</w:t>
            </w:r>
          </w:p>
        </w:tc>
      </w:tr>
    </w:tbl>
    <w:p w14:paraId="20200BE2" w14:textId="64DF37F6" w:rsidR="00265F59" w:rsidRPr="00265F59" w:rsidRDefault="00265F59" w:rsidP="004102B8">
      <w:pPr>
        <w:spacing w:line="360" w:lineRule="auto"/>
        <w:jc w:val="both"/>
        <w:rPr>
          <w:rFonts w:eastAsiaTheme="minorEastAsia"/>
          <w:sz w:val="23"/>
          <w:szCs w:val="23"/>
        </w:rPr>
      </w:pPr>
    </w:p>
    <w:p w14:paraId="77B53D72" w14:textId="2EDC41C3" w:rsidR="00626236" w:rsidRPr="006C019D" w:rsidRDefault="006548FE"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00CD4644" w:rsidRPr="006C019D">
        <w:rPr>
          <w:rFonts w:asciiTheme="minorHAnsi" w:hAnsiTheme="minorHAnsi" w:cstheme="minorHAnsi"/>
          <w:color w:val="auto"/>
          <w:sz w:val="24"/>
          <w:szCs w:val="24"/>
        </w:rPr>
        <w:t>6</w:t>
      </w:r>
      <w:r w:rsidRPr="006C019D">
        <w:rPr>
          <w:rFonts w:asciiTheme="minorHAnsi" w:hAnsiTheme="minorHAnsi" w:cstheme="minorHAnsi"/>
          <w:color w:val="auto"/>
          <w:sz w:val="24"/>
          <w:szCs w:val="24"/>
        </w:rPr>
        <w:t xml:space="preserve">. </w:t>
      </w:r>
      <w:r w:rsidR="00FA5CA3" w:rsidRPr="006C019D">
        <w:rPr>
          <w:rFonts w:asciiTheme="minorHAnsi" w:hAnsiTheme="minorHAnsi" w:cstheme="minorHAnsi"/>
          <w:color w:val="auto"/>
          <w:sz w:val="24"/>
          <w:szCs w:val="24"/>
        </w:rPr>
        <w:t>Bootstrapping</w:t>
      </w:r>
    </w:p>
    <w:p w14:paraId="3B2D54EE" w14:textId="50FFF733" w:rsidR="00E90A95" w:rsidRDefault="006E0548" w:rsidP="008216EF">
      <w:pPr>
        <w:spacing w:line="360" w:lineRule="auto"/>
        <w:ind w:firstLine="397"/>
        <w:jc w:val="both"/>
        <w:rPr>
          <w:rFonts w:eastAsiaTheme="minorEastAsia"/>
          <w:sz w:val="24"/>
          <w:szCs w:val="24"/>
        </w:rPr>
      </w:pPr>
      <w:r>
        <w:rPr>
          <w:rFonts w:eastAsiaTheme="minorEastAsia"/>
          <w:sz w:val="24"/>
          <w:szCs w:val="24"/>
        </w:rPr>
        <w:t>To solve the problem of</w:t>
      </w:r>
      <w:r w:rsidR="00774CCB">
        <w:rPr>
          <w:rFonts w:eastAsiaTheme="minorEastAsia"/>
          <w:sz w:val="24"/>
          <w:szCs w:val="24"/>
        </w:rPr>
        <w:t xml:space="preserve"> endogeneity of intervention</w:t>
      </w:r>
      <w:r w:rsidR="00177493">
        <w:rPr>
          <w:rFonts w:eastAsiaTheme="minorEastAsia"/>
          <w:sz w:val="24"/>
          <w:szCs w:val="24"/>
        </w:rPr>
        <w:t xml:space="preserve">, </w:t>
      </w:r>
      <w:r>
        <w:rPr>
          <w:rFonts w:eastAsiaTheme="minorEastAsia"/>
          <w:sz w:val="24"/>
          <w:szCs w:val="24"/>
        </w:rPr>
        <w:t>serial correlation,</w:t>
      </w:r>
      <w:r w:rsidR="00FA5CA3">
        <w:rPr>
          <w:rFonts w:eastAsiaTheme="minorEastAsia"/>
          <w:sz w:val="24"/>
          <w:szCs w:val="24"/>
        </w:rPr>
        <w:t xml:space="preserve"> </w:t>
      </w:r>
      <w:r w:rsidR="00177493">
        <w:rPr>
          <w:rFonts w:eastAsiaTheme="minorEastAsia"/>
          <w:sz w:val="24"/>
          <w:szCs w:val="24"/>
        </w:rPr>
        <w:t xml:space="preserve">and to set up the </w:t>
      </w:r>
      <w:r w:rsidR="00FA5CA3">
        <w:rPr>
          <w:rFonts w:eastAsiaTheme="minorEastAsia"/>
          <w:sz w:val="24"/>
          <w:szCs w:val="24"/>
        </w:rPr>
        <w:t>estimat</w:t>
      </w:r>
      <w:r w:rsidR="00177493">
        <w:rPr>
          <w:rFonts w:eastAsiaTheme="minorEastAsia"/>
          <w:sz w:val="24"/>
          <w:szCs w:val="24"/>
        </w:rPr>
        <w:t xml:space="preserve">ion of </w:t>
      </w:r>
      <w:r w:rsidR="00FA5CA3">
        <w:rPr>
          <w:rFonts w:eastAsiaTheme="minorEastAsia"/>
          <w:sz w:val="24"/>
          <w:szCs w:val="24"/>
        </w:rPr>
        <w:t>the propensity score given the covariate</w:t>
      </w:r>
      <w:r w:rsidR="007D14E8">
        <w:rPr>
          <w:rFonts w:eastAsiaTheme="minorEastAsia"/>
          <w:sz w:val="24"/>
          <w:szCs w:val="24"/>
        </w:rPr>
        <w:t>s</w:t>
      </w:r>
      <w:r w:rsidR="00FA5CA3">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g</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177493">
        <w:rPr>
          <w:rFonts w:eastAsiaTheme="minorEastAsia"/>
          <w:sz w:val="24"/>
          <w:szCs w:val="24"/>
        </w:rPr>
        <w:t xml:space="preserve">, </w:t>
      </w:r>
      <w:r w:rsidR="00FA5CA3">
        <w:rPr>
          <w:rFonts w:eastAsiaTheme="minorEastAsia"/>
          <w:sz w:val="24"/>
          <w:szCs w:val="24"/>
        </w:rPr>
        <w:t xml:space="preserve">I will also implement the augmented bootstrap procedure introduced by </w:t>
      </w:r>
      <w:r w:rsidR="00CA4DC0">
        <w:rPr>
          <w:sz w:val="24"/>
          <w:szCs w:val="24"/>
        </w:rPr>
        <w:t xml:space="preserve">Callaway &amp; </w:t>
      </w:r>
      <w:proofErr w:type="spellStart"/>
      <w:r w:rsidR="00CA4DC0">
        <w:rPr>
          <w:sz w:val="24"/>
          <w:szCs w:val="24"/>
        </w:rPr>
        <w:t>Sant’Anna</w:t>
      </w:r>
      <w:proofErr w:type="spellEnd"/>
      <w:r w:rsidR="00CA4DC0">
        <w:rPr>
          <w:sz w:val="24"/>
          <w:szCs w:val="24"/>
        </w:rPr>
        <w:t xml:space="preserve"> (2018)</w:t>
      </w:r>
      <w:r w:rsidR="00FA5CA3">
        <w:rPr>
          <w:sz w:val="24"/>
          <w:szCs w:val="24"/>
        </w:rPr>
        <w:t>.</w:t>
      </w:r>
      <w:r w:rsidR="00252CF0">
        <w:rPr>
          <w:sz w:val="24"/>
          <w:szCs w:val="24"/>
        </w:rPr>
        <w:t xml:space="preserve"> It is called augmented because it leverages the asymptotic linear representations </w:t>
      </w:r>
      <w:r w:rsidR="000A7C88">
        <w:rPr>
          <w:sz w:val="24"/>
          <w:szCs w:val="24"/>
        </w:rPr>
        <w:t xml:space="preserve">and, in each </w:t>
      </w:r>
      <w:r w:rsidR="00A966F9">
        <w:rPr>
          <w:sz w:val="24"/>
          <w:szCs w:val="24"/>
        </w:rPr>
        <w:t>iteration,</w:t>
      </w:r>
      <w:r w:rsidR="00252CF0">
        <w:rPr>
          <w:sz w:val="24"/>
          <w:szCs w:val="24"/>
        </w:rPr>
        <w:t xml:space="preserve"> there </w:t>
      </w:r>
      <w:r w:rsidR="007D14E8">
        <w:rPr>
          <w:sz w:val="24"/>
          <w:szCs w:val="24"/>
        </w:rPr>
        <w:t>are</w:t>
      </w:r>
      <w:r w:rsidR="00252CF0">
        <w:rPr>
          <w:sz w:val="24"/>
          <w:szCs w:val="24"/>
        </w:rPr>
        <w:t xml:space="preserve"> always observation</w:t>
      </w:r>
      <w:r w:rsidR="007D14E8">
        <w:rPr>
          <w:sz w:val="24"/>
          <w:szCs w:val="24"/>
        </w:rPr>
        <w:t>s</w:t>
      </w:r>
      <w:r w:rsidR="00252CF0">
        <w:rPr>
          <w:sz w:val="24"/>
          <w:szCs w:val="24"/>
        </w:rPr>
        <w:t xml:space="preserve"> from each group</w:t>
      </w:r>
      <w:r w:rsidR="00177493">
        <w:rPr>
          <w:sz w:val="24"/>
          <w:szCs w:val="24"/>
        </w:rPr>
        <w:t xml:space="preserve"> (2007-2009)</w:t>
      </w:r>
      <w:r w:rsidR="00252CF0">
        <w:rPr>
          <w:sz w:val="24"/>
          <w:szCs w:val="24"/>
        </w:rPr>
        <w:t xml:space="preserve">, unlike in traditional bootstrap where there may be missing groups in each draw. </w:t>
      </w:r>
      <w:r w:rsidR="007D14E8">
        <w:rPr>
          <w:sz w:val="24"/>
          <w:szCs w:val="24"/>
        </w:rPr>
        <w:t>A f</w:t>
      </w:r>
      <w:r w:rsidR="00E90A95">
        <w:rPr>
          <w:sz w:val="24"/>
          <w:szCs w:val="24"/>
        </w:rPr>
        <w:t>u</w:t>
      </w:r>
      <w:r w:rsidR="007D14E8">
        <w:rPr>
          <w:sz w:val="24"/>
          <w:szCs w:val="24"/>
        </w:rPr>
        <w:t>r</w:t>
      </w:r>
      <w:r w:rsidR="00E90A95">
        <w:rPr>
          <w:sz w:val="24"/>
          <w:szCs w:val="24"/>
        </w:rPr>
        <w:t>ther advantage of the simple multiplier bootstrap is that it uses simultaneous con</w:t>
      </w:r>
      <w:r w:rsidR="007D14E8">
        <w:rPr>
          <w:sz w:val="24"/>
          <w:szCs w:val="24"/>
        </w:rPr>
        <w:t>fid</w:t>
      </w:r>
      <w:r w:rsidR="00E90A95">
        <w:rPr>
          <w:sz w:val="24"/>
          <w:szCs w:val="24"/>
        </w:rPr>
        <w:t xml:space="preserve">ence bands which catches all the </w:t>
      </w:r>
      <m:oMath>
        <m:r>
          <w:rPr>
            <w:rFonts w:ascii="Cambria Math" w:hAnsi="Cambria Math"/>
            <w:sz w:val="24"/>
            <w:szCs w:val="24"/>
          </w:rPr>
          <m:t>ATT</m:t>
        </m:r>
        <m:d>
          <m:dPr>
            <m:ctrlPr>
              <w:rPr>
                <w:rFonts w:ascii="Cambria Math" w:hAnsi="Cambria Math"/>
                <w:i/>
                <w:sz w:val="24"/>
                <w:szCs w:val="24"/>
              </w:rPr>
            </m:ctrlPr>
          </m:dPr>
          <m:e>
            <m:r>
              <w:rPr>
                <w:rFonts w:ascii="Cambria Math" w:hAnsi="Cambria Math"/>
                <w:sz w:val="24"/>
                <w:szCs w:val="24"/>
              </w:rPr>
              <m:t>g,t</m:t>
            </m:r>
          </m:e>
        </m:d>
      </m:oMath>
      <w:r w:rsidR="00E90A95">
        <w:rPr>
          <w:rFonts w:eastAsiaTheme="minorEastAsia"/>
          <w:sz w:val="24"/>
          <w:szCs w:val="24"/>
        </w:rPr>
        <w:t xml:space="preserve"> with a probability </w:t>
      </w:r>
      <w:r w:rsidR="007D14E8">
        <w:rPr>
          <w:rFonts w:eastAsiaTheme="minorEastAsia"/>
          <w:sz w:val="24"/>
          <w:szCs w:val="24"/>
        </w:rPr>
        <w:t xml:space="preserve">of </w:t>
      </w:r>
      <w:r w:rsidR="00E90A95">
        <w:rPr>
          <w:rFonts w:eastAsiaTheme="minorEastAsia"/>
          <w:sz w:val="24"/>
          <w:szCs w:val="24"/>
        </w:rPr>
        <w:t xml:space="preserve">at least </w:t>
      </w:r>
      <m:oMath>
        <m:r>
          <w:rPr>
            <w:rFonts w:ascii="Cambria Math" w:eastAsiaTheme="minorEastAsia" w:hAnsi="Cambria Math"/>
            <w:sz w:val="24"/>
            <w:szCs w:val="24"/>
          </w:rPr>
          <m:t>1-</m:t>
        </m:r>
        <m:r>
          <m:rPr>
            <m:sty m:val="p"/>
          </m:rPr>
          <w:rPr>
            <w:rFonts w:ascii="Cambria Math" w:eastAsiaTheme="minorEastAsia" w:hAnsi="Cambria Math"/>
            <w:sz w:val="24"/>
            <w:szCs w:val="24"/>
          </w:rPr>
          <m:t>α</m:t>
        </m:r>
      </m:oMath>
      <w:r w:rsidR="00956821">
        <w:rPr>
          <w:rFonts w:eastAsiaTheme="minorEastAsia"/>
          <w:sz w:val="24"/>
          <w:szCs w:val="24"/>
        </w:rPr>
        <w:t xml:space="preserve">, where </w:t>
      </w:r>
      <m:oMath>
        <m:r>
          <m:rPr>
            <m:sty m:val="p"/>
          </m:rPr>
          <w:rPr>
            <w:rFonts w:ascii="Cambria Math" w:eastAsiaTheme="minorEastAsia" w:hAnsi="Cambria Math"/>
            <w:sz w:val="24"/>
            <w:szCs w:val="24"/>
          </w:rPr>
          <m:t>α</m:t>
        </m:r>
      </m:oMath>
      <w:r w:rsidR="00956821">
        <w:rPr>
          <w:rFonts w:eastAsiaTheme="minorEastAsia"/>
          <w:sz w:val="24"/>
          <w:szCs w:val="24"/>
        </w:rPr>
        <w:t xml:space="preserve"> is the significance level. </w:t>
      </w:r>
      <w:r w:rsidR="00587760">
        <w:rPr>
          <w:rFonts w:eastAsiaTheme="minorEastAsia"/>
          <w:sz w:val="24"/>
          <w:szCs w:val="24"/>
        </w:rPr>
        <w:t xml:space="preserve"> The parametric implementation of boots</w:t>
      </w:r>
      <w:r w:rsidR="007D14E8">
        <w:rPr>
          <w:rFonts w:eastAsiaTheme="minorEastAsia"/>
          <w:sz w:val="24"/>
          <w:szCs w:val="24"/>
        </w:rPr>
        <w:t>t</w:t>
      </w:r>
      <w:r w:rsidR="00587760">
        <w:rPr>
          <w:rFonts w:eastAsiaTheme="minorEastAsia"/>
          <w:sz w:val="24"/>
          <w:szCs w:val="24"/>
        </w:rPr>
        <w:t>rap extends beyond the paper, therefore it will not be discussed further</w:t>
      </w:r>
      <w:r w:rsidR="00971C1A">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587760">
        <w:rPr>
          <w:rFonts w:eastAsiaTheme="minorEastAsia"/>
          <w:sz w:val="24"/>
          <w:szCs w:val="24"/>
        </w:rPr>
        <w:t xml:space="preserve">. </w:t>
      </w:r>
    </w:p>
    <w:p w14:paraId="06491603" w14:textId="74DE3934" w:rsidR="00773673" w:rsidRPr="006C019D" w:rsidRDefault="006548FE"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3.4.</w:t>
      </w:r>
      <w:r w:rsidR="008277FC" w:rsidRPr="006C019D">
        <w:rPr>
          <w:rFonts w:asciiTheme="minorHAnsi" w:hAnsiTheme="minorHAnsi" w:cstheme="minorHAnsi"/>
          <w:color w:val="auto"/>
          <w:sz w:val="24"/>
          <w:szCs w:val="24"/>
        </w:rPr>
        <w:t>2.</w:t>
      </w:r>
      <w:r w:rsidR="00CD4644" w:rsidRPr="006C019D">
        <w:rPr>
          <w:rFonts w:asciiTheme="minorHAnsi" w:hAnsiTheme="minorHAnsi" w:cstheme="minorHAnsi"/>
          <w:color w:val="auto"/>
          <w:sz w:val="24"/>
          <w:szCs w:val="24"/>
        </w:rPr>
        <w:t>7</w:t>
      </w:r>
      <w:r w:rsidRPr="006C019D">
        <w:rPr>
          <w:rFonts w:asciiTheme="minorHAnsi" w:hAnsiTheme="minorHAnsi" w:cstheme="minorHAnsi"/>
          <w:color w:val="auto"/>
          <w:sz w:val="24"/>
          <w:szCs w:val="24"/>
        </w:rPr>
        <w:t xml:space="preserve">. </w:t>
      </w:r>
      <w:r w:rsidR="00773673" w:rsidRPr="006C019D">
        <w:rPr>
          <w:rFonts w:asciiTheme="minorHAnsi" w:hAnsiTheme="minorHAnsi" w:cstheme="minorHAnsi"/>
          <w:color w:val="auto"/>
          <w:sz w:val="24"/>
          <w:szCs w:val="24"/>
        </w:rPr>
        <w:t>Pre-testing the Conditional PTA</w:t>
      </w:r>
    </w:p>
    <w:p w14:paraId="6955A940" w14:textId="07CD0046" w:rsidR="00915D4D" w:rsidRPr="001C713C" w:rsidRDefault="00CF134B" w:rsidP="008216EF">
      <w:pPr>
        <w:spacing w:line="360" w:lineRule="auto"/>
        <w:ind w:firstLine="397"/>
        <w:jc w:val="both"/>
        <w:rPr>
          <w:rFonts w:eastAsiaTheme="minorEastAsia"/>
          <w:sz w:val="24"/>
          <w:szCs w:val="24"/>
        </w:rPr>
      </w:pPr>
      <w:r>
        <w:rPr>
          <w:rFonts w:eastAsiaTheme="minorEastAsia"/>
          <w:sz w:val="24"/>
          <w:szCs w:val="24"/>
        </w:rPr>
        <w:t xml:space="preserve">Previously we introduced a powerful design </w:t>
      </w:r>
      <w:r w:rsidR="007D14E8">
        <w:rPr>
          <w:rFonts w:eastAsiaTheme="minorEastAsia"/>
          <w:sz w:val="24"/>
          <w:szCs w:val="24"/>
        </w:rPr>
        <w:t>that</w:t>
      </w:r>
      <w:r>
        <w:rPr>
          <w:rFonts w:eastAsiaTheme="minorEastAsia"/>
          <w:sz w:val="24"/>
          <w:szCs w:val="24"/>
        </w:rPr>
        <w:t xml:space="preserve"> can nonparametrically identify asymptotically valid inference about the causal effect of parental separation on academic performance</w:t>
      </w:r>
      <w:r w:rsidR="00470F86">
        <w:rPr>
          <w:rFonts w:eastAsiaTheme="minorEastAsia"/>
          <w:sz w:val="24"/>
          <w:szCs w:val="24"/>
        </w:rPr>
        <w:t xml:space="preserve">, using conditional </w:t>
      </w:r>
      <w:r w:rsidR="00351414">
        <w:rPr>
          <w:rFonts w:eastAsiaTheme="minorEastAsia"/>
          <w:sz w:val="24"/>
          <w:szCs w:val="24"/>
        </w:rPr>
        <w:t>(</w:t>
      </w:r>
      <w:r w:rsidR="00F36C29">
        <w:rPr>
          <w:rFonts w:eastAsiaTheme="minorEastAsia"/>
          <w:sz w:val="24"/>
          <w:szCs w:val="24"/>
        </w:rPr>
        <w:t xml:space="preserve">and </w:t>
      </w:r>
      <w:r w:rsidR="00351414">
        <w:rPr>
          <w:rFonts w:eastAsiaTheme="minorEastAsia"/>
          <w:sz w:val="24"/>
          <w:szCs w:val="24"/>
        </w:rPr>
        <w:t xml:space="preserve">unconditional) </w:t>
      </w:r>
      <w:r w:rsidR="00470F86">
        <w:rPr>
          <w:rFonts w:eastAsiaTheme="minorEastAsia"/>
          <w:sz w:val="24"/>
          <w:szCs w:val="24"/>
        </w:rPr>
        <w:t xml:space="preserve">multi-period dynamic DID models. </w:t>
      </w:r>
      <w:r w:rsidR="009D6AE0">
        <w:rPr>
          <w:rFonts w:eastAsiaTheme="minorEastAsia"/>
          <w:sz w:val="24"/>
          <w:szCs w:val="24"/>
        </w:rPr>
        <w:t xml:space="preserve">Although, all the above </w:t>
      </w:r>
      <w:r w:rsidR="00997883">
        <w:rPr>
          <w:rFonts w:eastAsiaTheme="minorEastAsia"/>
          <w:sz w:val="24"/>
          <w:szCs w:val="24"/>
        </w:rPr>
        <w:t>are</w:t>
      </w:r>
      <w:r w:rsidR="009D6AE0">
        <w:rPr>
          <w:rFonts w:eastAsiaTheme="minorEastAsia"/>
          <w:sz w:val="24"/>
          <w:szCs w:val="24"/>
        </w:rPr>
        <w:t xml:space="preserve"> heavily dependent on the Conditional PTA, which is fundamentally untestable. However</w:t>
      </w:r>
      <w:r w:rsidR="004E7BF2">
        <w:rPr>
          <w:rFonts w:eastAsiaTheme="minorEastAsia"/>
          <w:sz w:val="24"/>
          <w:szCs w:val="24"/>
        </w:rPr>
        <w:t>,</w:t>
      </w:r>
      <w:r w:rsidR="009D6AE0">
        <w:rPr>
          <w:rFonts w:eastAsiaTheme="minorEastAsia"/>
          <w:sz w:val="24"/>
          <w:szCs w:val="24"/>
        </w:rPr>
        <w:t xml:space="preserve"> </w:t>
      </w:r>
      <w:r w:rsidR="00CA4DC0">
        <w:rPr>
          <w:sz w:val="24"/>
          <w:szCs w:val="24"/>
        </w:rPr>
        <w:t xml:space="preserve">Callaway &amp; </w:t>
      </w:r>
      <w:proofErr w:type="spellStart"/>
      <w:r w:rsidR="00CA4DC0">
        <w:rPr>
          <w:sz w:val="24"/>
          <w:szCs w:val="24"/>
        </w:rPr>
        <w:t>Sant’Anna</w:t>
      </w:r>
      <w:proofErr w:type="spellEnd"/>
      <w:r w:rsidR="00CA4DC0">
        <w:rPr>
          <w:sz w:val="24"/>
          <w:szCs w:val="24"/>
        </w:rPr>
        <w:t xml:space="preserve"> (2018)</w:t>
      </w:r>
      <w:r w:rsidR="009D6AE0">
        <w:rPr>
          <w:sz w:val="24"/>
          <w:szCs w:val="24"/>
        </w:rPr>
        <w:t xml:space="preserve"> came up with a stronger version which assumes that Conditional PTA holds for all periods </w:t>
      </w:r>
      <m:oMath>
        <m:r>
          <w:rPr>
            <w:rFonts w:ascii="Cambria Math" w:hAnsi="Cambria Math"/>
            <w:sz w:val="24"/>
            <w:szCs w:val="24"/>
          </w:rPr>
          <m:t>t</m:t>
        </m:r>
      </m:oMath>
      <w:r w:rsidR="009D6AE0">
        <w:rPr>
          <w:rFonts w:eastAsiaTheme="minorEastAsia"/>
          <w:sz w:val="24"/>
          <w:szCs w:val="24"/>
        </w:rPr>
        <w:t xml:space="preserve"> (including treatment periods), not only for </w:t>
      </w:r>
      <m:oMath>
        <m:r>
          <w:rPr>
            <w:rFonts w:ascii="Cambria Math" w:eastAsiaTheme="minorEastAsia" w:hAnsi="Cambria Math"/>
            <w:sz w:val="24"/>
            <w:szCs w:val="24"/>
          </w:rPr>
          <m:t>g≤t</m:t>
        </m:r>
      </m:oMath>
      <w:r w:rsidR="009D6AE0">
        <w:rPr>
          <w:rFonts w:eastAsiaTheme="minorEastAsia"/>
          <w:sz w:val="24"/>
          <w:szCs w:val="24"/>
        </w:rPr>
        <w:t xml:space="preserve"> (pre-treatment periods)</w:t>
      </w:r>
      <w:r w:rsidR="000D7C9D">
        <w:rPr>
          <w:rFonts w:eastAsiaTheme="minorEastAsia"/>
          <w:sz w:val="24"/>
          <w:szCs w:val="24"/>
        </w:rPr>
        <w:t xml:space="preserve">, thus it </w:t>
      </w:r>
      <w:r w:rsidR="007D14E8">
        <w:rPr>
          <w:rFonts w:eastAsiaTheme="minorEastAsia"/>
          <w:sz w:val="24"/>
          <w:szCs w:val="24"/>
        </w:rPr>
        <w:t>can</w:t>
      </w:r>
      <w:r w:rsidR="000D7C9D">
        <w:rPr>
          <w:rFonts w:eastAsiaTheme="minorEastAsia"/>
          <w:sz w:val="24"/>
          <w:szCs w:val="24"/>
        </w:rPr>
        <w:t xml:space="preserve"> detect </w:t>
      </w:r>
      <w:r w:rsidR="007D14E8">
        <w:rPr>
          <w:rFonts w:eastAsiaTheme="minorEastAsia"/>
          <w:sz w:val="24"/>
          <w:szCs w:val="24"/>
        </w:rPr>
        <w:t xml:space="preserve">a </w:t>
      </w:r>
      <w:r w:rsidR="000D7C9D">
        <w:rPr>
          <w:rFonts w:eastAsiaTheme="minorEastAsia"/>
          <w:sz w:val="24"/>
          <w:szCs w:val="24"/>
        </w:rPr>
        <w:t xml:space="preserve">broader set of violations of the more rigid condition. </w:t>
      </w:r>
      <w:r w:rsidR="007D4531">
        <w:rPr>
          <w:rFonts w:eastAsiaTheme="minorEastAsia"/>
          <w:sz w:val="24"/>
          <w:szCs w:val="24"/>
        </w:rPr>
        <w:t>Also</w:t>
      </w:r>
      <w:r w:rsidR="007D14E8">
        <w:rPr>
          <w:rFonts w:eastAsiaTheme="minorEastAsia"/>
          <w:sz w:val="24"/>
          <w:szCs w:val="24"/>
        </w:rPr>
        <w:t>,</w:t>
      </w:r>
      <w:r w:rsidR="007D4531">
        <w:rPr>
          <w:rFonts w:eastAsiaTheme="minorEastAsia"/>
          <w:sz w:val="24"/>
          <w:szCs w:val="24"/>
        </w:rPr>
        <w:t xml:space="preserve"> they argued that the “curse of dimensionality” does not allow for feasible testing</w:t>
      </w:r>
      <w:r w:rsidR="00694B63">
        <w:rPr>
          <w:rFonts w:eastAsiaTheme="minorEastAsia"/>
          <w:sz w:val="24"/>
          <w:szCs w:val="24"/>
        </w:rPr>
        <w:t>,</w:t>
      </w:r>
      <w:r w:rsidR="007D4531">
        <w:rPr>
          <w:rFonts w:eastAsiaTheme="minorEastAsia"/>
          <w:sz w:val="24"/>
          <w:szCs w:val="24"/>
        </w:rPr>
        <w:t xml:space="preserve"> therefore we should build our testing</w:t>
      </w:r>
      <w:r w:rsidR="001A32C7">
        <w:rPr>
          <w:rFonts w:eastAsiaTheme="minorEastAsia"/>
          <w:sz w:val="24"/>
          <w:szCs w:val="24"/>
        </w:rPr>
        <w:t xml:space="preserve"> (Wald-test)</w:t>
      </w:r>
      <w:r w:rsidR="007D4531">
        <w:rPr>
          <w:rFonts w:eastAsiaTheme="minorEastAsia"/>
          <w:sz w:val="24"/>
          <w:szCs w:val="24"/>
        </w:rPr>
        <w:t xml:space="preserve"> on the</w:t>
      </w:r>
      <w:r w:rsidR="00293847">
        <w:rPr>
          <w:rFonts w:eastAsiaTheme="minorEastAsia"/>
          <w:sz w:val="24"/>
          <w:szCs w:val="24"/>
        </w:rPr>
        <w:t xml:space="preserve"> ICM</w:t>
      </w:r>
      <w:r w:rsidR="007D4531">
        <w:rPr>
          <w:rFonts w:eastAsiaTheme="minorEastAsia"/>
          <w:sz w:val="24"/>
          <w:szCs w:val="24"/>
        </w:rPr>
        <w:t xml:space="preserve"> approach</w:t>
      </w:r>
      <w:r w:rsidR="00510EF2">
        <w:rPr>
          <w:rFonts w:eastAsiaTheme="minorEastAsia"/>
          <w:sz w:val="24"/>
          <w:szCs w:val="24"/>
        </w:rPr>
        <w:t xml:space="preserve"> which was first used by the authors</w:t>
      </w:r>
      <w:r w:rsidR="00BA1C68">
        <w:rPr>
          <w:rFonts w:eastAsiaTheme="minorEastAsia"/>
          <w:sz w:val="24"/>
          <w:szCs w:val="24"/>
        </w:rPr>
        <w:t xml:space="preserve"> (</w:t>
      </w:r>
      <w:r w:rsidR="00BA1C68" w:rsidRPr="00BA1C68">
        <w:rPr>
          <w:rFonts w:eastAsiaTheme="minorEastAsia"/>
          <w:i/>
          <w:iCs/>
          <w:sz w:val="24"/>
          <w:szCs w:val="24"/>
        </w:rPr>
        <w:t>H</w:t>
      </w:r>
      <w:r w:rsidR="00BA1C68" w:rsidRPr="00BA1C68">
        <w:rPr>
          <w:rFonts w:eastAsiaTheme="minorEastAsia"/>
          <w:i/>
          <w:iCs/>
          <w:sz w:val="24"/>
          <w:szCs w:val="24"/>
          <w:vertAlign w:val="subscript"/>
        </w:rPr>
        <w:t>0</w:t>
      </w:r>
      <w:r w:rsidR="00BA1C68" w:rsidRPr="00BA1C68">
        <w:rPr>
          <w:rFonts w:eastAsiaTheme="minorEastAsia"/>
          <w:i/>
          <w:iCs/>
          <w:sz w:val="24"/>
          <w:szCs w:val="24"/>
        </w:rPr>
        <w:t>: The conditional PTA holds for all periods</w:t>
      </w:r>
      <w:r w:rsidR="00BA1C68">
        <w:rPr>
          <w:rFonts w:eastAsiaTheme="minorEastAsia"/>
          <w:sz w:val="24"/>
          <w:szCs w:val="24"/>
        </w:rPr>
        <w:t>)</w:t>
      </w:r>
      <w:r w:rsidR="003D49E5">
        <w:rPr>
          <w:rFonts w:eastAsiaTheme="minorEastAsia"/>
          <w:sz w:val="24"/>
          <w:szCs w:val="24"/>
        </w:rPr>
        <w:t xml:space="preserve"> </w:t>
      </w:r>
      <w:r w:rsidR="00971C1A">
        <w:rPr>
          <w:sz w:val="24"/>
          <w:szCs w:val="24"/>
        </w:rPr>
        <w:fldChar w:fldCharType="begin" w:fldLock="1"/>
      </w:r>
      <w:r w:rsidR="00971C1A">
        <w:rPr>
          <w:sz w:val="24"/>
          <w:szCs w:val="24"/>
        </w:rPr>
        <w:instrText>ADDIN CSL_CITATION {"citationItems":[{"id":"ITEM-1","itemData":{"abstract":"In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C.","non-dropping-particle":"","parse-names":false,"suffix":""}],"id":"ITEM-1","issued":{"date-parts":[["2018"]]},"page":"1-37","title":"Difference-in-Differences with Multiple Time Periods","type":"article-journal"},"uris":["http://www.mendeley.com/documents/?uuid=63cd0c6d-9827-41c9-82fd-2d9fac38e49b"]}],"mendeley":{"formattedCitation":"(Callaway &amp; Sant’Anna, 2018)","plainTextFormattedCitation":"(Callaway &amp; Sant’Anna, 2018)","previouslyFormattedCitation":"(Callaway &amp; Sant’Anna, 2018)"},"properties":{"noteIndex":0},"schema":"https://github.com/citation-style-language/schema/raw/master/csl-citation.json"}</w:instrText>
      </w:r>
      <w:r w:rsidR="00971C1A">
        <w:rPr>
          <w:sz w:val="24"/>
          <w:szCs w:val="24"/>
        </w:rPr>
        <w:fldChar w:fldCharType="separate"/>
      </w:r>
      <w:r w:rsidR="00971C1A" w:rsidRPr="00971C1A">
        <w:rPr>
          <w:noProof/>
          <w:sz w:val="24"/>
          <w:szCs w:val="24"/>
        </w:rPr>
        <w:t>(Callaway &amp; Sant’Anna, 2018)</w:t>
      </w:r>
      <w:r w:rsidR="00971C1A">
        <w:rPr>
          <w:sz w:val="24"/>
          <w:szCs w:val="24"/>
        </w:rPr>
        <w:fldChar w:fldCharType="end"/>
      </w:r>
      <w:r w:rsidR="00694B63">
        <w:rPr>
          <w:sz w:val="24"/>
          <w:szCs w:val="24"/>
        </w:rPr>
        <w:t>.</w:t>
      </w:r>
    </w:p>
    <w:p w14:paraId="5356DBBF" w14:textId="094B9A1E" w:rsidR="00915D4D" w:rsidRPr="006C019D" w:rsidRDefault="00312005" w:rsidP="008277F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w:t>
      </w:r>
      <w:r w:rsidR="00915D4D" w:rsidRPr="006C019D">
        <w:rPr>
          <w:rFonts w:asciiTheme="minorHAnsi" w:hAnsiTheme="minorHAnsi" w:cstheme="minorHAnsi"/>
          <w:color w:val="auto"/>
          <w:sz w:val="24"/>
          <w:szCs w:val="24"/>
        </w:rPr>
        <w:t>.4</w:t>
      </w:r>
      <w:r w:rsidR="008277FC" w:rsidRPr="006C019D">
        <w:rPr>
          <w:rFonts w:asciiTheme="minorHAnsi" w:hAnsiTheme="minorHAnsi" w:cstheme="minorHAnsi"/>
          <w:color w:val="auto"/>
          <w:sz w:val="24"/>
          <w:szCs w:val="24"/>
        </w:rPr>
        <w:t>.2</w:t>
      </w:r>
      <w:r w:rsidR="00915D4D" w:rsidRPr="006C019D">
        <w:rPr>
          <w:rFonts w:asciiTheme="minorHAnsi" w:hAnsiTheme="minorHAnsi" w:cstheme="minorHAnsi"/>
          <w:color w:val="auto"/>
          <w:sz w:val="24"/>
          <w:szCs w:val="24"/>
        </w:rPr>
        <w:t>.</w:t>
      </w:r>
      <w:r w:rsidR="00CD4644" w:rsidRPr="006C019D">
        <w:rPr>
          <w:rFonts w:asciiTheme="minorHAnsi" w:hAnsiTheme="minorHAnsi" w:cstheme="minorHAnsi"/>
          <w:color w:val="auto"/>
          <w:sz w:val="24"/>
          <w:szCs w:val="24"/>
        </w:rPr>
        <w:t>8</w:t>
      </w:r>
      <w:r w:rsidR="00915D4D" w:rsidRPr="006C019D">
        <w:rPr>
          <w:rFonts w:asciiTheme="minorHAnsi" w:hAnsiTheme="minorHAnsi" w:cstheme="minorHAnsi"/>
          <w:color w:val="auto"/>
          <w:sz w:val="24"/>
          <w:szCs w:val="24"/>
        </w:rPr>
        <w:t>. Forward selection</w:t>
      </w:r>
    </w:p>
    <w:p w14:paraId="46390F92" w14:textId="406D13E9" w:rsidR="00915D4D" w:rsidRPr="001C713C" w:rsidRDefault="00602941" w:rsidP="00790CEA">
      <w:pPr>
        <w:spacing w:line="360" w:lineRule="auto"/>
        <w:ind w:firstLine="397"/>
        <w:jc w:val="both"/>
        <w:rPr>
          <w:rFonts w:eastAsiaTheme="minorEastAsia"/>
          <w:sz w:val="24"/>
          <w:szCs w:val="24"/>
        </w:rPr>
      </w:pPr>
      <w:r>
        <w:rPr>
          <w:rFonts w:eastAsiaTheme="minorEastAsia"/>
          <w:sz w:val="24"/>
          <w:szCs w:val="24"/>
        </w:rPr>
        <w:t xml:space="preserve">I will follow a </w:t>
      </w:r>
      <w:r w:rsidR="00915D4D" w:rsidRPr="001C713C">
        <w:rPr>
          <w:rFonts w:eastAsiaTheme="minorEastAsia"/>
          <w:sz w:val="24"/>
          <w:szCs w:val="24"/>
        </w:rPr>
        <w:t>forward selection process</w:t>
      </w:r>
      <w:r>
        <w:rPr>
          <w:rFonts w:eastAsiaTheme="minorEastAsia"/>
          <w:sz w:val="24"/>
          <w:szCs w:val="24"/>
        </w:rPr>
        <w:t xml:space="preserve"> </w:t>
      </w:r>
      <w:r w:rsidR="00214CA1">
        <w:rPr>
          <w:rFonts w:eastAsiaTheme="minorEastAsia"/>
          <w:sz w:val="24"/>
          <w:szCs w:val="24"/>
        </w:rPr>
        <w:t>by incrementing sets of</w:t>
      </w:r>
      <w:r w:rsidR="00915D4D" w:rsidRPr="001C713C">
        <w:rPr>
          <w:rFonts w:eastAsiaTheme="minorEastAsia"/>
          <w:sz w:val="24"/>
          <w:szCs w:val="24"/>
        </w:rPr>
        <w:t xml:space="preserve"> control variables which should help to explain a reasonable amount of variance in the outcome variable. Our baseline model will be an equation where only the family structure and the </w:t>
      </w:r>
      <w:r w:rsidR="003D49E5">
        <w:rPr>
          <w:rFonts w:eastAsiaTheme="minorEastAsia"/>
          <w:sz w:val="24"/>
          <w:szCs w:val="24"/>
        </w:rPr>
        <w:t xml:space="preserve">year of separation </w:t>
      </w:r>
      <w:r w:rsidR="00915D4D" w:rsidRPr="001C713C">
        <w:rPr>
          <w:rFonts w:eastAsiaTheme="minorEastAsia"/>
          <w:sz w:val="24"/>
          <w:szCs w:val="24"/>
        </w:rPr>
        <w:t xml:space="preserve">are on </w:t>
      </w:r>
      <w:r w:rsidR="00915D4D" w:rsidRPr="001C713C">
        <w:rPr>
          <w:rFonts w:eastAsiaTheme="minorEastAsia"/>
          <w:sz w:val="24"/>
          <w:szCs w:val="24"/>
        </w:rPr>
        <w:lastRenderedPageBreak/>
        <w:t>the right-hand side</w:t>
      </w:r>
      <w:r w:rsidR="003D1F87">
        <w:rPr>
          <w:rFonts w:eastAsiaTheme="minorEastAsia"/>
          <w:sz w:val="24"/>
          <w:szCs w:val="24"/>
        </w:rPr>
        <w:t>, with no co</w:t>
      </w:r>
      <w:r w:rsidR="00AE4583">
        <w:rPr>
          <w:rFonts w:eastAsiaTheme="minorEastAsia"/>
          <w:sz w:val="24"/>
          <w:szCs w:val="24"/>
        </w:rPr>
        <w:t>variate</w:t>
      </w:r>
      <w:r w:rsidR="003D1F87">
        <w:rPr>
          <w:rFonts w:eastAsiaTheme="minorEastAsia"/>
          <w:sz w:val="24"/>
          <w:szCs w:val="24"/>
        </w:rPr>
        <w:t xml:space="preserve">s, thus we will estimate an unconditional </w:t>
      </w:r>
      <m:oMath>
        <m:r>
          <w:rPr>
            <w:rFonts w:ascii="Cambria Math" w:eastAsiaTheme="minorEastAsia" w:hAnsi="Cambria Math"/>
            <w:sz w:val="24"/>
            <w:szCs w:val="24"/>
          </w:rPr>
          <m:t>ATT</m:t>
        </m:r>
        <m:d>
          <m:dPr>
            <m:ctrlPr>
              <w:rPr>
                <w:rFonts w:ascii="Cambria Math" w:eastAsiaTheme="minorEastAsia" w:hAnsi="Cambria Math"/>
                <w:sz w:val="24"/>
                <w:szCs w:val="24"/>
              </w:rPr>
            </m:ctrlPr>
          </m:dPr>
          <m:e>
            <m:r>
              <w:rPr>
                <w:rFonts w:ascii="Cambria Math" w:eastAsiaTheme="minorEastAsia" w:hAnsi="Cambria Math"/>
                <w:sz w:val="24"/>
                <w:szCs w:val="24"/>
              </w:rPr>
              <m:t>g</m:t>
            </m:r>
            <m:r>
              <m:rPr>
                <m:sty m:val="p"/>
              </m:rPr>
              <w:rPr>
                <w:rFonts w:ascii="Cambria Math" w:eastAsiaTheme="minorEastAsia" w:hAnsi="Cambria Math"/>
                <w:sz w:val="24"/>
                <w:szCs w:val="24"/>
              </w:rPr>
              <m:t>,</m:t>
            </m:r>
            <m:r>
              <w:rPr>
                <w:rFonts w:ascii="Cambria Math" w:eastAsiaTheme="minorEastAsia" w:hAnsi="Cambria Math"/>
                <w:sz w:val="24"/>
                <w:szCs w:val="24"/>
              </w:rPr>
              <m:t>t</m:t>
            </m:r>
          </m:e>
        </m:d>
      </m:oMath>
      <w:r w:rsidR="0095733E">
        <w:rPr>
          <w:rFonts w:eastAsiaTheme="minorEastAsia"/>
          <w:sz w:val="24"/>
          <w:szCs w:val="24"/>
        </w:rPr>
        <w:t xml:space="preserve">s. </w:t>
      </w:r>
      <w:r w:rsidR="00915D4D" w:rsidRPr="001C713C">
        <w:rPr>
          <w:rFonts w:eastAsiaTheme="minorEastAsia"/>
          <w:sz w:val="24"/>
          <w:szCs w:val="24"/>
        </w:rPr>
        <w:t xml:space="preserve">Next, I will start to increase the complexity by </w:t>
      </w:r>
      <w:r w:rsidR="005B4CDC">
        <w:rPr>
          <w:rFonts w:eastAsiaTheme="minorEastAsia"/>
          <w:sz w:val="24"/>
          <w:szCs w:val="24"/>
        </w:rPr>
        <w:t>add</w:t>
      </w:r>
      <w:r w:rsidR="00915D4D" w:rsidRPr="001C713C">
        <w:rPr>
          <w:rFonts w:eastAsiaTheme="minorEastAsia"/>
          <w:sz w:val="24"/>
          <w:szCs w:val="24"/>
        </w:rPr>
        <w:t xml:space="preserve">ing </w:t>
      </w:r>
      <w:r w:rsidR="004563E8">
        <w:rPr>
          <w:rFonts w:eastAsiaTheme="minorEastAsia"/>
          <w:sz w:val="24"/>
          <w:szCs w:val="24"/>
        </w:rPr>
        <w:t>the same</w:t>
      </w:r>
      <w:r w:rsidR="00915D4D" w:rsidRPr="001C713C">
        <w:rPr>
          <w:rFonts w:eastAsiaTheme="minorEastAsia"/>
          <w:sz w:val="24"/>
          <w:szCs w:val="24"/>
        </w:rPr>
        <w:t xml:space="preserve"> sets of control variables</w:t>
      </w:r>
      <w:r w:rsidR="003D1F87">
        <w:rPr>
          <w:rFonts w:eastAsiaTheme="minorEastAsia"/>
          <w:sz w:val="24"/>
          <w:szCs w:val="24"/>
        </w:rPr>
        <w:t xml:space="preserve"> (covariates)</w:t>
      </w:r>
      <w:r w:rsidR="00915D4D" w:rsidRPr="001C713C">
        <w:rPr>
          <w:rFonts w:eastAsiaTheme="minorEastAsia"/>
          <w:sz w:val="24"/>
          <w:szCs w:val="24"/>
        </w:rPr>
        <w:t xml:space="preserve"> </w:t>
      </w:r>
      <w:r w:rsidR="004563E8">
        <w:rPr>
          <w:rFonts w:eastAsiaTheme="minorEastAsia"/>
          <w:sz w:val="24"/>
          <w:szCs w:val="24"/>
        </w:rPr>
        <w:t>used in the VAM estimation</w:t>
      </w:r>
      <w:r w:rsidR="00915D4D" w:rsidRPr="001C713C">
        <w:rPr>
          <w:rFonts w:eastAsiaTheme="minorEastAsia"/>
          <w:sz w:val="24"/>
          <w:szCs w:val="24"/>
        </w:rPr>
        <w:t xml:space="preserve">. </w:t>
      </w:r>
      <w:r w:rsidR="00F8052B" w:rsidRPr="00F8052B">
        <w:rPr>
          <w:rFonts w:eastAsiaTheme="minorEastAsia"/>
          <w:sz w:val="24"/>
          <w:szCs w:val="24"/>
        </w:rPr>
        <w:t xml:space="preserve">Firstly, I will append the exogeneous variables such as the student characteristics and SES, then consider mitigating factors of parental separation by including the home environment, school characteristics, and PSI variables. Finally, in our ultimate model, I will further extend the design with the regressor of school changes before 2006 which should affect the attitude of both teachers and students according to </w:t>
      </w:r>
      <w:proofErr w:type="spellStart"/>
      <w:r w:rsidR="00F8052B" w:rsidRPr="00F8052B">
        <w:rPr>
          <w:rFonts w:eastAsiaTheme="minorEastAsia"/>
          <w:sz w:val="24"/>
          <w:szCs w:val="24"/>
        </w:rPr>
        <w:t>Astone</w:t>
      </w:r>
      <w:proofErr w:type="spellEnd"/>
      <w:r w:rsidR="00F8052B" w:rsidRPr="00F8052B">
        <w:rPr>
          <w:rFonts w:eastAsiaTheme="minorEastAsia"/>
          <w:sz w:val="24"/>
          <w:szCs w:val="24"/>
        </w:rPr>
        <w:t xml:space="preserve"> &amp; </w:t>
      </w:r>
      <w:proofErr w:type="spellStart"/>
      <w:r w:rsidR="00F8052B" w:rsidRPr="00F8052B">
        <w:rPr>
          <w:rFonts w:eastAsiaTheme="minorEastAsia"/>
          <w:sz w:val="24"/>
          <w:szCs w:val="24"/>
        </w:rPr>
        <w:t>McLanahan</w:t>
      </w:r>
      <w:proofErr w:type="spellEnd"/>
      <w:r w:rsidR="00F8052B" w:rsidRPr="00F8052B">
        <w:rPr>
          <w:rFonts w:eastAsiaTheme="minorEastAsia"/>
          <w:sz w:val="24"/>
          <w:szCs w:val="24"/>
        </w:rPr>
        <w:t xml:space="preserve"> (1994). All in all, the procedure of adding covariates will be identical to that of the VAM’s forward selection.</w:t>
      </w:r>
    </w:p>
    <w:p w14:paraId="6C93D93C" w14:textId="20A7AFA8" w:rsidR="00915D4D" w:rsidRPr="006C019D" w:rsidRDefault="00312005" w:rsidP="00210133">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3</w:t>
      </w:r>
      <w:r w:rsidR="00915D4D" w:rsidRPr="006C019D">
        <w:rPr>
          <w:rFonts w:asciiTheme="minorHAnsi" w:hAnsiTheme="minorHAnsi" w:cstheme="minorHAnsi"/>
          <w:color w:val="auto"/>
          <w:sz w:val="24"/>
          <w:szCs w:val="24"/>
        </w:rPr>
        <w:t>.</w:t>
      </w:r>
      <w:r w:rsidR="00DF6A3A" w:rsidRPr="006C019D">
        <w:rPr>
          <w:rFonts w:asciiTheme="minorHAnsi" w:hAnsiTheme="minorHAnsi" w:cstheme="minorHAnsi"/>
          <w:color w:val="auto"/>
          <w:sz w:val="24"/>
          <w:szCs w:val="24"/>
        </w:rPr>
        <w:t>5</w:t>
      </w:r>
      <w:r w:rsidR="006548FE" w:rsidRPr="006C019D">
        <w:rPr>
          <w:rFonts w:asciiTheme="minorHAnsi" w:hAnsiTheme="minorHAnsi" w:cstheme="minorHAnsi"/>
          <w:color w:val="auto"/>
          <w:sz w:val="24"/>
          <w:szCs w:val="24"/>
        </w:rPr>
        <w:t>.</w:t>
      </w:r>
      <w:r w:rsidR="00210133" w:rsidRPr="006C019D">
        <w:rPr>
          <w:rFonts w:asciiTheme="minorHAnsi" w:hAnsiTheme="minorHAnsi" w:cstheme="minorHAnsi"/>
          <w:color w:val="auto"/>
          <w:sz w:val="24"/>
          <w:szCs w:val="24"/>
        </w:rPr>
        <w:t>2.9.</w:t>
      </w:r>
      <w:r w:rsidR="006548FE" w:rsidRPr="006C019D">
        <w:rPr>
          <w:rFonts w:asciiTheme="minorHAnsi" w:hAnsiTheme="minorHAnsi" w:cstheme="minorHAnsi"/>
          <w:color w:val="auto"/>
          <w:sz w:val="24"/>
          <w:szCs w:val="24"/>
        </w:rPr>
        <w:t xml:space="preserve"> </w:t>
      </w:r>
      <w:r w:rsidR="00915D4D" w:rsidRPr="006C019D">
        <w:rPr>
          <w:rFonts w:asciiTheme="minorHAnsi" w:hAnsiTheme="minorHAnsi" w:cstheme="minorHAnsi"/>
          <w:color w:val="auto"/>
          <w:sz w:val="24"/>
          <w:szCs w:val="24"/>
        </w:rPr>
        <w:t>Hypotheses</w:t>
      </w:r>
    </w:p>
    <w:p w14:paraId="46554825" w14:textId="380B5C7E" w:rsidR="00EB21E4" w:rsidRDefault="00915D4D" w:rsidP="008C4D2B">
      <w:pPr>
        <w:spacing w:line="360" w:lineRule="auto"/>
        <w:ind w:firstLine="397"/>
        <w:jc w:val="both"/>
        <w:rPr>
          <w:rFonts w:eastAsiaTheme="minorEastAsia"/>
          <w:sz w:val="24"/>
          <w:szCs w:val="24"/>
        </w:rPr>
      </w:pPr>
      <w:r w:rsidRPr="001C713C">
        <w:rPr>
          <w:rFonts w:eastAsiaTheme="minorEastAsia"/>
          <w:sz w:val="24"/>
          <w:szCs w:val="24"/>
        </w:rPr>
        <w:t>Before discussing the main results</w:t>
      </w:r>
      <w:r w:rsidR="00454FE4">
        <w:rPr>
          <w:rFonts w:eastAsiaTheme="minorEastAsia"/>
          <w:sz w:val="24"/>
          <w:szCs w:val="24"/>
        </w:rPr>
        <w:t xml:space="preserve"> in the next section</w:t>
      </w:r>
      <w:r w:rsidRPr="001C713C">
        <w:rPr>
          <w:rFonts w:eastAsiaTheme="minorEastAsia"/>
          <w:sz w:val="24"/>
          <w:szCs w:val="24"/>
        </w:rPr>
        <w:t>, let me introduce our expectations concerning the signs</w:t>
      </w:r>
      <w:r w:rsidR="00F62718">
        <w:rPr>
          <w:rFonts w:eastAsiaTheme="minorEastAsia"/>
          <w:sz w:val="24"/>
          <w:szCs w:val="24"/>
        </w:rPr>
        <w:t xml:space="preserve"> and magnitudes</w:t>
      </w:r>
      <w:r w:rsidRPr="001C713C">
        <w:rPr>
          <w:rFonts w:eastAsiaTheme="minorEastAsia"/>
          <w:sz w:val="24"/>
          <w:szCs w:val="24"/>
        </w:rPr>
        <w:t xml:space="preserve"> of coefficient estimates</w:t>
      </w:r>
      <w:r w:rsidR="00454FE4">
        <w:rPr>
          <w:rFonts w:eastAsiaTheme="minorEastAsia"/>
          <w:sz w:val="24"/>
          <w:szCs w:val="24"/>
        </w:rPr>
        <w:t>.</w:t>
      </w:r>
      <w:r w:rsidR="003D1F87">
        <w:rPr>
          <w:rFonts w:eastAsiaTheme="minorEastAsia"/>
          <w:sz w:val="24"/>
          <w:szCs w:val="24"/>
        </w:rPr>
        <w:t xml:space="preserve"> </w:t>
      </w:r>
      <w:r w:rsidR="00AE4583">
        <w:rPr>
          <w:rFonts w:eastAsiaTheme="minorEastAsia"/>
          <w:sz w:val="24"/>
          <w:szCs w:val="24"/>
        </w:rPr>
        <w:t>W</w:t>
      </w:r>
      <w:r w:rsidR="003D1F87">
        <w:rPr>
          <w:rFonts w:eastAsiaTheme="minorEastAsia"/>
          <w:sz w:val="24"/>
          <w:szCs w:val="24"/>
        </w:rPr>
        <w:t xml:space="preserve">e expect a </w:t>
      </w:r>
      <w:r w:rsidR="00704E4F">
        <w:rPr>
          <w:rFonts w:eastAsiaTheme="minorEastAsia"/>
          <w:sz w:val="24"/>
          <w:szCs w:val="24"/>
        </w:rPr>
        <w:t>changing</w:t>
      </w:r>
      <w:r w:rsidR="003D1F87">
        <w:rPr>
          <w:rFonts w:eastAsiaTheme="minorEastAsia"/>
          <w:sz w:val="24"/>
          <w:szCs w:val="24"/>
        </w:rPr>
        <w:t xml:space="preserve"> group-time average treatment effect</w:t>
      </w:r>
      <w:r w:rsidR="00704E4F">
        <w:rPr>
          <w:rFonts w:eastAsiaTheme="minorEastAsia"/>
          <w:sz w:val="24"/>
          <w:szCs w:val="24"/>
        </w:rPr>
        <w:t xml:space="preserve"> of</w:t>
      </w:r>
      <w:r w:rsidR="003D1F87">
        <w:rPr>
          <w:rFonts w:eastAsiaTheme="minorEastAsia"/>
          <w:sz w:val="24"/>
          <w:szCs w:val="24"/>
        </w:rPr>
        <w:t xml:space="preserve"> parental separation for each group </w:t>
      </w:r>
      <m:oMath>
        <m:r>
          <w:rPr>
            <w:rFonts w:ascii="Cambria Math" w:eastAsiaTheme="minorEastAsia" w:hAnsi="Cambria Math"/>
            <w:sz w:val="24"/>
            <w:szCs w:val="24"/>
          </w:rPr>
          <m:t>g</m:t>
        </m:r>
      </m:oMath>
      <w:r w:rsidR="003D1F87">
        <w:rPr>
          <w:rFonts w:eastAsiaTheme="minorEastAsia"/>
          <w:sz w:val="24"/>
          <w:szCs w:val="24"/>
        </w:rPr>
        <w:t xml:space="preserve"> in each period </w:t>
      </w:r>
      <m:oMath>
        <m:r>
          <w:rPr>
            <w:rFonts w:ascii="Cambria Math" w:eastAsiaTheme="minorEastAsia" w:hAnsi="Cambria Math"/>
            <w:sz w:val="24"/>
            <w:szCs w:val="24"/>
          </w:rPr>
          <m:t>t</m:t>
        </m:r>
      </m:oMath>
      <w:r w:rsidR="00704E4F">
        <w:rPr>
          <w:rFonts w:eastAsiaTheme="minorEastAsia"/>
          <w:sz w:val="24"/>
          <w:szCs w:val="24"/>
        </w:rPr>
        <w:t xml:space="preserve"> depending on the time of exposure</w:t>
      </w:r>
      <w:r w:rsidR="003D1F87">
        <w:rPr>
          <w:rFonts w:eastAsiaTheme="minorEastAsia"/>
          <w:sz w:val="24"/>
          <w:szCs w:val="24"/>
        </w:rPr>
        <w:t xml:space="preserve">. </w:t>
      </w:r>
      <w:r w:rsidR="00EB21E4">
        <w:rPr>
          <w:rFonts w:eastAsiaTheme="minorEastAsia"/>
          <w:sz w:val="24"/>
          <w:szCs w:val="24"/>
        </w:rPr>
        <w:t>We anticipate that the initial effe</w:t>
      </w:r>
      <w:r w:rsidR="00814D18">
        <w:rPr>
          <w:rFonts w:eastAsiaTheme="minorEastAsia"/>
          <w:sz w:val="24"/>
          <w:szCs w:val="24"/>
        </w:rPr>
        <w:t>c</w:t>
      </w:r>
      <w:r w:rsidR="00EB21E4">
        <w:rPr>
          <w:rFonts w:eastAsiaTheme="minorEastAsia"/>
          <w:sz w:val="24"/>
          <w:szCs w:val="24"/>
        </w:rPr>
        <w:t xml:space="preserve">t, that is the effect in the first period having exposed to family breakdown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g</m:t>
            </m:r>
          </m:sub>
        </m:sSub>
      </m:oMath>
      <w:r w:rsidR="00EB21E4">
        <w:rPr>
          <w:rFonts w:eastAsiaTheme="minorEastAsia"/>
          <w:sz w:val="24"/>
          <w:szCs w:val="24"/>
        </w:rPr>
        <w:t xml:space="preserve"> will have the largest effect</w:t>
      </w:r>
      <w:r w:rsidR="008C4D2B">
        <w:rPr>
          <w:rFonts w:eastAsiaTheme="minorEastAsia"/>
          <w:sz w:val="24"/>
          <w:szCs w:val="24"/>
        </w:rPr>
        <w:t xml:space="preserve"> </w:t>
      </w:r>
      <w:r w:rsidR="00721E83">
        <w:rPr>
          <w:rFonts w:eastAsiaTheme="minorEastAsia"/>
          <w:sz w:val="24"/>
          <w:szCs w:val="24"/>
        </w:rPr>
        <w:t xml:space="preserve">with a possibility of it being </w:t>
      </w:r>
      <w:r w:rsidR="008C4D2B">
        <w:rPr>
          <w:rFonts w:eastAsiaTheme="minorEastAsia"/>
          <w:sz w:val="24"/>
          <w:szCs w:val="24"/>
        </w:rPr>
        <w:t>a positive shock</w:t>
      </w:r>
      <w:r w:rsidR="00EB21E4">
        <w:rPr>
          <w:rFonts w:eastAsiaTheme="minorEastAsia"/>
          <w:sz w:val="24"/>
          <w:szCs w:val="24"/>
        </w:rPr>
        <w:t>. In the long-term</w:t>
      </w:r>
      <w:r w:rsidR="00AE4583">
        <w:rPr>
          <w:rFonts w:eastAsiaTheme="minorEastAsia"/>
          <w:sz w:val="24"/>
          <w:szCs w:val="24"/>
        </w:rPr>
        <w:t>,</w:t>
      </w:r>
      <w:r w:rsidR="00EB21E4">
        <w:rPr>
          <w:rFonts w:eastAsiaTheme="minorEastAsia"/>
          <w:sz w:val="24"/>
          <w:szCs w:val="24"/>
        </w:rPr>
        <w:t xml:space="preserve"> it is ambiguous whether the academic performance will </w:t>
      </w:r>
      <w:r w:rsidR="000A7C88">
        <w:rPr>
          <w:rFonts w:eastAsiaTheme="minorEastAsia"/>
          <w:sz w:val="24"/>
          <w:szCs w:val="24"/>
        </w:rPr>
        <w:t>worsen,</w:t>
      </w:r>
      <w:r w:rsidR="00EB21E4">
        <w:rPr>
          <w:rFonts w:eastAsiaTheme="minorEastAsia"/>
          <w:sz w:val="24"/>
          <w:szCs w:val="24"/>
        </w:rPr>
        <w:t xml:space="preserve"> or children </w:t>
      </w:r>
      <w:r w:rsidR="00814D18">
        <w:rPr>
          <w:rFonts w:eastAsiaTheme="minorEastAsia"/>
          <w:sz w:val="24"/>
          <w:szCs w:val="24"/>
        </w:rPr>
        <w:t>will be</w:t>
      </w:r>
      <w:r w:rsidR="00EB21E4">
        <w:rPr>
          <w:rFonts w:eastAsiaTheme="minorEastAsia"/>
          <w:sz w:val="24"/>
          <w:szCs w:val="24"/>
        </w:rPr>
        <w:t xml:space="preserve"> able to adjust to the situation. </w:t>
      </w:r>
      <w:r w:rsidR="00243447">
        <w:rPr>
          <w:rFonts w:eastAsiaTheme="minorEastAsia"/>
          <w:sz w:val="24"/>
          <w:szCs w:val="24"/>
        </w:rPr>
        <w:t>Intuitively, it</w:t>
      </w:r>
      <w:r w:rsidR="00EB21E4">
        <w:rPr>
          <w:rFonts w:eastAsiaTheme="minorEastAsia"/>
          <w:sz w:val="24"/>
          <w:szCs w:val="24"/>
        </w:rPr>
        <w:t xml:space="preserve"> can also be the case that there were conflicts in </w:t>
      </w:r>
      <w:r w:rsidR="00AE4583">
        <w:rPr>
          <w:rFonts w:eastAsiaTheme="minorEastAsia"/>
          <w:sz w:val="24"/>
          <w:szCs w:val="24"/>
        </w:rPr>
        <w:t xml:space="preserve">the </w:t>
      </w:r>
      <w:r w:rsidR="00EB21E4">
        <w:rPr>
          <w:rFonts w:eastAsiaTheme="minorEastAsia"/>
          <w:sz w:val="24"/>
          <w:szCs w:val="24"/>
        </w:rPr>
        <w:t xml:space="preserve">household </w:t>
      </w:r>
      <w:r w:rsidR="00243447">
        <w:rPr>
          <w:rFonts w:eastAsiaTheme="minorEastAsia"/>
          <w:sz w:val="24"/>
          <w:szCs w:val="24"/>
        </w:rPr>
        <w:t>beforehand</w:t>
      </w:r>
      <w:r w:rsidR="00EB21E4">
        <w:rPr>
          <w:rFonts w:eastAsiaTheme="minorEastAsia"/>
          <w:sz w:val="24"/>
          <w:szCs w:val="24"/>
        </w:rPr>
        <w:t xml:space="preserve"> which made children prepare for the wors</w:t>
      </w:r>
      <w:r w:rsidR="00AE4583">
        <w:rPr>
          <w:rFonts w:eastAsiaTheme="minorEastAsia"/>
          <w:sz w:val="24"/>
          <w:szCs w:val="24"/>
        </w:rPr>
        <w:t>t-</w:t>
      </w:r>
      <w:r w:rsidR="00EB21E4">
        <w:rPr>
          <w:rFonts w:eastAsiaTheme="minorEastAsia"/>
          <w:sz w:val="24"/>
          <w:szCs w:val="24"/>
        </w:rPr>
        <w:t xml:space="preserve">case scenario, </w:t>
      </w:r>
      <w:r w:rsidR="00243447">
        <w:rPr>
          <w:rFonts w:eastAsiaTheme="minorEastAsia"/>
          <w:sz w:val="24"/>
          <w:szCs w:val="24"/>
        </w:rPr>
        <w:t>thus</w:t>
      </w:r>
      <w:r w:rsidR="00EB21E4">
        <w:rPr>
          <w:rFonts w:eastAsiaTheme="minorEastAsia"/>
          <w:sz w:val="24"/>
          <w:szCs w:val="24"/>
        </w:rPr>
        <w:t xml:space="preserve"> the separation </w:t>
      </w:r>
      <w:r w:rsidR="00243447">
        <w:rPr>
          <w:rFonts w:eastAsiaTheme="minorEastAsia"/>
          <w:sz w:val="24"/>
          <w:szCs w:val="24"/>
        </w:rPr>
        <w:t>will have</w:t>
      </w:r>
      <w:r w:rsidR="00EB21E4">
        <w:rPr>
          <w:rFonts w:eastAsiaTheme="minorEastAsia"/>
          <w:sz w:val="24"/>
          <w:szCs w:val="24"/>
        </w:rPr>
        <w:t xml:space="preserve"> a positive impact on their grades, as they experience relief from stress</w:t>
      </w:r>
      <w:r w:rsidR="00E66A33">
        <w:rPr>
          <w:rFonts w:eastAsiaTheme="minorEastAsia"/>
          <w:sz w:val="24"/>
          <w:szCs w:val="24"/>
        </w:rPr>
        <w:t xml:space="preserve"> </w:t>
      </w:r>
      <w:r w:rsidR="006B2A38">
        <w:rPr>
          <w:rFonts w:eastAsiaTheme="minorEastAsia"/>
          <w:sz w:val="24"/>
          <w:szCs w:val="24"/>
        </w:rPr>
        <w:t>i</w:t>
      </w:r>
      <w:r w:rsidR="00E66A33">
        <w:rPr>
          <w:rFonts w:eastAsiaTheme="minorEastAsia"/>
          <w:sz w:val="24"/>
          <w:szCs w:val="24"/>
        </w:rPr>
        <w:t>n the short run</w:t>
      </w:r>
      <w:r w:rsidR="00EB21E4">
        <w:rPr>
          <w:rFonts w:eastAsiaTheme="minorEastAsia"/>
          <w:sz w:val="24"/>
          <w:szCs w:val="24"/>
        </w:rPr>
        <w:t xml:space="preserve">. </w:t>
      </w:r>
      <w:r w:rsidR="008C4D2B">
        <w:rPr>
          <w:rFonts w:eastAsiaTheme="minorEastAsia"/>
          <w:sz w:val="24"/>
          <w:szCs w:val="24"/>
        </w:rPr>
        <w:t xml:space="preserve">Since we are planning to include various covariates, it can be the case that they are fully mediating the effect associated with the separation in the short run, leading to a </w:t>
      </w:r>
      <w:r w:rsidR="00B73A24">
        <w:rPr>
          <w:rFonts w:eastAsiaTheme="minorEastAsia"/>
          <w:sz w:val="24"/>
          <w:szCs w:val="24"/>
        </w:rPr>
        <w:t>zero-intervention</w:t>
      </w:r>
      <w:r w:rsidR="008C4D2B">
        <w:rPr>
          <w:rFonts w:eastAsiaTheme="minorEastAsia"/>
          <w:sz w:val="24"/>
          <w:szCs w:val="24"/>
        </w:rPr>
        <w:t xml:space="preserve"> impact. </w:t>
      </w:r>
      <w:r w:rsidR="00814D18">
        <w:rPr>
          <w:rFonts w:eastAsiaTheme="minorEastAsia"/>
          <w:sz w:val="24"/>
          <w:szCs w:val="24"/>
        </w:rPr>
        <w:t xml:space="preserve">Thereby, let me illustrate </w:t>
      </w:r>
      <w:r w:rsidR="0088237C">
        <w:rPr>
          <w:rFonts w:eastAsiaTheme="minorEastAsia"/>
          <w:sz w:val="24"/>
          <w:szCs w:val="24"/>
        </w:rPr>
        <w:t>four</w:t>
      </w:r>
      <w:r w:rsidR="00814D18">
        <w:rPr>
          <w:rFonts w:eastAsiaTheme="minorEastAsia"/>
          <w:sz w:val="24"/>
          <w:szCs w:val="24"/>
        </w:rPr>
        <w:t xml:space="preserve"> possible scenarios: (1) The separation has a negative effect in </w:t>
      </w:r>
      <w:r w:rsidR="000A7C88">
        <w:rPr>
          <w:rFonts w:eastAsiaTheme="minorEastAsia"/>
          <w:sz w:val="24"/>
          <w:szCs w:val="24"/>
        </w:rPr>
        <w:t>all</w:t>
      </w:r>
      <w:r w:rsidR="00814D18">
        <w:rPr>
          <w:rFonts w:eastAsiaTheme="minorEastAsia"/>
          <w:sz w:val="24"/>
          <w:szCs w:val="24"/>
        </w:rPr>
        <w:t xml:space="preserve"> the post-treatment periods, (2) it has an initial negative effect, and then the adjustments </w:t>
      </w:r>
      <w:r w:rsidR="004E2B13">
        <w:rPr>
          <w:rFonts w:eastAsiaTheme="minorEastAsia"/>
          <w:sz w:val="24"/>
          <w:szCs w:val="24"/>
        </w:rPr>
        <w:t>begin</w:t>
      </w:r>
      <w:r w:rsidR="00814D18">
        <w:rPr>
          <w:rFonts w:eastAsiaTheme="minorEastAsia"/>
          <w:sz w:val="24"/>
          <w:szCs w:val="24"/>
        </w:rPr>
        <w:t>, so that the grades in the post-treatment periods are better</w:t>
      </w:r>
      <w:r w:rsidR="004E2B13">
        <w:rPr>
          <w:rFonts w:eastAsiaTheme="minorEastAsia"/>
          <w:sz w:val="24"/>
          <w:szCs w:val="24"/>
        </w:rPr>
        <w:t xml:space="preserve"> (or </w:t>
      </w:r>
      <w:proofErr w:type="gramStart"/>
      <w:r w:rsidR="004E2B13">
        <w:rPr>
          <w:rFonts w:eastAsiaTheme="minorEastAsia"/>
          <w:sz w:val="24"/>
          <w:szCs w:val="24"/>
        </w:rPr>
        <w:t>less worse</w:t>
      </w:r>
      <w:proofErr w:type="gramEnd"/>
      <w:r w:rsidR="004E2B13">
        <w:rPr>
          <w:rFonts w:eastAsiaTheme="minorEastAsia"/>
          <w:sz w:val="24"/>
          <w:szCs w:val="24"/>
        </w:rPr>
        <w:t>)</w:t>
      </w:r>
      <w:r w:rsidR="00814D18">
        <w:rPr>
          <w:rFonts w:eastAsiaTheme="minorEastAsia"/>
          <w:sz w:val="24"/>
          <w:szCs w:val="24"/>
        </w:rPr>
        <w:t xml:space="preserve">, (3) </w:t>
      </w:r>
      <w:r w:rsidR="007F7BFA">
        <w:rPr>
          <w:rFonts w:eastAsiaTheme="minorEastAsia"/>
          <w:sz w:val="24"/>
          <w:szCs w:val="24"/>
        </w:rPr>
        <w:t>Initial positive impact, than a steady decline on the short run, (4) or a close to zero effect on both post-treatment periods</w:t>
      </w:r>
      <w:r w:rsidR="00814D18">
        <w:rPr>
          <w:rFonts w:eastAsiaTheme="minorEastAsia"/>
          <w:sz w:val="24"/>
          <w:szCs w:val="24"/>
        </w:rPr>
        <w:t xml:space="preserve">. </w:t>
      </w:r>
    </w:p>
    <w:p w14:paraId="19E6BDA8" w14:textId="51EABFD7" w:rsidR="000A76BB" w:rsidRPr="000A76BB" w:rsidRDefault="000A76BB" w:rsidP="000A76BB">
      <w:pPr>
        <w:pStyle w:val="Heading1"/>
      </w:pPr>
      <w:bookmarkStart w:id="35" w:name="_Toc64591277"/>
      <w:r w:rsidRPr="000A76BB">
        <w:lastRenderedPageBreak/>
        <w:t>Chapter 4. Results</w:t>
      </w:r>
      <w:bookmarkEnd w:id="35"/>
    </w:p>
    <w:p w14:paraId="2DA247F6" w14:textId="1D175908" w:rsidR="008504B8" w:rsidRDefault="004526E0" w:rsidP="005944F8">
      <w:pPr>
        <w:pStyle w:val="Heading2"/>
      </w:pPr>
      <w:bookmarkStart w:id="36" w:name="_Toc64591278"/>
      <w:r>
        <w:t xml:space="preserve">4.1. </w:t>
      </w:r>
      <w:r w:rsidR="008504B8">
        <w:t>Value</w:t>
      </w:r>
      <w:r w:rsidR="00AE4583">
        <w:t>-</w:t>
      </w:r>
      <w:r w:rsidR="008504B8">
        <w:t xml:space="preserve">Added </w:t>
      </w:r>
      <w:r w:rsidR="00787853">
        <w:t xml:space="preserve">Model (VAM) </w:t>
      </w:r>
      <w:r w:rsidR="008504B8">
        <w:t>Estimation</w:t>
      </w:r>
      <w:bookmarkEnd w:id="36"/>
    </w:p>
    <w:p w14:paraId="0141BBFA" w14:textId="542216D8" w:rsidR="007D7B53" w:rsidRDefault="00713783" w:rsidP="008537EF">
      <w:pPr>
        <w:spacing w:line="360" w:lineRule="auto"/>
        <w:ind w:firstLine="397"/>
        <w:jc w:val="both"/>
        <w:rPr>
          <w:rFonts w:eastAsiaTheme="minorEastAsia"/>
          <w:sz w:val="24"/>
          <w:szCs w:val="24"/>
        </w:rPr>
      </w:pPr>
      <w:r>
        <w:rPr>
          <w:noProof/>
        </w:rPr>
        <w:drawing>
          <wp:anchor distT="0" distB="0" distL="114300" distR="114300" simplePos="0" relativeHeight="251798528" behindDoc="0" locked="0" layoutInCell="1" allowOverlap="1" wp14:anchorId="1C6F41F9" wp14:editId="4AEA8E39">
            <wp:simplePos x="0" y="0"/>
            <wp:positionH relativeFrom="margin">
              <wp:posOffset>1513840</wp:posOffset>
            </wp:positionH>
            <wp:positionV relativeFrom="paragraph">
              <wp:posOffset>5030470</wp:posOffset>
            </wp:positionV>
            <wp:extent cx="2732405" cy="182880"/>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2405" cy="182880"/>
                    </a:xfrm>
                    <a:prstGeom prst="rect">
                      <a:avLst/>
                    </a:prstGeom>
                  </pic:spPr>
                </pic:pic>
              </a:graphicData>
            </a:graphic>
          </wp:anchor>
        </w:drawing>
      </w:r>
      <w:r>
        <w:rPr>
          <w:noProof/>
        </w:rPr>
        <w:drawing>
          <wp:anchor distT="0" distB="0" distL="114300" distR="114300" simplePos="0" relativeHeight="251797504" behindDoc="0" locked="0" layoutInCell="1" allowOverlap="1" wp14:anchorId="50423D71" wp14:editId="752EFFDE">
            <wp:simplePos x="0" y="0"/>
            <wp:positionH relativeFrom="margin">
              <wp:align>center</wp:align>
            </wp:positionH>
            <wp:positionV relativeFrom="paragraph">
              <wp:posOffset>5243222</wp:posOffset>
            </wp:positionV>
            <wp:extent cx="5047256" cy="2719346"/>
            <wp:effectExtent l="0" t="0" r="127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47256" cy="2719346"/>
                    </a:xfrm>
                    <a:prstGeom prst="rect">
                      <a:avLst/>
                    </a:prstGeom>
                  </pic:spPr>
                </pic:pic>
              </a:graphicData>
            </a:graphic>
            <wp14:sizeRelH relativeFrom="margin">
              <wp14:pctWidth>0</wp14:pctWidth>
            </wp14:sizeRelH>
            <wp14:sizeRelV relativeFrom="margin">
              <wp14:pctHeight>0</wp14:pctHeight>
            </wp14:sizeRelV>
          </wp:anchor>
        </w:drawing>
      </w:r>
      <w:r w:rsidR="004111C6" w:rsidRPr="00AE4583">
        <w:rPr>
          <w:sz w:val="24"/>
          <w:szCs w:val="24"/>
        </w:rPr>
        <w:t xml:space="preserve">In </w:t>
      </w:r>
      <w:r w:rsidR="00BA677E">
        <w:rPr>
          <w:sz w:val="24"/>
          <w:szCs w:val="24"/>
        </w:rPr>
        <w:t>s</w:t>
      </w:r>
      <w:r w:rsidR="007D2A96">
        <w:rPr>
          <w:sz w:val="24"/>
          <w:szCs w:val="24"/>
        </w:rPr>
        <w:t>ection</w:t>
      </w:r>
      <w:r w:rsidR="00EB17FA">
        <w:rPr>
          <w:sz w:val="24"/>
          <w:szCs w:val="24"/>
        </w:rPr>
        <w:t>s</w:t>
      </w:r>
      <w:r w:rsidR="007D2A96">
        <w:rPr>
          <w:sz w:val="24"/>
          <w:szCs w:val="24"/>
        </w:rPr>
        <w:t xml:space="preserve"> </w:t>
      </w:r>
      <w:r w:rsidR="00086DC6">
        <w:rPr>
          <w:sz w:val="24"/>
          <w:szCs w:val="24"/>
        </w:rPr>
        <w:t>4.1 and 4.2</w:t>
      </w:r>
      <w:r w:rsidR="00AE4583" w:rsidRPr="00AE4583">
        <w:rPr>
          <w:sz w:val="24"/>
          <w:szCs w:val="24"/>
        </w:rPr>
        <w:t>,</w:t>
      </w:r>
      <w:r w:rsidR="004111C6" w:rsidRPr="00AE4583">
        <w:rPr>
          <w:sz w:val="24"/>
          <w:szCs w:val="24"/>
        </w:rPr>
        <w:t xml:space="preserve"> </w:t>
      </w:r>
      <w:r w:rsidR="00450D60">
        <w:rPr>
          <w:sz w:val="24"/>
          <w:szCs w:val="24"/>
        </w:rPr>
        <w:t>I</w:t>
      </w:r>
      <w:r w:rsidR="004111C6" w:rsidRPr="00AE4583">
        <w:rPr>
          <w:sz w:val="24"/>
          <w:szCs w:val="24"/>
        </w:rPr>
        <w:t xml:space="preserve"> will discuss the results of both the VAM and the Staggered DID’</w:t>
      </w:r>
      <w:r w:rsidR="004A4364" w:rsidRPr="00AE4583">
        <w:rPr>
          <w:sz w:val="24"/>
          <w:szCs w:val="24"/>
        </w:rPr>
        <w:t>s</w:t>
      </w:r>
      <w:r w:rsidR="004111C6" w:rsidRPr="00AE4583">
        <w:rPr>
          <w:sz w:val="24"/>
          <w:szCs w:val="24"/>
        </w:rPr>
        <w:t xml:space="preserve"> upper</w:t>
      </w:r>
      <w:r w:rsidR="00230E00">
        <w:rPr>
          <w:sz w:val="24"/>
          <w:szCs w:val="24"/>
        </w:rPr>
        <w:t>-</w:t>
      </w:r>
      <w:r w:rsidR="004111C6" w:rsidRPr="00AE4583">
        <w:rPr>
          <w:sz w:val="24"/>
          <w:szCs w:val="24"/>
        </w:rPr>
        <w:t xml:space="preserve">lower bound estimations. Let us start with the representation of the static results which should verify the baseline belief set by many other studies. </w:t>
      </w:r>
      <w:r w:rsidR="00595EEC" w:rsidRPr="00AE4583">
        <w:rPr>
          <w:sz w:val="24"/>
          <w:szCs w:val="24"/>
        </w:rPr>
        <w:t xml:space="preserve">Table </w:t>
      </w:r>
      <w:r w:rsidR="00BA677E">
        <w:rPr>
          <w:sz w:val="24"/>
          <w:szCs w:val="24"/>
        </w:rPr>
        <w:t>3</w:t>
      </w:r>
      <w:r w:rsidR="00595EEC" w:rsidRPr="00AE4583">
        <w:rPr>
          <w:sz w:val="24"/>
          <w:szCs w:val="24"/>
        </w:rPr>
        <w:t>.</w:t>
      </w:r>
      <w:r w:rsidR="004111C6" w:rsidRPr="00AE4583">
        <w:rPr>
          <w:sz w:val="24"/>
          <w:szCs w:val="24"/>
        </w:rPr>
        <w:t xml:space="preserve"> shows us the regression output of the VAM equation</w:t>
      </w:r>
      <w:r w:rsidR="00BA677E">
        <w:rPr>
          <w:sz w:val="24"/>
          <w:szCs w:val="24"/>
        </w:rPr>
        <w:t>, where each column is a model with additional controls</w:t>
      </w:r>
      <w:r w:rsidR="004111C6" w:rsidRPr="00AE4583">
        <w:rPr>
          <w:sz w:val="24"/>
          <w:szCs w:val="24"/>
        </w:rPr>
        <w:t xml:space="preserve">. </w:t>
      </w:r>
      <w:r w:rsidR="00FD35D4" w:rsidRPr="00AE4583">
        <w:rPr>
          <w:rFonts w:eastAsiaTheme="minorEastAsia"/>
          <w:sz w:val="24"/>
          <w:szCs w:val="24"/>
        </w:rPr>
        <w:t>Statistically</w:t>
      </w:r>
      <w:r w:rsidR="00961140" w:rsidRPr="00AE4583">
        <w:rPr>
          <w:rFonts w:eastAsiaTheme="minorEastAsia"/>
          <w:sz w:val="24"/>
          <w:szCs w:val="24"/>
        </w:rPr>
        <w:t xml:space="preserve"> </w:t>
      </w:r>
      <w:r w:rsidR="00FD35D4" w:rsidRPr="00AE4583">
        <w:rPr>
          <w:rFonts w:eastAsiaTheme="minorEastAsia"/>
          <w:sz w:val="24"/>
          <w:szCs w:val="24"/>
        </w:rPr>
        <w:t>speaking</w:t>
      </w:r>
      <w:r w:rsidR="00961140" w:rsidRPr="00AE4583">
        <w:rPr>
          <w:rFonts w:eastAsiaTheme="minorEastAsia"/>
          <w:sz w:val="24"/>
          <w:szCs w:val="24"/>
        </w:rPr>
        <w:t>,</w:t>
      </w:r>
      <w:r w:rsidR="00FD35D4" w:rsidRPr="00AE4583">
        <w:rPr>
          <w:rFonts w:eastAsiaTheme="minorEastAsia"/>
          <w:sz w:val="24"/>
          <w:szCs w:val="24"/>
        </w:rPr>
        <w:t xml:space="preserve"> children whose family was intact in 2006, but non-intact in 2008 tend to experience</w:t>
      </w:r>
      <w:r w:rsidR="00AE4583" w:rsidRPr="00AE4583">
        <w:rPr>
          <w:rFonts w:eastAsiaTheme="minorEastAsia"/>
          <w:sz w:val="24"/>
          <w:szCs w:val="24"/>
        </w:rPr>
        <w:t xml:space="preserve"> a</w:t>
      </w:r>
      <w:r w:rsidR="00FD35D4" w:rsidRPr="00AE4583">
        <w:rPr>
          <w:rFonts w:eastAsiaTheme="minorEastAsia"/>
          <w:sz w:val="24"/>
          <w:szCs w:val="24"/>
        </w:rPr>
        <w:t xml:space="preserve"> roughly</w:t>
      </w:r>
      <w:r w:rsidR="00050DB3">
        <w:rPr>
          <w:rFonts w:eastAsiaTheme="minorEastAsia"/>
          <w:sz w:val="24"/>
          <w:szCs w:val="24"/>
        </w:rPr>
        <w:t xml:space="preserve"> </w:t>
      </w:r>
      <w:r w:rsidR="00FD35D4" w:rsidRPr="00AE4583">
        <w:rPr>
          <w:rFonts w:eastAsiaTheme="minorEastAsia"/>
          <w:sz w:val="24"/>
          <w:szCs w:val="24"/>
        </w:rPr>
        <w:t>.</w:t>
      </w:r>
      <w:r w:rsidR="00050DB3" w:rsidRPr="00AE4583">
        <w:rPr>
          <w:rFonts w:eastAsiaTheme="minorEastAsia"/>
          <w:sz w:val="24"/>
          <w:szCs w:val="24"/>
        </w:rPr>
        <w:t>0</w:t>
      </w:r>
      <w:r w:rsidR="00BA677E">
        <w:rPr>
          <w:rFonts w:eastAsiaTheme="minorEastAsia"/>
          <w:sz w:val="24"/>
          <w:szCs w:val="24"/>
        </w:rPr>
        <w:t>5</w:t>
      </w:r>
      <w:r w:rsidR="00050DB3" w:rsidRPr="00AE4583">
        <w:rPr>
          <w:rFonts w:eastAsiaTheme="minorEastAsia"/>
          <w:sz w:val="24"/>
          <w:szCs w:val="24"/>
        </w:rPr>
        <w:t>-point</w:t>
      </w:r>
      <w:r w:rsidR="00AE4583" w:rsidRPr="00AE4583">
        <w:rPr>
          <w:rFonts w:eastAsiaTheme="minorEastAsia"/>
          <w:sz w:val="24"/>
          <w:szCs w:val="24"/>
        </w:rPr>
        <w:t xml:space="preserve"> </w:t>
      </w:r>
      <w:r w:rsidR="00FD35D4" w:rsidRPr="00AE4583">
        <w:rPr>
          <w:rFonts w:eastAsiaTheme="minorEastAsia"/>
          <w:sz w:val="24"/>
          <w:szCs w:val="24"/>
        </w:rPr>
        <w:t xml:space="preserve">drop in their </w:t>
      </w:r>
      <w:r w:rsidR="00D76818">
        <w:rPr>
          <w:rFonts w:eastAsiaTheme="minorEastAsia"/>
          <w:sz w:val="24"/>
          <w:szCs w:val="24"/>
        </w:rPr>
        <w:t>GPA</w:t>
      </w:r>
      <w:r w:rsidR="00FD35D4" w:rsidRPr="00AE4583">
        <w:rPr>
          <w:rFonts w:eastAsiaTheme="minorEastAsia"/>
          <w:sz w:val="24"/>
          <w:szCs w:val="24"/>
        </w:rPr>
        <w:t>s</w:t>
      </w:r>
      <w:r w:rsidR="00BA40B5" w:rsidRPr="00AE4583">
        <w:rPr>
          <w:rFonts w:eastAsiaTheme="minorEastAsia"/>
          <w:sz w:val="24"/>
          <w:szCs w:val="24"/>
        </w:rPr>
        <w:t xml:space="preserve"> (p</w:t>
      </w:r>
      <w:r w:rsidR="00342C19">
        <w:rPr>
          <w:rFonts w:eastAsiaTheme="minorEastAsia"/>
          <w:sz w:val="24"/>
          <w:szCs w:val="24"/>
        </w:rPr>
        <w:t xml:space="preserve"> </w:t>
      </w:r>
      <w:r w:rsidR="00BA40B5" w:rsidRPr="00AE4583">
        <w:rPr>
          <w:rFonts w:eastAsiaTheme="minorEastAsia"/>
          <w:sz w:val="24"/>
          <w:szCs w:val="24"/>
        </w:rPr>
        <w:t xml:space="preserve">&lt; </w:t>
      </w:r>
      <w:r w:rsidR="00342C19">
        <w:rPr>
          <w:rFonts w:eastAsiaTheme="minorEastAsia"/>
          <w:sz w:val="24"/>
          <w:szCs w:val="24"/>
        </w:rPr>
        <w:t>0</w:t>
      </w:r>
      <w:r w:rsidR="00BA40B5" w:rsidRPr="00AE4583">
        <w:rPr>
          <w:rFonts w:eastAsiaTheme="minorEastAsia"/>
          <w:sz w:val="24"/>
          <w:szCs w:val="24"/>
        </w:rPr>
        <w:t>.</w:t>
      </w:r>
      <w:r w:rsidR="00BA677E">
        <w:rPr>
          <w:rFonts w:eastAsiaTheme="minorEastAsia"/>
          <w:sz w:val="24"/>
          <w:szCs w:val="24"/>
        </w:rPr>
        <w:t>1</w:t>
      </w:r>
      <w:r w:rsidR="00BA40B5" w:rsidRPr="00AE4583">
        <w:rPr>
          <w:rFonts w:eastAsiaTheme="minorEastAsia"/>
          <w:sz w:val="24"/>
          <w:szCs w:val="24"/>
        </w:rPr>
        <w:t>)</w:t>
      </w:r>
      <w:r w:rsidR="00BA677E">
        <w:rPr>
          <w:rFonts w:eastAsiaTheme="minorEastAsia"/>
          <w:sz w:val="24"/>
          <w:szCs w:val="24"/>
        </w:rPr>
        <w:t xml:space="preserve"> if we do not condition its effect on </w:t>
      </w:r>
      <w:r w:rsidR="005D61A5">
        <w:rPr>
          <w:rFonts w:eastAsiaTheme="minorEastAsia"/>
          <w:sz w:val="24"/>
          <w:szCs w:val="24"/>
        </w:rPr>
        <w:t>any of the covariates other than the lagged-GPA</w:t>
      </w:r>
      <w:r w:rsidR="00FD35D4" w:rsidRPr="00AE4583">
        <w:rPr>
          <w:rFonts w:eastAsiaTheme="minorEastAsia"/>
          <w:sz w:val="24"/>
          <w:szCs w:val="24"/>
        </w:rPr>
        <w:t xml:space="preserve">. Regarding those who were already part of a non-intact household in 2006, </w:t>
      </w:r>
      <w:r w:rsidR="009D75CA" w:rsidRPr="00AE4583">
        <w:rPr>
          <w:rFonts w:eastAsiaTheme="minorEastAsia"/>
          <w:sz w:val="24"/>
          <w:szCs w:val="24"/>
        </w:rPr>
        <w:t>s</w:t>
      </w:r>
      <w:r w:rsidR="00FD35D4" w:rsidRPr="00AE4583">
        <w:rPr>
          <w:rFonts w:eastAsiaTheme="minorEastAsia"/>
          <w:sz w:val="24"/>
          <w:szCs w:val="24"/>
        </w:rPr>
        <w:t>houl</w:t>
      </w:r>
      <w:r w:rsidR="009D75CA" w:rsidRPr="00AE4583">
        <w:rPr>
          <w:rFonts w:eastAsiaTheme="minorEastAsia"/>
          <w:sz w:val="24"/>
          <w:szCs w:val="24"/>
        </w:rPr>
        <w:t>d</w:t>
      </w:r>
      <w:r w:rsidR="00FD35D4" w:rsidRPr="00AE4583">
        <w:rPr>
          <w:rFonts w:eastAsiaTheme="minorEastAsia"/>
          <w:sz w:val="24"/>
          <w:szCs w:val="24"/>
        </w:rPr>
        <w:t xml:space="preserve"> have a milder negative </w:t>
      </w:r>
      <w:r w:rsidR="00AE4583" w:rsidRPr="00AE4583">
        <w:rPr>
          <w:rFonts w:eastAsiaTheme="minorEastAsia"/>
          <w:sz w:val="24"/>
          <w:szCs w:val="24"/>
        </w:rPr>
        <w:t>e</w:t>
      </w:r>
      <w:r w:rsidR="00FD35D4" w:rsidRPr="00AE4583">
        <w:rPr>
          <w:rFonts w:eastAsiaTheme="minorEastAsia"/>
          <w:sz w:val="24"/>
          <w:szCs w:val="24"/>
        </w:rPr>
        <w:t>ffect</w:t>
      </w:r>
      <w:r w:rsidR="00BA40B5" w:rsidRPr="00AE4583">
        <w:rPr>
          <w:rFonts w:eastAsiaTheme="minorEastAsia"/>
          <w:sz w:val="24"/>
          <w:szCs w:val="24"/>
        </w:rPr>
        <w:t xml:space="preserve"> of -0.03</w:t>
      </w:r>
      <w:r w:rsidR="00937CCA">
        <w:rPr>
          <w:rFonts w:eastAsiaTheme="minorEastAsia"/>
          <w:sz w:val="24"/>
          <w:szCs w:val="24"/>
        </w:rPr>
        <w:t>8</w:t>
      </w:r>
      <w:r w:rsidR="00BA40B5" w:rsidRPr="00AE4583">
        <w:rPr>
          <w:rFonts w:eastAsiaTheme="minorEastAsia"/>
          <w:sz w:val="24"/>
          <w:szCs w:val="24"/>
        </w:rPr>
        <w:t xml:space="preserve"> (p&lt; .05)</w:t>
      </w:r>
      <w:r w:rsidR="00FD35D4" w:rsidRPr="00AE4583">
        <w:rPr>
          <w:rFonts w:eastAsiaTheme="minorEastAsia"/>
          <w:sz w:val="24"/>
          <w:szCs w:val="24"/>
        </w:rPr>
        <w:t xml:space="preserve"> on their performance, holding all other factors at constant. </w:t>
      </w:r>
      <w:r w:rsidR="00937CCA">
        <w:rPr>
          <w:rFonts w:eastAsiaTheme="minorEastAsia"/>
          <w:sz w:val="24"/>
          <w:szCs w:val="24"/>
        </w:rPr>
        <w:t>As we start to in</w:t>
      </w:r>
      <w:r w:rsidR="006B2A38">
        <w:rPr>
          <w:rFonts w:eastAsiaTheme="minorEastAsia"/>
          <w:sz w:val="24"/>
          <w:szCs w:val="24"/>
        </w:rPr>
        <w:t>c</w:t>
      </w:r>
      <w:r w:rsidR="00937CCA">
        <w:rPr>
          <w:rFonts w:eastAsiaTheme="minorEastAsia"/>
          <w:sz w:val="24"/>
          <w:szCs w:val="24"/>
        </w:rPr>
        <w:t>lude the sets of covariates, the statistical significance of the separation decreases (p &gt; 0.1)</w:t>
      </w:r>
      <w:r w:rsidR="006B2A38">
        <w:rPr>
          <w:rFonts w:eastAsiaTheme="minorEastAsia"/>
          <w:sz w:val="24"/>
          <w:szCs w:val="24"/>
        </w:rPr>
        <w:t>,</w:t>
      </w:r>
      <w:r w:rsidR="00937CCA">
        <w:rPr>
          <w:rFonts w:eastAsiaTheme="minorEastAsia"/>
          <w:sz w:val="24"/>
          <w:szCs w:val="24"/>
        </w:rPr>
        <w:t xml:space="preserve"> and the magnitude shrinks to a territory floating around </w:t>
      </w:r>
      <w:r w:rsidR="00F8052B">
        <w:rPr>
          <w:sz w:val="23"/>
          <w:szCs w:val="23"/>
        </w:rPr>
        <w:t>-0.012 for the recently separated and -0.03</w:t>
      </w:r>
      <w:r w:rsidR="00937CCA">
        <w:rPr>
          <w:rFonts w:eastAsiaTheme="minorEastAsia"/>
          <w:sz w:val="24"/>
          <w:szCs w:val="24"/>
        </w:rPr>
        <w:t xml:space="preserve"> for the other group.</w:t>
      </w:r>
      <w:r w:rsidR="00116E2B">
        <w:rPr>
          <w:rFonts w:eastAsiaTheme="minorEastAsia"/>
          <w:sz w:val="24"/>
          <w:szCs w:val="24"/>
        </w:rPr>
        <w:t xml:space="preserve"> To interpret the difference between these two estimates, when the separation occurred recently, students may </w:t>
      </w:r>
      <w:r w:rsidR="006B2A38">
        <w:rPr>
          <w:rFonts w:eastAsiaTheme="minorEastAsia"/>
          <w:sz w:val="24"/>
          <w:szCs w:val="24"/>
        </w:rPr>
        <w:t>b</w:t>
      </w:r>
      <w:r w:rsidR="00116E2B">
        <w:rPr>
          <w:rFonts w:eastAsiaTheme="minorEastAsia"/>
          <w:sz w:val="24"/>
          <w:szCs w:val="24"/>
        </w:rPr>
        <w:t xml:space="preserve">e under a shock and did not experience the consequences, while in the other case, they start to admit the (partial) loss of a parent which </w:t>
      </w:r>
      <w:r w:rsidR="006B2A38">
        <w:rPr>
          <w:rFonts w:eastAsiaTheme="minorEastAsia"/>
          <w:sz w:val="24"/>
          <w:szCs w:val="24"/>
        </w:rPr>
        <w:t>a</w:t>
      </w:r>
      <w:r w:rsidR="00116E2B">
        <w:rPr>
          <w:rFonts w:eastAsiaTheme="minorEastAsia"/>
          <w:sz w:val="24"/>
          <w:szCs w:val="24"/>
        </w:rPr>
        <w:t>ffects their performance</w:t>
      </w:r>
      <w:r w:rsidR="00FF0B00" w:rsidRPr="00AE4583">
        <w:rPr>
          <w:rFonts w:eastAsiaTheme="minorEastAsia"/>
          <w:sz w:val="24"/>
          <w:szCs w:val="24"/>
        </w:rPr>
        <w:t>.</w:t>
      </w:r>
      <w:r w:rsidR="00116E2B" w:rsidRPr="00116E2B">
        <w:rPr>
          <w:rFonts w:eastAsiaTheme="minorEastAsia"/>
          <w:sz w:val="24"/>
          <w:szCs w:val="24"/>
        </w:rPr>
        <w:t xml:space="preserve"> </w:t>
      </w:r>
      <w:r w:rsidR="00116E2B" w:rsidRPr="00AE4583">
        <w:rPr>
          <w:rFonts w:eastAsiaTheme="minorEastAsia"/>
          <w:sz w:val="24"/>
          <w:szCs w:val="24"/>
        </w:rPr>
        <w:t>The group of children who have never been “treated” is dropped to avoid perfect multicollinearity.</w:t>
      </w:r>
      <w:r w:rsidR="00FF0B00" w:rsidRPr="00AE4583">
        <w:rPr>
          <w:rFonts w:eastAsiaTheme="minorEastAsia"/>
          <w:sz w:val="24"/>
          <w:szCs w:val="24"/>
        </w:rPr>
        <w:t xml:space="preserve"> </w:t>
      </w:r>
      <w:r w:rsidR="004F4BA5" w:rsidRPr="00AE4583">
        <w:rPr>
          <w:rFonts w:eastAsiaTheme="minorEastAsia"/>
          <w:sz w:val="24"/>
          <w:szCs w:val="24"/>
        </w:rPr>
        <w:t xml:space="preserve">All in all, the </w:t>
      </w:r>
      <w:r w:rsidR="00A43CD3" w:rsidRPr="00AE4583">
        <w:rPr>
          <w:rFonts w:eastAsiaTheme="minorEastAsia"/>
          <w:sz w:val="24"/>
          <w:szCs w:val="24"/>
        </w:rPr>
        <w:t xml:space="preserve">parameter estimates </w:t>
      </w:r>
      <w:r w:rsidR="00BC571F" w:rsidRPr="00AE4583">
        <w:rPr>
          <w:rFonts w:eastAsiaTheme="minorEastAsia"/>
          <w:sz w:val="24"/>
          <w:szCs w:val="24"/>
        </w:rPr>
        <w:t>confirm that there exists indeed a</w:t>
      </w:r>
      <w:r w:rsidR="00A43CD3" w:rsidRPr="00AE4583">
        <w:rPr>
          <w:rFonts w:eastAsiaTheme="minorEastAsia"/>
          <w:sz w:val="24"/>
          <w:szCs w:val="24"/>
        </w:rPr>
        <w:t xml:space="preserve"> negative effect,</w:t>
      </w:r>
      <w:r w:rsidR="00116E2B">
        <w:rPr>
          <w:rFonts w:eastAsiaTheme="minorEastAsia"/>
          <w:sz w:val="24"/>
          <w:szCs w:val="24"/>
        </w:rPr>
        <w:t xml:space="preserve"> although there is larger </w:t>
      </w:r>
      <w:r w:rsidR="00203018">
        <w:rPr>
          <w:rFonts w:eastAsiaTheme="minorEastAsia"/>
          <w:sz w:val="24"/>
          <w:szCs w:val="24"/>
        </w:rPr>
        <w:t>uncertainty,</w:t>
      </w:r>
      <w:r w:rsidR="00116E2B">
        <w:rPr>
          <w:rFonts w:eastAsiaTheme="minorEastAsia"/>
          <w:sz w:val="24"/>
          <w:szCs w:val="24"/>
        </w:rPr>
        <w:t xml:space="preserve"> and the effect implies that covariates absorb most of the negative impact.</w:t>
      </w:r>
      <w:r w:rsidR="00A43CD3" w:rsidRPr="00AE4583">
        <w:rPr>
          <w:rFonts w:eastAsiaTheme="minorEastAsia"/>
          <w:sz w:val="24"/>
          <w:szCs w:val="24"/>
        </w:rPr>
        <w:t xml:space="preserve"> </w:t>
      </w:r>
    </w:p>
    <w:p w14:paraId="17CCB615" w14:textId="16746ED6" w:rsidR="0069547B" w:rsidRDefault="004E5911" w:rsidP="00B20AC7">
      <w:pPr>
        <w:spacing w:line="360" w:lineRule="auto"/>
        <w:ind w:firstLine="397"/>
        <w:jc w:val="both"/>
        <w:rPr>
          <w:rFonts w:eastAsiaTheme="minorEastAsia"/>
          <w:sz w:val="24"/>
          <w:szCs w:val="24"/>
        </w:rPr>
      </w:pPr>
      <w:r>
        <w:rPr>
          <w:noProof/>
        </w:rPr>
        <w:lastRenderedPageBreak/>
        <w:drawing>
          <wp:anchor distT="0" distB="0" distL="114300" distR="114300" simplePos="0" relativeHeight="251799552" behindDoc="0" locked="0" layoutInCell="1" allowOverlap="1" wp14:anchorId="5CCDC8F6" wp14:editId="19DCBBE6">
            <wp:simplePos x="0" y="0"/>
            <wp:positionH relativeFrom="margin">
              <wp:align>center</wp:align>
            </wp:positionH>
            <wp:positionV relativeFrom="paragraph">
              <wp:posOffset>2034181</wp:posOffset>
            </wp:positionV>
            <wp:extent cx="3475990" cy="158178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75990" cy="1581785"/>
                    </a:xfrm>
                    <a:prstGeom prst="rect">
                      <a:avLst/>
                    </a:prstGeom>
                  </pic:spPr>
                </pic:pic>
              </a:graphicData>
            </a:graphic>
            <wp14:sizeRelH relativeFrom="margin">
              <wp14:pctWidth>0</wp14:pctWidth>
            </wp14:sizeRelH>
            <wp14:sizeRelV relativeFrom="margin">
              <wp14:pctHeight>0</wp14:pctHeight>
            </wp14:sizeRelV>
          </wp:anchor>
        </w:drawing>
      </w:r>
      <w:r w:rsidR="00B20AC7">
        <w:rPr>
          <w:rFonts w:eastAsiaTheme="minorEastAsia"/>
          <w:sz w:val="24"/>
          <w:szCs w:val="24"/>
        </w:rPr>
        <w:t>To pick our best VAM model, Table 4. consist of the main penalization statistics for each model selection. As we can see</w:t>
      </w:r>
      <w:r w:rsidR="00203018">
        <w:rPr>
          <w:rFonts w:eastAsiaTheme="minorEastAsia"/>
          <w:sz w:val="24"/>
          <w:szCs w:val="24"/>
        </w:rPr>
        <w:t>,</w:t>
      </w:r>
      <w:r w:rsidR="00B20AC7">
        <w:rPr>
          <w:rFonts w:eastAsiaTheme="minorEastAsia"/>
          <w:sz w:val="24"/>
          <w:szCs w:val="24"/>
        </w:rPr>
        <w:t xml:space="preserve"> the overall accuracy of the model increases, and the sweet spot is reached in the sixth model</w:t>
      </w:r>
      <w:r w:rsidR="008A59A0">
        <w:rPr>
          <w:rFonts w:eastAsiaTheme="minorEastAsia"/>
          <w:sz w:val="24"/>
          <w:szCs w:val="24"/>
        </w:rPr>
        <w:t>,</w:t>
      </w:r>
      <w:r w:rsidR="00B8733A">
        <w:rPr>
          <w:rFonts w:eastAsiaTheme="minorEastAsia"/>
          <w:sz w:val="24"/>
          <w:szCs w:val="24"/>
        </w:rPr>
        <w:t xml:space="preserve"> having the lowest AIC and BIC </w:t>
      </w:r>
      <w:r w:rsidR="008A59A0">
        <w:rPr>
          <w:rFonts w:eastAsiaTheme="minorEastAsia"/>
          <w:sz w:val="24"/>
          <w:szCs w:val="24"/>
        </w:rPr>
        <w:t>scores,</w:t>
      </w:r>
      <w:r w:rsidR="004B1782">
        <w:rPr>
          <w:rFonts w:eastAsiaTheme="minorEastAsia"/>
          <w:sz w:val="24"/>
          <w:szCs w:val="24"/>
        </w:rPr>
        <w:t xml:space="preserve"> and</w:t>
      </w:r>
      <w:r w:rsidR="00B20AC7">
        <w:rPr>
          <w:rFonts w:eastAsiaTheme="minorEastAsia"/>
          <w:sz w:val="24"/>
          <w:szCs w:val="24"/>
        </w:rPr>
        <w:t xml:space="preserve"> </w:t>
      </w:r>
      <w:r w:rsidR="008A59A0">
        <w:rPr>
          <w:rFonts w:eastAsiaTheme="minorEastAsia"/>
          <w:sz w:val="24"/>
          <w:szCs w:val="24"/>
        </w:rPr>
        <w:t>calling for</w:t>
      </w:r>
      <w:r w:rsidR="00B20AC7">
        <w:rPr>
          <w:rFonts w:eastAsiaTheme="minorEastAsia"/>
          <w:sz w:val="24"/>
          <w:szCs w:val="24"/>
        </w:rPr>
        <w:t xml:space="preserve"> skepticism about the residential mobility as we have seen in the literature review. </w:t>
      </w:r>
      <w:r w:rsidR="00116E2B">
        <w:rPr>
          <w:rFonts w:eastAsiaTheme="minorEastAsia"/>
          <w:sz w:val="24"/>
          <w:szCs w:val="24"/>
        </w:rPr>
        <w:t xml:space="preserve">Following the same line of thought, </w:t>
      </w:r>
      <w:r w:rsidR="00A43CD3" w:rsidRPr="00AE4583">
        <w:rPr>
          <w:rFonts w:eastAsiaTheme="minorEastAsia"/>
          <w:sz w:val="24"/>
          <w:szCs w:val="24"/>
        </w:rPr>
        <w:t xml:space="preserve">we can proceed to the result of the Staggered DID which should give us more detail about the relationship based on the length of exposure and </w:t>
      </w:r>
      <w:r w:rsidR="00843301" w:rsidRPr="00AE4583">
        <w:rPr>
          <w:rFonts w:eastAsiaTheme="minorEastAsia"/>
          <w:sz w:val="24"/>
          <w:szCs w:val="24"/>
        </w:rPr>
        <w:t>varying</w:t>
      </w:r>
      <w:r w:rsidR="00A43CD3" w:rsidRPr="00AE4583">
        <w:rPr>
          <w:rFonts w:eastAsiaTheme="minorEastAsia"/>
          <w:sz w:val="24"/>
          <w:szCs w:val="24"/>
        </w:rPr>
        <w:t xml:space="preserve"> treatment period</w:t>
      </w:r>
      <w:r w:rsidR="00843301" w:rsidRPr="00AE4583">
        <w:rPr>
          <w:rFonts w:eastAsiaTheme="minorEastAsia"/>
          <w:sz w:val="24"/>
          <w:szCs w:val="24"/>
        </w:rPr>
        <w:t>s</w:t>
      </w:r>
      <w:r w:rsidR="00A43CD3" w:rsidRPr="00AE4583">
        <w:rPr>
          <w:rFonts w:eastAsiaTheme="minorEastAsia"/>
          <w:sz w:val="24"/>
          <w:szCs w:val="24"/>
        </w:rPr>
        <w:t xml:space="preserve">. </w:t>
      </w:r>
    </w:p>
    <w:p w14:paraId="5A5FD27A" w14:textId="5B097FB0" w:rsidR="000E5EB7" w:rsidRPr="00B20AC7" w:rsidRDefault="000E5EB7" w:rsidP="004E5911">
      <w:pPr>
        <w:spacing w:line="360" w:lineRule="auto"/>
        <w:jc w:val="both"/>
        <w:rPr>
          <w:noProof/>
        </w:rPr>
      </w:pPr>
    </w:p>
    <w:p w14:paraId="4FBED4C2" w14:textId="35F31828" w:rsidR="008504B8" w:rsidRDefault="004526E0" w:rsidP="005944F8">
      <w:pPr>
        <w:pStyle w:val="Heading2"/>
      </w:pPr>
      <w:bookmarkStart w:id="37" w:name="_Toc64591279"/>
      <w:r>
        <w:t xml:space="preserve">4.2. </w:t>
      </w:r>
      <w:r w:rsidR="008504B8">
        <w:t>Staggered DID Estimations</w:t>
      </w:r>
      <w:bookmarkEnd w:id="37"/>
    </w:p>
    <w:p w14:paraId="584FD0E7" w14:textId="4F460D2A" w:rsidR="004D52A7" w:rsidRPr="005944F8" w:rsidRDefault="002C0677" w:rsidP="00202834">
      <w:pPr>
        <w:spacing w:line="360" w:lineRule="auto"/>
        <w:ind w:firstLine="397"/>
        <w:jc w:val="both"/>
        <w:rPr>
          <w:sz w:val="24"/>
          <w:szCs w:val="24"/>
        </w:rPr>
      </w:pPr>
      <w:r>
        <w:rPr>
          <w:sz w:val="24"/>
          <w:szCs w:val="24"/>
        </w:rPr>
        <w:t>What follows are</w:t>
      </w:r>
      <w:r w:rsidR="005944F8" w:rsidRPr="005944F8">
        <w:rPr>
          <w:sz w:val="24"/>
          <w:szCs w:val="24"/>
        </w:rPr>
        <w:t xml:space="preserve"> the </w:t>
      </w:r>
      <w:r w:rsidR="00203018">
        <w:rPr>
          <w:sz w:val="24"/>
          <w:szCs w:val="24"/>
        </w:rPr>
        <w:t xml:space="preserve">dynamic </w:t>
      </w:r>
      <w:r w:rsidR="005944F8" w:rsidRPr="005944F8">
        <w:rPr>
          <w:sz w:val="24"/>
          <w:szCs w:val="24"/>
        </w:rPr>
        <w:t xml:space="preserve">results of the upper and lower bound estimations of </w:t>
      </w:r>
      <w:r w:rsidR="00203018">
        <w:rPr>
          <w:sz w:val="24"/>
          <w:szCs w:val="24"/>
        </w:rPr>
        <w:t>parental separation</w:t>
      </w:r>
      <w:r w:rsidR="005944F8" w:rsidRPr="005944F8">
        <w:rPr>
          <w:sz w:val="24"/>
          <w:szCs w:val="24"/>
        </w:rPr>
        <w:t xml:space="preserve"> on children’s </w:t>
      </w:r>
      <w:r w:rsidR="00D76818">
        <w:rPr>
          <w:sz w:val="24"/>
          <w:szCs w:val="24"/>
        </w:rPr>
        <w:t>GPA</w:t>
      </w:r>
      <w:r w:rsidR="005944F8" w:rsidRPr="005944F8">
        <w:rPr>
          <w:sz w:val="24"/>
          <w:szCs w:val="24"/>
        </w:rPr>
        <w:t>s</w:t>
      </w:r>
      <w:r w:rsidR="002D526E">
        <w:rPr>
          <w:sz w:val="24"/>
          <w:szCs w:val="24"/>
        </w:rPr>
        <w:t xml:space="preserve"> through a forward model selection procedure</w:t>
      </w:r>
      <w:r w:rsidR="00A35468">
        <w:rPr>
          <w:sz w:val="24"/>
          <w:szCs w:val="24"/>
        </w:rPr>
        <w:t xml:space="preserve"> </w:t>
      </w:r>
      <w:r w:rsidR="001A32C7">
        <w:rPr>
          <w:sz w:val="24"/>
          <w:szCs w:val="24"/>
        </w:rPr>
        <w:t>based on</w:t>
      </w:r>
      <w:r w:rsidR="00A35468">
        <w:rPr>
          <w:sz w:val="24"/>
          <w:szCs w:val="24"/>
        </w:rPr>
        <w:t xml:space="preserve"> our forward selection</w:t>
      </w:r>
      <w:r w:rsidR="005944F8" w:rsidRPr="005944F8">
        <w:rPr>
          <w:sz w:val="24"/>
          <w:szCs w:val="24"/>
        </w:rPr>
        <w:t>.</w:t>
      </w:r>
      <w:r w:rsidR="005944F8">
        <w:rPr>
          <w:sz w:val="24"/>
          <w:szCs w:val="24"/>
        </w:rPr>
        <w:t xml:space="preserve"> </w:t>
      </w:r>
      <w:r w:rsidR="002D526E">
        <w:rPr>
          <w:sz w:val="24"/>
          <w:szCs w:val="24"/>
        </w:rPr>
        <w:t>Regarding covariates, I will</w:t>
      </w:r>
      <w:r w:rsidR="005A235F">
        <w:rPr>
          <w:sz w:val="24"/>
          <w:szCs w:val="24"/>
        </w:rPr>
        <w:t xml:space="preserve"> mirror the explanatory sets used in the VAM estimation.</w:t>
      </w:r>
      <w:r w:rsidR="002202BE">
        <w:rPr>
          <w:sz w:val="24"/>
          <w:szCs w:val="24"/>
        </w:rPr>
        <w:t xml:space="preserve"> </w:t>
      </w:r>
      <w:r w:rsidR="005944F8" w:rsidRPr="005944F8">
        <w:rPr>
          <w:sz w:val="24"/>
          <w:szCs w:val="24"/>
        </w:rPr>
        <w:t xml:space="preserve">Heavily relying on the dynamic approach developed by Callaway &amp; </w:t>
      </w:r>
      <w:proofErr w:type="spellStart"/>
      <w:r w:rsidR="005944F8" w:rsidRPr="005944F8">
        <w:rPr>
          <w:sz w:val="24"/>
          <w:szCs w:val="24"/>
        </w:rPr>
        <w:t>Sant’Anna</w:t>
      </w:r>
      <w:proofErr w:type="spellEnd"/>
      <w:r w:rsidR="005944F8" w:rsidRPr="005944F8">
        <w:rPr>
          <w:sz w:val="24"/>
          <w:szCs w:val="24"/>
        </w:rPr>
        <w:t xml:space="preserve"> (2018), I used their R package to implement multiple Staggered DID estimations on the HLCS dataset</w:t>
      </w:r>
      <w:r w:rsidR="00202834">
        <w:rPr>
          <w:sz w:val="24"/>
          <w:szCs w:val="24"/>
        </w:rPr>
        <w:t>, where the inputs</w:t>
      </w:r>
      <w:r w:rsidR="00706384">
        <w:rPr>
          <w:sz w:val="24"/>
          <w:szCs w:val="24"/>
        </w:rPr>
        <w:t xml:space="preserve"> required the outcome variable, the dummy for family status, the control variables</w:t>
      </w:r>
      <w:r w:rsidR="002923E4">
        <w:rPr>
          <w:sz w:val="24"/>
          <w:szCs w:val="24"/>
        </w:rPr>
        <w:t>,</w:t>
      </w:r>
      <w:r w:rsidR="00706384">
        <w:rPr>
          <w:sz w:val="24"/>
          <w:szCs w:val="24"/>
        </w:rPr>
        <w:t xml:space="preserve"> and lastly a column which indicates which year an individual was first exposed to disruption. The very last input of the model allows us to elaborate on the coefficient sizes based on the length of exposure. </w:t>
      </w:r>
      <w:r w:rsidR="006D161A" w:rsidRPr="006D161A">
        <w:rPr>
          <w:sz w:val="24"/>
          <w:szCs w:val="24"/>
        </w:rPr>
        <w:t>The estimations were carried out with clustered bootstrapped (n = 1000) standard errors at a student level, while it accounts for the autocorrelation of the data.</w:t>
      </w:r>
    </w:p>
    <w:p w14:paraId="298726B6" w14:textId="05B1AF6F" w:rsidR="00202834" w:rsidRDefault="004526E0" w:rsidP="008504B8">
      <w:pPr>
        <w:pStyle w:val="Heading3"/>
        <w:jc w:val="center"/>
      </w:pPr>
      <w:bookmarkStart w:id="38" w:name="_Toc64591280"/>
      <w:r>
        <w:t xml:space="preserve">4.2.1. </w:t>
      </w:r>
      <w:r w:rsidR="00E34A69">
        <w:t>Upper-bound Estimat</w:t>
      </w:r>
      <w:r w:rsidR="00EF6C61">
        <w:t>es</w:t>
      </w:r>
      <w:bookmarkEnd w:id="38"/>
    </w:p>
    <w:p w14:paraId="7BE5A2B3" w14:textId="2003E396" w:rsidR="004526E0" w:rsidRPr="006C019D" w:rsidRDefault="004526E0" w:rsidP="004526E0">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4.2.1.1. Unconditional Design</w:t>
      </w:r>
    </w:p>
    <w:p w14:paraId="659E4FAD" w14:textId="4CB5AAE0" w:rsidR="00F45620" w:rsidRDefault="00202834" w:rsidP="004E5911">
      <w:pPr>
        <w:spacing w:line="360" w:lineRule="auto"/>
        <w:ind w:firstLine="397"/>
        <w:jc w:val="both"/>
        <w:rPr>
          <w:sz w:val="24"/>
          <w:szCs w:val="24"/>
        </w:rPr>
      </w:pPr>
      <w:r w:rsidRPr="00706384">
        <w:rPr>
          <w:sz w:val="24"/>
          <w:szCs w:val="24"/>
        </w:rPr>
        <w:t>First</w:t>
      </w:r>
      <w:r w:rsidR="002923E4">
        <w:rPr>
          <w:sz w:val="24"/>
          <w:szCs w:val="24"/>
        </w:rPr>
        <w:t>,</w:t>
      </w:r>
      <w:r w:rsidRPr="00706384">
        <w:rPr>
          <w:sz w:val="24"/>
          <w:szCs w:val="24"/>
        </w:rPr>
        <w:t xml:space="preserve"> let us consider the result of the upper-bound estimations. In Table </w:t>
      </w:r>
      <w:r w:rsidR="00517AAF">
        <w:rPr>
          <w:sz w:val="24"/>
          <w:szCs w:val="24"/>
        </w:rPr>
        <w:t>5</w:t>
      </w:r>
      <w:r w:rsidRPr="00706384">
        <w:rPr>
          <w:sz w:val="24"/>
          <w:szCs w:val="24"/>
        </w:rPr>
        <w:t xml:space="preserve">., you can see the average group-treatment effect of the parental separation given that there are no other </w:t>
      </w:r>
      <w:r w:rsidRPr="00706384">
        <w:rPr>
          <w:sz w:val="24"/>
          <w:szCs w:val="24"/>
        </w:rPr>
        <w:lastRenderedPageBreak/>
        <w:t>covariates</w:t>
      </w:r>
      <w:r w:rsidR="009A1308">
        <w:rPr>
          <w:sz w:val="24"/>
          <w:szCs w:val="24"/>
        </w:rPr>
        <w:t xml:space="preserve"> (N = 28,438)</w:t>
      </w:r>
      <w:r w:rsidR="00DA3A9C">
        <w:rPr>
          <w:sz w:val="24"/>
          <w:szCs w:val="24"/>
        </w:rPr>
        <w:t xml:space="preserve">. There are no outstanding groups </w:t>
      </w:r>
      <w:r w:rsidR="006B2A38">
        <w:rPr>
          <w:sz w:val="24"/>
          <w:szCs w:val="24"/>
        </w:rPr>
        <w:t>that</w:t>
      </w:r>
      <w:r w:rsidR="00DA3A9C">
        <w:rPr>
          <w:sz w:val="24"/>
          <w:szCs w:val="24"/>
        </w:rPr>
        <w:t xml:space="preserve"> were substantially more affected given time, however, </w:t>
      </w:r>
      <w:r w:rsidR="00585803">
        <w:rPr>
          <w:sz w:val="23"/>
          <w:szCs w:val="23"/>
        </w:rPr>
        <w:t>students of the 2007 cohort who were separated at least from one of their biological in either 2007, 2008, or 2009</w:t>
      </w:r>
      <w:r w:rsidR="00DA3A9C">
        <w:rPr>
          <w:sz w:val="24"/>
          <w:szCs w:val="24"/>
        </w:rPr>
        <w:t xml:space="preserve"> performed marginally better </w:t>
      </w:r>
      <w:r w:rsidR="001957AC">
        <w:rPr>
          <w:sz w:val="24"/>
          <w:szCs w:val="24"/>
        </w:rPr>
        <w:t>after the separation</w:t>
      </w:r>
      <w:r w:rsidR="00DA3A9C">
        <w:rPr>
          <w:sz w:val="24"/>
          <w:szCs w:val="24"/>
        </w:rPr>
        <w:t>.</w:t>
      </w:r>
      <w:r w:rsidR="000E34B7">
        <w:rPr>
          <w:sz w:val="24"/>
          <w:szCs w:val="24"/>
        </w:rPr>
        <w:t xml:space="preserve"> </w:t>
      </w:r>
      <w:r w:rsidR="00DA3A9C">
        <w:rPr>
          <w:sz w:val="24"/>
          <w:szCs w:val="24"/>
        </w:rPr>
        <w:t xml:space="preserve">It is counterintuitive, since we expect negative coefficient signs, but also can be attributed to the fact that in many cases the </w:t>
      </w:r>
      <w:r w:rsidR="002923E4">
        <w:rPr>
          <w:sz w:val="24"/>
          <w:szCs w:val="24"/>
        </w:rPr>
        <w:t xml:space="preserve">parental </w:t>
      </w:r>
      <w:r w:rsidR="00DA3A9C">
        <w:rPr>
          <w:sz w:val="24"/>
          <w:szCs w:val="24"/>
        </w:rPr>
        <w:t xml:space="preserve">conflict </w:t>
      </w:r>
      <w:r w:rsidR="00D64AFF">
        <w:rPr>
          <w:sz w:val="24"/>
          <w:szCs w:val="24"/>
        </w:rPr>
        <w:t>prec</w:t>
      </w:r>
      <w:r w:rsidR="002923E4">
        <w:rPr>
          <w:sz w:val="24"/>
          <w:szCs w:val="24"/>
        </w:rPr>
        <w:t>edent</w:t>
      </w:r>
      <w:r w:rsidR="00D64AFF">
        <w:rPr>
          <w:sz w:val="24"/>
          <w:szCs w:val="24"/>
        </w:rPr>
        <w:t xml:space="preserve"> to the disruption imposes a larger negative effect on children</w:t>
      </w:r>
      <w:r w:rsidR="00517AAF">
        <w:rPr>
          <w:sz w:val="24"/>
          <w:szCs w:val="24"/>
        </w:rPr>
        <w:t xml:space="preserve"> than the separation as</w:t>
      </w:r>
      <w:r w:rsidR="00D64AFF">
        <w:rPr>
          <w:sz w:val="24"/>
          <w:szCs w:val="24"/>
        </w:rPr>
        <w:t xml:space="preserve"> they are already aware of the worst-case scenario</w:t>
      </w:r>
      <w:r w:rsidR="00517AAF">
        <w:rPr>
          <w:sz w:val="24"/>
          <w:szCs w:val="24"/>
        </w:rPr>
        <w:t xml:space="preserve"> and eventually</w:t>
      </w:r>
      <w:r w:rsidR="00D64AFF">
        <w:rPr>
          <w:sz w:val="24"/>
          <w:szCs w:val="24"/>
        </w:rPr>
        <w:t xml:space="preserve"> relieved from the stress,</w:t>
      </w:r>
      <w:r w:rsidR="00517AAF">
        <w:rPr>
          <w:sz w:val="24"/>
          <w:szCs w:val="24"/>
        </w:rPr>
        <w:t xml:space="preserve"> leading to</w:t>
      </w:r>
      <w:r w:rsidR="00D64AFF">
        <w:rPr>
          <w:sz w:val="24"/>
          <w:szCs w:val="24"/>
        </w:rPr>
        <w:t xml:space="preserve"> a positive separation effect. </w:t>
      </w:r>
      <w:r w:rsidR="00F45620">
        <w:rPr>
          <w:sz w:val="24"/>
          <w:szCs w:val="24"/>
        </w:rPr>
        <w:t>As we can see, the unconditional PTA does hold as there is no evidence against it when performing the Wald-test (p &gt; 0.9</w:t>
      </w:r>
      <w:r w:rsidR="000D2FFE">
        <w:rPr>
          <w:sz w:val="24"/>
          <w:szCs w:val="24"/>
        </w:rPr>
        <w:t>97</w:t>
      </w:r>
      <w:r w:rsidR="00F45620">
        <w:rPr>
          <w:sz w:val="24"/>
          <w:szCs w:val="24"/>
        </w:rPr>
        <w:t xml:space="preserve">), but the coefficients are likely to be biased as possible regressors end up in the error term. We should expect the p-value to decrease in the future as </w:t>
      </w:r>
      <w:r w:rsidR="001957AC">
        <w:rPr>
          <w:sz w:val="24"/>
          <w:szCs w:val="24"/>
        </w:rPr>
        <w:t xml:space="preserve">trend </w:t>
      </w:r>
      <w:r w:rsidR="00F45620">
        <w:rPr>
          <w:sz w:val="24"/>
          <w:szCs w:val="24"/>
        </w:rPr>
        <w:t>variance</w:t>
      </w:r>
      <w:r w:rsidR="001957AC">
        <w:rPr>
          <w:sz w:val="24"/>
          <w:szCs w:val="24"/>
        </w:rPr>
        <w:t>s</w:t>
      </w:r>
      <w:r w:rsidR="00F45620">
        <w:rPr>
          <w:sz w:val="24"/>
          <w:szCs w:val="24"/>
        </w:rPr>
        <w:t xml:space="preserve"> </w:t>
      </w:r>
      <w:r w:rsidR="001957AC">
        <w:rPr>
          <w:sz w:val="24"/>
          <w:szCs w:val="24"/>
        </w:rPr>
        <w:t>throughout the observed</w:t>
      </w:r>
      <w:r w:rsidR="00F45620">
        <w:rPr>
          <w:sz w:val="24"/>
          <w:szCs w:val="24"/>
        </w:rPr>
        <w:t xml:space="preserve"> period show up after conditioning on controls with greater dispersion</w:t>
      </w:r>
      <w:r w:rsidR="001957AC">
        <w:rPr>
          <w:sz w:val="24"/>
          <w:szCs w:val="24"/>
        </w:rPr>
        <w:t>.</w:t>
      </w:r>
      <w:r w:rsidR="00F45620">
        <w:rPr>
          <w:sz w:val="24"/>
          <w:szCs w:val="24"/>
        </w:rPr>
        <w:t xml:space="preserve"> </w:t>
      </w:r>
      <w:r w:rsidR="0045754C">
        <w:rPr>
          <w:sz w:val="24"/>
          <w:szCs w:val="24"/>
        </w:rPr>
        <w:t>Beginning</w:t>
      </w:r>
      <w:r w:rsidR="0080394D">
        <w:rPr>
          <w:sz w:val="24"/>
          <w:szCs w:val="24"/>
        </w:rPr>
        <w:t xml:space="preserve"> from</w:t>
      </w:r>
      <w:r w:rsidR="0045754C">
        <w:rPr>
          <w:sz w:val="24"/>
          <w:szCs w:val="24"/>
        </w:rPr>
        <w:t xml:space="preserve"> the next subsection, w</w:t>
      </w:r>
      <w:r w:rsidR="00D64AFF">
        <w:rPr>
          <w:sz w:val="24"/>
          <w:szCs w:val="24"/>
        </w:rPr>
        <w:t>e will mitigate such issue</w:t>
      </w:r>
      <w:r w:rsidR="002923E4">
        <w:rPr>
          <w:sz w:val="24"/>
          <w:szCs w:val="24"/>
        </w:rPr>
        <w:t>s</w:t>
      </w:r>
      <w:r w:rsidR="00D64AFF">
        <w:rPr>
          <w:sz w:val="24"/>
          <w:szCs w:val="24"/>
        </w:rPr>
        <w:t xml:space="preserve"> by including sets of covariates explaining such differences</w:t>
      </w:r>
      <w:r w:rsidR="00F45620">
        <w:rPr>
          <w:sz w:val="24"/>
          <w:szCs w:val="24"/>
        </w:rPr>
        <w:t xml:space="preserve"> and try to find </w:t>
      </w:r>
      <w:r w:rsidR="004E5911">
        <w:rPr>
          <w:noProof/>
        </w:rPr>
        <w:drawing>
          <wp:anchor distT="0" distB="0" distL="114300" distR="114300" simplePos="0" relativeHeight="251800576" behindDoc="0" locked="0" layoutInCell="1" allowOverlap="1" wp14:anchorId="7EA09FAC" wp14:editId="4693719F">
            <wp:simplePos x="0" y="0"/>
            <wp:positionH relativeFrom="margin">
              <wp:align>center</wp:align>
            </wp:positionH>
            <wp:positionV relativeFrom="paragraph">
              <wp:posOffset>4156848</wp:posOffset>
            </wp:positionV>
            <wp:extent cx="4495800" cy="2703195"/>
            <wp:effectExtent l="0" t="0" r="0"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5800" cy="2703195"/>
                    </a:xfrm>
                    <a:prstGeom prst="rect">
                      <a:avLst/>
                    </a:prstGeom>
                  </pic:spPr>
                </pic:pic>
              </a:graphicData>
            </a:graphic>
            <wp14:sizeRelH relativeFrom="margin">
              <wp14:pctWidth>0</wp14:pctWidth>
            </wp14:sizeRelH>
            <wp14:sizeRelV relativeFrom="margin">
              <wp14:pctHeight>0</wp14:pctHeight>
            </wp14:sizeRelV>
          </wp:anchor>
        </w:drawing>
      </w:r>
      <w:r w:rsidR="00F45620">
        <w:rPr>
          <w:sz w:val="24"/>
          <w:szCs w:val="24"/>
        </w:rPr>
        <w:t>the optimal trade-off between PTA and accuracy of the coefficients</w:t>
      </w:r>
      <w:r w:rsidR="00D64AFF">
        <w:rPr>
          <w:sz w:val="24"/>
          <w:szCs w:val="24"/>
        </w:rPr>
        <w:t xml:space="preserve">. </w:t>
      </w:r>
    </w:p>
    <w:p w14:paraId="72C028C4" w14:textId="5D2AC432" w:rsidR="00EE2013" w:rsidRDefault="00EE2013" w:rsidP="00EE2013">
      <w:pPr>
        <w:spacing w:line="360" w:lineRule="auto"/>
        <w:ind w:firstLine="397"/>
        <w:jc w:val="both"/>
        <w:rPr>
          <w:sz w:val="24"/>
          <w:szCs w:val="24"/>
        </w:rPr>
      </w:pPr>
    </w:p>
    <w:p w14:paraId="3E38394F" w14:textId="29549AA4" w:rsidR="005C2793" w:rsidRDefault="009A1308" w:rsidP="00FF0E8D">
      <w:pPr>
        <w:spacing w:before="160" w:line="360" w:lineRule="auto"/>
        <w:ind w:firstLine="397"/>
        <w:jc w:val="both"/>
        <w:rPr>
          <w:sz w:val="24"/>
          <w:szCs w:val="24"/>
        </w:rPr>
      </w:pPr>
      <w:r>
        <w:rPr>
          <w:sz w:val="24"/>
          <w:szCs w:val="24"/>
        </w:rPr>
        <w:t xml:space="preserve">We can also </w:t>
      </w:r>
      <w:r w:rsidR="00EE23F3">
        <w:rPr>
          <w:sz w:val="24"/>
          <w:szCs w:val="24"/>
        </w:rPr>
        <w:t xml:space="preserve">plot the dynamic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F84E42">
        <w:rPr>
          <w:rFonts w:eastAsiaTheme="minorEastAsia"/>
          <w:sz w:val="24"/>
          <w:szCs w:val="24"/>
        </w:rPr>
        <w:t>s</w:t>
      </w:r>
      <w:r>
        <w:rPr>
          <w:sz w:val="24"/>
          <w:szCs w:val="24"/>
        </w:rPr>
        <w:t xml:space="preserve"> and transform them into an event-study like </w:t>
      </w:r>
      <w:r w:rsidR="00A17BB9">
        <w:rPr>
          <w:sz w:val="24"/>
          <w:szCs w:val="24"/>
        </w:rPr>
        <w:t>representation</w:t>
      </w:r>
      <w:r>
        <w:rPr>
          <w:sz w:val="24"/>
          <w:szCs w:val="24"/>
        </w:rPr>
        <w:t xml:space="preserve"> where we illustrate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4715C6">
        <w:rPr>
          <w:rFonts w:eastAsiaTheme="minorEastAsia"/>
          <w:sz w:val="24"/>
          <w:szCs w:val="24"/>
        </w:rPr>
        <w:t>s</w:t>
      </w:r>
      <w:r>
        <w:rPr>
          <w:sz w:val="24"/>
          <w:szCs w:val="24"/>
        </w:rPr>
        <w:t xml:space="preserve"> on the dimension of the period </w:t>
      </w:r>
      <w:r w:rsidR="005776A9">
        <w:rPr>
          <w:sz w:val="24"/>
          <w:szCs w:val="24"/>
        </w:rPr>
        <w:t xml:space="preserve">and assigning zero </w:t>
      </w:r>
      <w:r w:rsidR="005A3438">
        <w:rPr>
          <w:sz w:val="24"/>
          <w:szCs w:val="24"/>
        </w:rPr>
        <w:t xml:space="preserve">to </w:t>
      </w:r>
      <w:r>
        <w:rPr>
          <w:sz w:val="24"/>
          <w:szCs w:val="24"/>
        </w:rPr>
        <w:t xml:space="preserve">the time of treatment. </w:t>
      </w:r>
      <w:r w:rsidR="00F357AC">
        <w:rPr>
          <w:sz w:val="24"/>
          <w:szCs w:val="24"/>
        </w:rPr>
        <w:t xml:space="preserve">In Figure 1., the unconditional aggregated effects through </w:t>
      </w:r>
      <w:r w:rsidR="002923E4">
        <w:rPr>
          <w:sz w:val="24"/>
          <w:szCs w:val="24"/>
        </w:rPr>
        <w:t xml:space="preserve">the </w:t>
      </w:r>
      <w:r w:rsidR="00F357AC">
        <w:rPr>
          <w:sz w:val="24"/>
          <w:szCs w:val="24"/>
        </w:rPr>
        <w:t xml:space="preserve">length of exposure suggest that after the separation (t = 0), children tend to perform better </w:t>
      </w:r>
      <w:r w:rsidR="003A120E">
        <w:rPr>
          <w:sz w:val="24"/>
          <w:szCs w:val="24"/>
        </w:rPr>
        <w:t>on average</w:t>
      </w:r>
      <w:r w:rsidR="002923E4">
        <w:rPr>
          <w:sz w:val="24"/>
          <w:szCs w:val="24"/>
        </w:rPr>
        <w:t>,</w:t>
      </w:r>
      <w:r w:rsidR="00F357AC">
        <w:rPr>
          <w:sz w:val="24"/>
          <w:szCs w:val="24"/>
        </w:rPr>
        <w:t xml:space="preserve"> and in the second post-treatment year their </w:t>
      </w:r>
      <w:r w:rsidR="00D76818">
        <w:rPr>
          <w:sz w:val="24"/>
          <w:szCs w:val="24"/>
        </w:rPr>
        <w:t>GPA</w:t>
      </w:r>
      <w:r w:rsidR="00F357AC">
        <w:rPr>
          <w:sz w:val="24"/>
          <w:szCs w:val="24"/>
        </w:rPr>
        <w:t xml:space="preserve"> was</w:t>
      </w:r>
      <w:r w:rsidR="003A120E">
        <w:rPr>
          <w:sz w:val="24"/>
          <w:szCs w:val="24"/>
        </w:rPr>
        <w:t xml:space="preserve"> roughly</w:t>
      </w:r>
      <w:r w:rsidR="00F357AC">
        <w:rPr>
          <w:sz w:val="24"/>
          <w:szCs w:val="24"/>
        </w:rPr>
        <w:t xml:space="preserve"> 0.1 point</w:t>
      </w:r>
      <w:r w:rsidR="002923E4">
        <w:rPr>
          <w:sz w:val="24"/>
          <w:szCs w:val="24"/>
        </w:rPr>
        <w:t>s</w:t>
      </w:r>
      <w:r w:rsidR="00F357AC">
        <w:rPr>
          <w:sz w:val="24"/>
          <w:szCs w:val="24"/>
        </w:rPr>
        <w:t xml:space="preserve"> better. </w:t>
      </w:r>
      <w:r w:rsidR="005C2793">
        <w:rPr>
          <w:sz w:val="24"/>
          <w:szCs w:val="24"/>
        </w:rPr>
        <w:t xml:space="preserve">The fitted 95% confidence bands after the bootstrapping (n = 1000) include zero, </w:t>
      </w:r>
      <w:r w:rsidR="005C2793">
        <w:rPr>
          <w:sz w:val="24"/>
          <w:szCs w:val="24"/>
        </w:rPr>
        <w:lastRenderedPageBreak/>
        <w:t>thus we can also state that there is already a possibility that parental separation is irrelevant.</w:t>
      </w:r>
      <w:r w:rsidR="005A48D4">
        <w:rPr>
          <w:sz w:val="24"/>
          <w:szCs w:val="24"/>
        </w:rPr>
        <w:t xml:space="preserve"> </w:t>
      </w:r>
      <w:r w:rsidR="00F84E42">
        <w:rPr>
          <w:sz w:val="24"/>
          <w:szCs w:val="24"/>
        </w:rPr>
        <w:t xml:space="preserve">To sum up, </w:t>
      </w:r>
      <w:r w:rsidR="00955B5B">
        <w:rPr>
          <w:sz w:val="24"/>
          <w:szCs w:val="24"/>
        </w:rPr>
        <w:t xml:space="preserve">the dynamic effects also show a positive effect </w:t>
      </w:r>
      <w:r w:rsidR="006B2A38">
        <w:rPr>
          <w:sz w:val="24"/>
          <w:szCs w:val="24"/>
        </w:rPr>
        <w:t>i</w:t>
      </w:r>
      <w:r w:rsidR="00955B5B">
        <w:rPr>
          <w:sz w:val="24"/>
          <w:szCs w:val="24"/>
        </w:rPr>
        <w:t xml:space="preserve">n the short run even though it is </w:t>
      </w:r>
      <w:r w:rsidR="00FF0E8D">
        <w:rPr>
          <w:noProof/>
        </w:rPr>
        <mc:AlternateContent>
          <mc:Choice Requires="wps">
            <w:drawing>
              <wp:anchor distT="0" distB="0" distL="114300" distR="114300" simplePos="0" relativeHeight="251721728" behindDoc="0" locked="0" layoutInCell="1" allowOverlap="1" wp14:anchorId="54CF83C5" wp14:editId="5B7DBCAF">
                <wp:simplePos x="0" y="0"/>
                <wp:positionH relativeFrom="margin">
                  <wp:align>center</wp:align>
                </wp:positionH>
                <wp:positionV relativeFrom="paragraph">
                  <wp:posOffset>3710582</wp:posOffset>
                </wp:positionV>
                <wp:extent cx="2870200" cy="413385"/>
                <wp:effectExtent l="0" t="0" r="6350" b="5715"/>
                <wp:wrapTopAndBottom/>
                <wp:docPr id="25" name="Text Box 25"/>
                <wp:cNvGraphicFramePr/>
                <a:graphic xmlns:a="http://schemas.openxmlformats.org/drawingml/2006/main">
                  <a:graphicData uri="http://schemas.microsoft.com/office/word/2010/wordprocessingShape">
                    <wps:wsp>
                      <wps:cNvSpPr txBox="1"/>
                      <wps:spPr>
                        <a:xfrm>
                          <a:off x="0" y="0"/>
                          <a:ext cx="2870200" cy="413385"/>
                        </a:xfrm>
                        <a:prstGeom prst="rect">
                          <a:avLst/>
                        </a:prstGeom>
                        <a:solidFill>
                          <a:prstClr val="white"/>
                        </a:solidFill>
                        <a:ln>
                          <a:noFill/>
                        </a:ln>
                      </wps:spPr>
                      <wps:txbx>
                        <w:txbxContent>
                          <w:p w14:paraId="4C160DBE" w14:textId="69BE4EFA" w:rsidR="004E5911" w:rsidRPr="00035C15" w:rsidRDefault="004E5911" w:rsidP="002416C0">
                            <w:pPr>
                              <w:pStyle w:val="Caption"/>
                              <w:jc w:val="both"/>
                              <w:rPr>
                                <w:noProof/>
                                <w:color w:val="auto"/>
                                <w:sz w:val="20"/>
                                <w:szCs w:val="20"/>
                              </w:rPr>
                            </w:pPr>
                            <w:r w:rsidRPr="00035C15">
                              <w:rPr>
                                <w:color w:val="auto"/>
                                <w:sz w:val="20"/>
                                <w:szCs w:val="20"/>
                              </w:rPr>
                              <w:t xml:space="preserve">Figure </w:t>
                            </w:r>
                            <w:r w:rsidRPr="00035C15">
                              <w:rPr>
                                <w:color w:val="auto"/>
                                <w:sz w:val="20"/>
                                <w:szCs w:val="20"/>
                              </w:rPr>
                              <w:fldChar w:fldCharType="begin"/>
                            </w:r>
                            <w:r w:rsidRPr="00035C15">
                              <w:rPr>
                                <w:color w:val="auto"/>
                                <w:sz w:val="20"/>
                                <w:szCs w:val="20"/>
                              </w:rPr>
                              <w:instrText xml:space="preserve"> SEQ Figure \* ARABIC </w:instrText>
                            </w:r>
                            <w:r w:rsidRPr="00035C15">
                              <w:rPr>
                                <w:color w:val="auto"/>
                                <w:sz w:val="20"/>
                                <w:szCs w:val="20"/>
                              </w:rPr>
                              <w:fldChar w:fldCharType="separate"/>
                            </w:r>
                            <w:r>
                              <w:rPr>
                                <w:noProof/>
                                <w:color w:val="auto"/>
                                <w:sz w:val="20"/>
                                <w:szCs w:val="20"/>
                              </w:rPr>
                              <w:t>2</w:t>
                            </w:r>
                            <w:r w:rsidRPr="00035C15">
                              <w:rPr>
                                <w:color w:val="auto"/>
                                <w:sz w:val="20"/>
                                <w:szCs w:val="20"/>
                              </w:rPr>
                              <w:fldChar w:fldCharType="end"/>
                            </w:r>
                            <w:r w:rsidRPr="00035C15">
                              <w:rPr>
                                <w:color w:val="auto"/>
                                <w:sz w:val="20"/>
                                <w:szCs w:val="20"/>
                              </w:rPr>
                              <w:t>. Event study of parental separation’s upper-bound and unconditional impact on GPA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F83C5" id="Text Box 25" o:spid="_x0000_s1027" type="#_x0000_t202" style="position:absolute;left:0;text-align:left;margin-left:0;margin-top:292.15pt;width:226pt;height:32.5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" stroked="f">
                <v:textbox inset="0,0,0,0">
                  <w:txbxContent>
                    <w:p w14:paraId="4C160DBE" w14:textId="69BE4EFA" w:rsidR="004E5911" w:rsidRPr="00035C15" w:rsidRDefault="004E5911" w:rsidP="002416C0">
                      <w:pPr>
                        <w:pStyle w:val="Caption"/>
                        <w:jc w:val="both"/>
                        <w:rPr>
                          <w:noProof/>
                          <w:color w:val="auto"/>
                          <w:sz w:val="20"/>
                          <w:szCs w:val="20"/>
                        </w:rPr>
                      </w:pPr>
                      <w:r w:rsidRPr="00035C15">
                        <w:rPr>
                          <w:color w:val="auto"/>
                          <w:sz w:val="20"/>
                          <w:szCs w:val="20"/>
                        </w:rPr>
                        <w:t xml:space="preserve">Figure </w:t>
                      </w:r>
                      <w:r w:rsidRPr="00035C15">
                        <w:rPr>
                          <w:color w:val="auto"/>
                          <w:sz w:val="20"/>
                          <w:szCs w:val="20"/>
                        </w:rPr>
                        <w:fldChar w:fldCharType="begin"/>
                      </w:r>
                      <w:r w:rsidRPr="00035C15">
                        <w:rPr>
                          <w:color w:val="auto"/>
                          <w:sz w:val="20"/>
                          <w:szCs w:val="20"/>
                        </w:rPr>
                        <w:instrText xml:space="preserve"> SEQ Figure \* ARABIC </w:instrText>
                      </w:r>
                      <w:r w:rsidRPr="00035C15">
                        <w:rPr>
                          <w:color w:val="auto"/>
                          <w:sz w:val="20"/>
                          <w:szCs w:val="20"/>
                        </w:rPr>
                        <w:fldChar w:fldCharType="separate"/>
                      </w:r>
                      <w:r>
                        <w:rPr>
                          <w:noProof/>
                          <w:color w:val="auto"/>
                          <w:sz w:val="20"/>
                          <w:szCs w:val="20"/>
                        </w:rPr>
                        <w:t>2</w:t>
                      </w:r>
                      <w:r w:rsidRPr="00035C15">
                        <w:rPr>
                          <w:color w:val="auto"/>
                          <w:sz w:val="20"/>
                          <w:szCs w:val="20"/>
                        </w:rPr>
                        <w:fldChar w:fldCharType="end"/>
                      </w:r>
                      <w:r w:rsidRPr="00035C15">
                        <w:rPr>
                          <w:color w:val="auto"/>
                          <w:sz w:val="20"/>
                          <w:szCs w:val="20"/>
                        </w:rPr>
                        <w:t>. Event study of parental separation’s upper-bound and unconditional impact on GPA</w:t>
                      </w:r>
                    </w:p>
                  </w:txbxContent>
                </v:textbox>
                <w10:wrap type="topAndBottom" anchorx="margin"/>
              </v:shape>
            </w:pict>
          </mc:Fallback>
        </mc:AlternateContent>
      </w:r>
      <w:r w:rsidR="00FF0E8D">
        <w:rPr>
          <w:noProof/>
          <w:sz w:val="24"/>
          <w:szCs w:val="24"/>
        </w:rPr>
        <w:drawing>
          <wp:anchor distT="0" distB="0" distL="114300" distR="114300" simplePos="0" relativeHeight="251801600" behindDoc="0" locked="0" layoutInCell="1" allowOverlap="1" wp14:anchorId="6D947B30" wp14:editId="25E60A22">
            <wp:simplePos x="0" y="0"/>
            <wp:positionH relativeFrom="margin">
              <wp:align>center</wp:align>
            </wp:positionH>
            <wp:positionV relativeFrom="paragraph">
              <wp:posOffset>903798</wp:posOffset>
            </wp:positionV>
            <wp:extent cx="3141345" cy="2790825"/>
            <wp:effectExtent l="0" t="0" r="1905" b="9525"/>
            <wp:wrapTopAndBottom/>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1345" cy="2790825"/>
                    </a:xfrm>
                    <a:prstGeom prst="rect">
                      <a:avLst/>
                    </a:prstGeom>
                  </pic:spPr>
                </pic:pic>
              </a:graphicData>
            </a:graphic>
            <wp14:sizeRelH relativeFrom="margin">
              <wp14:pctWidth>0</wp14:pctWidth>
            </wp14:sizeRelH>
            <wp14:sizeRelV relativeFrom="margin">
              <wp14:pctHeight>0</wp14:pctHeight>
            </wp14:sizeRelV>
          </wp:anchor>
        </w:drawing>
      </w:r>
      <w:r w:rsidR="00955B5B">
        <w:rPr>
          <w:sz w:val="24"/>
          <w:szCs w:val="24"/>
        </w:rPr>
        <w:t xml:space="preserve">our </w:t>
      </w:r>
      <w:r w:rsidR="003F6443">
        <w:rPr>
          <w:sz w:val="24"/>
          <w:szCs w:val="24"/>
        </w:rPr>
        <w:t>most underspecified</w:t>
      </w:r>
      <w:r w:rsidR="00955B5B">
        <w:rPr>
          <w:sz w:val="24"/>
          <w:szCs w:val="24"/>
        </w:rPr>
        <w:t xml:space="preserve"> </w:t>
      </w:r>
      <w:r w:rsidR="003F6443">
        <w:rPr>
          <w:sz w:val="24"/>
          <w:szCs w:val="24"/>
        </w:rPr>
        <w:t>model</w:t>
      </w:r>
      <w:r w:rsidR="00F84E42">
        <w:rPr>
          <w:sz w:val="24"/>
          <w:szCs w:val="24"/>
        </w:rPr>
        <w:t>.</w:t>
      </w:r>
    </w:p>
    <w:p w14:paraId="2DBD4711" w14:textId="77777777" w:rsidR="002416C0" w:rsidRDefault="002416C0" w:rsidP="00FF0E8D">
      <w:pPr>
        <w:spacing w:before="160" w:line="360" w:lineRule="auto"/>
        <w:ind w:firstLine="397"/>
        <w:jc w:val="both"/>
        <w:rPr>
          <w:sz w:val="24"/>
          <w:szCs w:val="24"/>
        </w:rPr>
      </w:pPr>
    </w:p>
    <w:p w14:paraId="674560D1" w14:textId="0A9AAE20" w:rsidR="004244BF" w:rsidRPr="0066169D" w:rsidRDefault="00F84E42" w:rsidP="0066169D">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4.2.1.2. Student Characteristics</w:t>
      </w:r>
    </w:p>
    <w:p w14:paraId="6C4B3881" w14:textId="4E83A5BE" w:rsidR="000D2DFB" w:rsidRDefault="00F84E42" w:rsidP="000D2DFB">
      <w:pPr>
        <w:spacing w:line="360" w:lineRule="auto"/>
        <w:ind w:firstLine="397"/>
        <w:jc w:val="both"/>
        <w:rPr>
          <w:sz w:val="24"/>
          <w:szCs w:val="24"/>
        </w:rPr>
      </w:pPr>
      <w:proofErr w:type="gramStart"/>
      <w:r>
        <w:rPr>
          <w:sz w:val="24"/>
          <w:szCs w:val="24"/>
        </w:rPr>
        <w:t xml:space="preserve">By including the </w:t>
      </w:r>
      <w:r w:rsidR="004715C6">
        <w:rPr>
          <w:sz w:val="24"/>
          <w:szCs w:val="24"/>
        </w:rPr>
        <w:t>student</w:t>
      </w:r>
      <w:r>
        <w:rPr>
          <w:sz w:val="24"/>
          <w:szCs w:val="24"/>
        </w:rPr>
        <w:t xml:space="preserve"> characteristics of </w:t>
      </w:r>
      <w:r w:rsidR="00127DB2">
        <w:rPr>
          <w:sz w:val="24"/>
          <w:szCs w:val="24"/>
        </w:rPr>
        <w:t>s</w:t>
      </w:r>
      <w:r>
        <w:rPr>
          <w:sz w:val="24"/>
          <w:szCs w:val="24"/>
        </w:rPr>
        <w:t xml:space="preserve">ex, </w:t>
      </w:r>
      <w:r w:rsidR="00127DB2">
        <w:rPr>
          <w:sz w:val="24"/>
          <w:szCs w:val="24"/>
        </w:rPr>
        <w:t>a</w:t>
      </w:r>
      <w:r>
        <w:rPr>
          <w:sz w:val="24"/>
          <w:szCs w:val="24"/>
        </w:rPr>
        <w:t>ge, Roma-origin,</w:t>
      </w:r>
      <w:r w:rsidR="00127DB2">
        <w:rPr>
          <w:sz w:val="24"/>
          <w:szCs w:val="24"/>
        </w:rPr>
        <w:t xml:space="preserve"> and health </w:t>
      </w:r>
      <w:r w:rsidR="00BB3913">
        <w:rPr>
          <w:sz w:val="24"/>
          <w:szCs w:val="24"/>
        </w:rPr>
        <w:t xml:space="preserve">measures, </w:t>
      </w:r>
      <w:r>
        <w:rPr>
          <w:sz w:val="24"/>
          <w:szCs w:val="24"/>
        </w:rPr>
        <w:t>there</w:t>
      </w:r>
      <w:proofErr w:type="gramEnd"/>
      <w:r>
        <w:rPr>
          <w:sz w:val="24"/>
          <w:szCs w:val="24"/>
        </w:rPr>
        <w:t xml:space="preserve"> are noticeable changes in the signs and magnitude of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Pr>
          <w:sz w:val="24"/>
          <w:szCs w:val="24"/>
        </w:rPr>
        <w:t xml:space="preserve"> coefficient estimates. </w:t>
      </w:r>
      <w:r w:rsidR="004715C6">
        <w:rPr>
          <w:sz w:val="24"/>
          <w:szCs w:val="24"/>
        </w:rPr>
        <w:t>Nearly all the group-time coefficients have a negative sign and there are group-time pairs such as the 2007-2008 and the 2007-2009 where the effect w</w:t>
      </w:r>
      <w:r w:rsidR="002923E4">
        <w:rPr>
          <w:sz w:val="24"/>
          <w:szCs w:val="24"/>
        </w:rPr>
        <w:t>as</w:t>
      </w:r>
      <w:r w:rsidR="004715C6">
        <w:rPr>
          <w:sz w:val="24"/>
          <w:szCs w:val="24"/>
        </w:rPr>
        <w:t xml:space="preserve"> substantially larger tha</w:t>
      </w:r>
      <w:r w:rsidR="002923E4">
        <w:rPr>
          <w:sz w:val="24"/>
          <w:szCs w:val="24"/>
        </w:rPr>
        <w:t>n</w:t>
      </w:r>
      <w:r w:rsidR="004715C6">
        <w:rPr>
          <w:sz w:val="24"/>
          <w:szCs w:val="24"/>
        </w:rPr>
        <w:t xml:space="preserve"> that of the other pairs. Put differently children of 2007 who were separated in 2008 or 2009, experienced a</w:t>
      </w:r>
      <w:r w:rsidR="007B6835">
        <w:rPr>
          <w:sz w:val="24"/>
          <w:szCs w:val="24"/>
        </w:rPr>
        <w:t>n average</w:t>
      </w:r>
      <w:r w:rsidR="004715C6">
        <w:rPr>
          <w:sz w:val="24"/>
          <w:szCs w:val="24"/>
        </w:rPr>
        <w:t xml:space="preserve"> decrease of 0.</w:t>
      </w:r>
      <w:r w:rsidR="007B6835">
        <w:rPr>
          <w:sz w:val="24"/>
          <w:szCs w:val="24"/>
        </w:rPr>
        <w:t>212</w:t>
      </w:r>
      <w:r w:rsidR="004715C6">
        <w:rPr>
          <w:sz w:val="24"/>
          <w:szCs w:val="24"/>
        </w:rPr>
        <w:t xml:space="preserve"> and 0.</w:t>
      </w:r>
      <w:r w:rsidR="007B6835">
        <w:rPr>
          <w:sz w:val="24"/>
          <w:szCs w:val="24"/>
        </w:rPr>
        <w:t>307</w:t>
      </w:r>
      <w:r w:rsidR="004715C6">
        <w:rPr>
          <w:sz w:val="24"/>
          <w:szCs w:val="24"/>
        </w:rPr>
        <w:t xml:space="preserve"> in their </w:t>
      </w:r>
      <w:r w:rsidR="00D76818">
        <w:rPr>
          <w:sz w:val="24"/>
          <w:szCs w:val="24"/>
        </w:rPr>
        <w:t>GPA</w:t>
      </w:r>
      <w:r w:rsidR="004715C6">
        <w:rPr>
          <w:sz w:val="24"/>
          <w:szCs w:val="24"/>
        </w:rPr>
        <w:t>s, respectively</w:t>
      </w:r>
      <w:r w:rsidR="008E3B23">
        <w:rPr>
          <w:sz w:val="24"/>
          <w:szCs w:val="24"/>
        </w:rPr>
        <w:t>, ceteris paribus</w:t>
      </w:r>
      <w:r w:rsidR="004715C6">
        <w:rPr>
          <w:sz w:val="24"/>
          <w:szCs w:val="24"/>
        </w:rPr>
        <w:t xml:space="preserve">. </w:t>
      </w:r>
      <w:r w:rsidR="00E107EE">
        <w:rPr>
          <w:sz w:val="24"/>
          <w:szCs w:val="24"/>
        </w:rPr>
        <w:t>In line with our expectations and the variance within the cohort, the pre-test of the PTA is</w:t>
      </w:r>
      <w:r w:rsidR="004715C6">
        <w:rPr>
          <w:sz w:val="24"/>
          <w:szCs w:val="24"/>
        </w:rPr>
        <w:t xml:space="preserve"> </w:t>
      </w:r>
      <w:r w:rsidR="007B6835">
        <w:rPr>
          <w:sz w:val="24"/>
          <w:szCs w:val="24"/>
        </w:rPr>
        <w:t xml:space="preserve">significantly </w:t>
      </w:r>
      <w:r w:rsidR="00E107EE">
        <w:rPr>
          <w:sz w:val="24"/>
          <w:szCs w:val="24"/>
        </w:rPr>
        <w:t>worse</w:t>
      </w:r>
      <w:r w:rsidR="004715C6">
        <w:rPr>
          <w:sz w:val="24"/>
          <w:szCs w:val="24"/>
        </w:rPr>
        <w:t xml:space="preserve"> tha</w:t>
      </w:r>
      <w:r w:rsidR="002923E4">
        <w:rPr>
          <w:sz w:val="24"/>
          <w:szCs w:val="24"/>
        </w:rPr>
        <w:t>n</w:t>
      </w:r>
      <w:r w:rsidR="004715C6">
        <w:rPr>
          <w:sz w:val="24"/>
          <w:szCs w:val="24"/>
        </w:rPr>
        <w:t xml:space="preserve"> it was in the unconditional case, meaning that we can reject </w:t>
      </w:r>
      <w:r w:rsidR="00E107EE">
        <w:rPr>
          <w:sz w:val="24"/>
          <w:szCs w:val="24"/>
        </w:rPr>
        <w:t>PTA</w:t>
      </w:r>
      <w:r w:rsidR="004715C6">
        <w:rPr>
          <w:sz w:val="24"/>
          <w:szCs w:val="24"/>
        </w:rPr>
        <w:t xml:space="preserve"> (p </w:t>
      </w:r>
      <w:r w:rsidR="009F5554">
        <w:rPr>
          <w:sz w:val="24"/>
          <w:szCs w:val="24"/>
        </w:rPr>
        <w:t>&lt;</w:t>
      </w:r>
      <w:r w:rsidR="004715C6">
        <w:rPr>
          <w:sz w:val="24"/>
          <w:szCs w:val="24"/>
        </w:rPr>
        <w:t xml:space="preserve"> .0</w:t>
      </w:r>
      <w:r w:rsidR="007B6835">
        <w:rPr>
          <w:sz w:val="24"/>
          <w:szCs w:val="24"/>
        </w:rPr>
        <w:t>5</w:t>
      </w:r>
      <w:r w:rsidR="004715C6">
        <w:rPr>
          <w:sz w:val="24"/>
          <w:szCs w:val="24"/>
        </w:rPr>
        <w:t>)</w:t>
      </w:r>
      <w:r w:rsidR="00E107EE">
        <w:rPr>
          <w:sz w:val="24"/>
          <w:szCs w:val="24"/>
        </w:rPr>
        <w:t xml:space="preserve"> and the coefficients are </w:t>
      </w:r>
      <w:r w:rsidR="006068DC">
        <w:rPr>
          <w:sz w:val="24"/>
          <w:szCs w:val="24"/>
        </w:rPr>
        <w:t xml:space="preserve">weakly </w:t>
      </w:r>
      <w:r w:rsidR="00E107EE">
        <w:rPr>
          <w:sz w:val="24"/>
          <w:szCs w:val="24"/>
        </w:rPr>
        <w:t>reliable</w:t>
      </w:r>
      <w:r w:rsidR="004715C6">
        <w:rPr>
          <w:sz w:val="24"/>
          <w:szCs w:val="24"/>
        </w:rPr>
        <w:t>.</w:t>
      </w:r>
      <w:r w:rsidR="003A0A0C">
        <w:rPr>
          <w:sz w:val="24"/>
          <w:szCs w:val="24"/>
        </w:rPr>
        <w:t xml:space="preserve"> Thereby, the conditional results support a body of literature that parental separation imposes adverse</w:t>
      </w:r>
      <w:r w:rsidR="007B6835">
        <w:rPr>
          <w:sz w:val="24"/>
          <w:szCs w:val="24"/>
        </w:rPr>
        <w:t xml:space="preserve"> negative</w:t>
      </w:r>
      <w:r w:rsidR="003A0A0C">
        <w:rPr>
          <w:sz w:val="24"/>
          <w:szCs w:val="24"/>
        </w:rPr>
        <w:t xml:space="preserve"> effects on children’s academic grade</w:t>
      </w:r>
      <w:r w:rsidR="002923E4">
        <w:rPr>
          <w:sz w:val="24"/>
          <w:szCs w:val="24"/>
        </w:rPr>
        <w:t>s</w:t>
      </w:r>
      <w:r w:rsidR="0091437F">
        <w:rPr>
          <w:sz w:val="24"/>
          <w:szCs w:val="24"/>
        </w:rPr>
        <w:t xml:space="preserve"> when we account for student characteristics</w:t>
      </w:r>
      <w:r w:rsidR="00126457">
        <w:rPr>
          <w:sz w:val="24"/>
          <w:szCs w:val="24"/>
        </w:rPr>
        <w:t>, but the assumptions of DID are violated</w:t>
      </w:r>
      <w:r w:rsidR="00E0476E">
        <w:rPr>
          <w:sz w:val="24"/>
          <w:szCs w:val="24"/>
        </w:rPr>
        <w:t xml:space="preserve"> (Table 6.)</w:t>
      </w:r>
    </w:p>
    <w:p w14:paraId="5013BA41" w14:textId="588E75D4" w:rsidR="00435995" w:rsidRDefault="005970EF" w:rsidP="000D2DFB">
      <w:pPr>
        <w:spacing w:line="360" w:lineRule="auto"/>
        <w:ind w:firstLine="397"/>
        <w:jc w:val="both"/>
        <w:rPr>
          <w:sz w:val="24"/>
          <w:szCs w:val="24"/>
        </w:rPr>
      </w:pPr>
      <w:r>
        <w:rPr>
          <w:noProof/>
        </w:rPr>
        <w:lastRenderedPageBreak/>
        <w:drawing>
          <wp:anchor distT="0" distB="0" distL="114300" distR="114300" simplePos="0" relativeHeight="251802624" behindDoc="0" locked="0" layoutInCell="1" allowOverlap="1" wp14:anchorId="06AADC6E" wp14:editId="2EC13982">
            <wp:simplePos x="0" y="0"/>
            <wp:positionH relativeFrom="margin">
              <wp:align>center</wp:align>
            </wp:positionH>
            <wp:positionV relativeFrom="paragraph">
              <wp:posOffset>83</wp:posOffset>
            </wp:positionV>
            <wp:extent cx="4325510" cy="2807386"/>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25510" cy="2807386"/>
                    </a:xfrm>
                    <a:prstGeom prst="rect">
                      <a:avLst/>
                    </a:prstGeom>
                  </pic:spPr>
                </pic:pic>
              </a:graphicData>
            </a:graphic>
          </wp:anchor>
        </w:drawing>
      </w:r>
    </w:p>
    <w:p w14:paraId="65F6D5D9" w14:textId="26559ECB" w:rsidR="003D396E" w:rsidRDefault="00263710" w:rsidP="003D396E">
      <w:pPr>
        <w:spacing w:line="360" w:lineRule="auto"/>
        <w:ind w:firstLine="397"/>
        <w:jc w:val="both"/>
        <w:rPr>
          <w:sz w:val="24"/>
          <w:szCs w:val="24"/>
        </w:rPr>
      </w:pPr>
      <w:r>
        <w:rPr>
          <w:sz w:val="24"/>
          <w:szCs w:val="24"/>
        </w:rPr>
        <w:t xml:space="preserve">Looking at the </w:t>
      </w:r>
      <w:r w:rsidR="00925BC6">
        <w:rPr>
          <w:sz w:val="24"/>
          <w:szCs w:val="24"/>
        </w:rPr>
        <w:t>dynamic</w:t>
      </w:r>
      <w:r>
        <w:rPr>
          <w:sz w:val="24"/>
          <w:szCs w:val="24"/>
        </w:rPr>
        <w:t xml:space="preserve"> effects on the axis of exposure length, we can conclude that the negative effect associated with disruption puts a </w:t>
      </w:r>
      <w:r w:rsidR="001222FB">
        <w:rPr>
          <w:sz w:val="24"/>
          <w:szCs w:val="24"/>
        </w:rPr>
        <w:t>downward spiral</w:t>
      </w:r>
      <w:r>
        <w:rPr>
          <w:sz w:val="24"/>
          <w:szCs w:val="24"/>
        </w:rPr>
        <w:t xml:space="preserve"> on children as they are already performing worse in the pre-treatment period</w:t>
      </w:r>
      <w:r w:rsidR="007039FB">
        <w:rPr>
          <w:sz w:val="24"/>
          <w:szCs w:val="24"/>
        </w:rPr>
        <w:t xml:space="preserve"> (violating the PTA)</w:t>
      </w:r>
      <w:r>
        <w:rPr>
          <w:sz w:val="24"/>
          <w:szCs w:val="24"/>
        </w:rPr>
        <w:t xml:space="preserve"> </w:t>
      </w:r>
      <w:r w:rsidR="009E2360">
        <w:rPr>
          <w:sz w:val="24"/>
          <w:szCs w:val="24"/>
        </w:rPr>
        <w:t>by roughly 0.1</w:t>
      </w:r>
      <w:r w:rsidR="002923E4">
        <w:rPr>
          <w:sz w:val="24"/>
          <w:szCs w:val="24"/>
        </w:rPr>
        <w:t>-</w:t>
      </w:r>
      <w:r w:rsidR="009E2360">
        <w:rPr>
          <w:sz w:val="24"/>
          <w:szCs w:val="24"/>
        </w:rPr>
        <w:t xml:space="preserve">grade point </w:t>
      </w:r>
      <w:r>
        <w:rPr>
          <w:sz w:val="24"/>
          <w:szCs w:val="24"/>
        </w:rPr>
        <w:t xml:space="preserve">due to the constant stress level, and when the separation occurs, they fall behind with a relatively </w:t>
      </w:r>
      <w:r w:rsidR="003165BC">
        <w:rPr>
          <w:sz w:val="24"/>
          <w:szCs w:val="24"/>
        </w:rPr>
        <w:t>steep</w:t>
      </w:r>
      <w:r>
        <w:rPr>
          <w:sz w:val="24"/>
          <w:szCs w:val="24"/>
        </w:rPr>
        <w:t xml:space="preserve"> slope</w:t>
      </w:r>
      <w:r w:rsidR="0066169D">
        <w:rPr>
          <w:sz w:val="24"/>
          <w:szCs w:val="24"/>
        </w:rPr>
        <w:t xml:space="preserve"> </w:t>
      </w:r>
      <w:r w:rsidR="009E2360">
        <w:rPr>
          <w:sz w:val="24"/>
          <w:szCs w:val="24"/>
        </w:rPr>
        <w:t>having a</w:t>
      </w:r>
      <w:r w:rsidR="003165BC">
        <w:rPr>
          <w:sz w:val="24"/>
          <w:szCs w:val="24"/>
        </w:rPr>
        <w:t>pproximately 0.3</w:t>
      </w:r>
      <w:r w:rsidR="009E2360">
        <w:rPr>
          <w:sz w:val="24"/>
          <w:szCs w:val="24"/>
        </w:rPr>
        <w:t xml:space="preserve"> lower </w:t>
      </w:r>
      <w:r w:rsidR="003165BC">
        <w:rPr>
          <w:sz w:val="24"/>
          <w:szCs w:val="24"/>
        </w:rPr>
        <w:t xml:space="preserve">average </w:t>
      </w:r>
      <w:r w:rsidR="00D76818">
        <w:rPr>
          <w:sz w:val="24"/>
          <w:szCs w:val="24"/>
        </w:rPr>
        <w:t>GPA</w:t>
      </w:r>
      <w:r w:rsidR="003165BC">
        <w:rPr>
          <w:sz w:val="24"/>
          <w:szCs w:val="24"/>
        </w:rPr>
        <w:t>s</w:t>
      </w:r>
      <w:r w:rsidR="009E2360">
        <w:rPr>
          <w:sz w:val="24"/>
          <w:szCs w:val="24"/>
        </w:rPr>
        <w:t xml:space="preserve"> in the second post-treatment year compared to the </w:t>
      </w:r>
      <w:r w:rsidR="0021581D">
        <w:rPr>
          <w:sz w:val="24"/>
          <w:szCs w:val="24"/>
        </w:rPr>
        <w:t xml:space="preserve">children of </w:t>
      </w:r>
      <w:r w:rsidR="009E2360">
        <w:rPr>
          <w:sz w:val="24"/>
          <w:szCs w:val="24"/>
        </w:rPr>
        <w:t>intact families</w:t>
      </w:r>
      <w:r w:rsidR="008E3B23">
        <w:rPr>
          <w:sz w:val="24"/>
          <w:szCs w:val="24"/>
        </w:rPr>
        <w:t>, holding student characteristics constant</w:t>
      </w:r>
      <w:r w:rsidR="00E0476E">
        <w:rPr>
          <w:sz w:val="24"/>
          <w:szCs w:val="24"/>
        </w:rPr>
        <w:t xml:space="preserve">. </w:t>
      </w:r>
      <w:r w:rsidR="005945E2">
        <w:rPr>
          <w:sz w:val="24"/>
          <w:szCs w:val="24"/>
        </w:rPr>
        <w:t xml:space="preserve">The same hump-shaped impact </w:t>
      </w:r>
      <w:r w:rsidR="00C96335">
        <w:rPr>
          <w:sz w:val="24"/>
          <w:szCs w:val="24"/>
        </w:rPr>
        <w:t xml:space="preserve">as in the unconditional specification </w:t>
      </w:r>
      <w:r w:rsidR="005945E2">
        <w:rPr>
          <w:sz w:val="24"/>
          <w:szCs w:val="24"/>
        </w:rPr>
        <w:t xml:space="preserve">can be recognized at the separation period which can be attributed to the initial relief from pressure. </w:t>
      </w:r>
      <w:r w:rsidR="00E0476E">
        <w:rPr>
          <w:sz w:val="24"/>
          <w:szCs w:val="24"/>
        </w:rPr>
        <w:t xml:space="preserve">It is worth </w:t>
      </w:r>
      <w:r w:rsidR="006B2A38">
        <w:rPr>
          <w:sz w:val="24"/>
          <w:szCs w:val="24"/>
        </w:rPr>
        <w:t>mentioning</w:t>
      </w:r>
      <w:r w:rsidR="00E0476E">
        <w:rPr>
          <w:sz w:val="24"/>
          <w:szCs w:val="24"/>
        </w:rPr>
        <w:t xml:space="preserve"> that </w:t>
      </w:r>
      <w:r w:rsidR="00747A40">
        <w:rPr>
          <w:sz w:val="24"/>
          <w:szCs w:val="24"/>
        </w:rPr>
        <w:t xml:space="preserve">the negative </w:t>
      </w:r>
      <w:r w:rsidR="00E0476E">
        <w:rPr>
          <w:sz w:val="24"/>
          <w:szCs w:val="24"/>
        </w:rPr>
        <w:t xml:space="preserve">effects are significantly different from zero at </w:t>
      </w:r>
      <w:r w:rsidR="006B2A38">
        <w:rPr>
          <w:sz w:val="24"/>
          <w:szCs w:val="24"/>
        </w:rPr>
        <w:t xml:space="preserve">a </w:t>
      </w:r>
      <w:r w:rsidR="00E0476E">
        <w:rPr>
          <w:sz w:val="24"/>
          <w:szCs w:val="24"/>
        </w:rPr>
        <w:t>5% level in the post-treatment periods</w:t>
      </w:r>
      <w:r w:rsidR="001D15D9">
        <w:rPr>
          <w:sz w:val="24"/>
          <w:szCs w:val="24"/>
        </w:rPr>
        <w:t>,</w:t>
      </w:r>
      <w:r w:rsidR="00E0476E">
        <w:rPr>
          <w:sz w:val="24"/>
          <w:szCs w:val="24"/>
        </w:rPr>
        <w:t xml:space="preserve"> as zero is not part of the confidence intervals</w:t>
      </w:r>
      <w:r w:rsidR="009658B1">
        <w:rPr>
          <w:sz w:val="24"/>
          <w:szCs w:val="24"/>
        </w:rPr>
        <w:t xml:space="preserve"> (Figure </w:t>
      </w:r>
      <w:r w:rsidR="005B55D5">
        <w:rPr>
          <w:sz w:val="24"/>
          <w:szCs w:val="24"/>
        </w:rPr>
        <w:t>3</w:t>
      </w:r>
      <w:r w:rsidR="009658B1">
        <w:rPr>
          <w:sz w:val="24"/>
          <w:szCs w:val="24"/>
        </w:rPr>
        <w:t>.)</w:t>
      </w:r>
      <w:r w:rsidR="009E2360">
        <w:rPr>
          <w:sz w:val="24"/>
          <w:szCs w:val="24"/>
        </w:rPr>
        <w:t>.</w:t>
      </w:r>
    </w:p>
    <w:p w14:paraId="52656758" w14:textId="547E0E12" w:rsidR="005970EF" w:rsidRDefault="005970EF">
      <w:pPr>
        <w:rPr>
          <w:rFonts w:eastAsiaTheme="majorEastAsia" w:cstheme="minorHAnsi"/>
          <w:i/>
          <w:iCs/>
          <w:sz w:val="24"/>
          <w:szCs w:val="24"/>
        </w:rPr>
      </w:pPr>
      <w:r>
        <w:rPr>
          <w:rFonts w:cstheme="minorHAnsi"/>
          <w:sz w:val="24"/>
          <w:szCs w:val="24"/>
        </w:rPr>
        <w:br w:type="page"/>
      </w:r>
    </w:p>
    <w:p w14:paraId="2BD7E4F9" w14:textId="09A6E56B" w:rsidR="000D2DFB" w:rsidRDefault="000D2DFB" w:rsidP="000D2DFB">
      <w:r>
        <w:rPr>
          <w:noProof/>
        </w:rPr>
        <w:lastRenderedPageBreak/>
        <mc:AlternateContent>
          <mc:Choice Requires="wps">
            <w:drawing>
              <wp:anchor distT="0" distB="0" distL="114300" distR="114300" simplePos="0" relativeHeight="251719680" behindDoc="0" locked="0" layoutInCell="1" allowOverlap="1" wp14:anchorId="0C12D51E" wp14:editId="2A64D26A">
                <wp:simplePos x="0" y="0"/>
                <wp:positionH relativeFrom="margin">
                  <wp:align>center</wp:align>
                </wp:positionH>
                <wp:positionV relativeFrom="paragraph">
                  <wp:posOffset>2614157</wp:posOffset>
                </wp:positionV>
                <wp:extent cx="3092450" cy="635"/>
                <wp:effectExtent l="0" t="0" r="0" b="1270"/>
                <wp:wrapTopAndBottom/>
                <wp:docPr id="24" name="Text Box 24"/>
                <wp:cNvGraphicFramePr/>
                <a:graphic xmlns:a="http://schemas.openxmlformats.org/drawingml/2006/main">
                  <a:graphicData uri="http://schemas.microsoft.com/office/word/2010/wordprocessingShape">
                    <wps:wsp>
                      <wps:cNvSpPr txBox="1"/>
                      <wps:spPr>
                        <a:xfrm>
                          <a:off x="0" y="0"/>
                          <a:ext cx="3092450" cy="635"/>
                        </a:xfrm>
                        <a:prstGeom prst="rect">
                          <a:avLst/>
                        </a:prstGeom>
                        <a:solidFill>
                          <a:prstClr val="white"/>
                        </a:solidFill>
                        <a:ln>
                          <a:noFill/>
                        </a:ln>
                      </wps:spPr>
                      <wps:txbx>
                        <w:txbxContent>
                          <w:p w14:paraId="2CB99A61" w14:textId="7A6BAF26" w:rsidR="004E5911" w:rsidRPr="00035C15" w:rsidRDefault="004E5911" w:rsidP="002416C0">
                            <w:pPr>
                              <w:pStyle w:val="Caption"/>
                              <w:jc w:val="both"/>
                              <w:rPr>
                                <w:color w:val="auto"/>
                                <w:sz w:val="28"/>
                                <w:szCs w:val="28"/>
                              </w:rPr>
                            </w:pPr>
                            <w:r w:rsidRPr="00035C15">
                              <w:rPr>
                                <w:color w:val="auto"/>
                                <w:sz w:val="20"/>
                                <w:szCs w:val="20"/>
                              </w:rPr>
                              <w:t xml:space="preserve">Figure </w:t>
                            </w:r>
                            <w:r w:rsidRPr="00035C15">
                              <w:rPr>
                                <w:color w:val="auto"/>
                                <w:sz w:val="20"/>
                                <w:szCs w:val="20"/>
                              </w:rPr>
                              <w:fldChar w:fldCharType="begin"/>
                            </w:r>
                            <w:r w:rsidRPr="00035C15">
                              <w:rPr>
                                <w:color w:val="auto"/>
                                <w:sz w:val="20"/>
                                <w:szCs w:val="20"/>
                              </w:rPr>
                              <w:instrText xml:space="preserve"> SEQ Figure \* ARABIC </w:instrText>
                            </w:r>
                            <w:r w:rsidRPr="00035C15">
                              <w:rPr>
                                <w:color w:val="auto"/>
                                <w:sz w:val="20"/>
                                <w:szCs w:val="20"/>
                              </w:rPr>
                              <w:fldChar w:fldCharType="separate"/>
                            </w:r>
                            <w:r>
                              <w:rPr>
                                <w:noProof/>
                                <w:color w:val="auto"/>
                                <w:sz w:val="20"/>
                                <w:szCs w:val="20"/>
                              </w:rPr>
                              <w:t>3</w:t>
                            </w:r>
                            <w:r w:rsidRPr="00035C15">
                              <w:rPr>
                                <w:color w:val="auto"/>
                                <w:sz w:val="20"/>
                                <w:szCs w:val="20"/>
                              </w:rPr>
                              <w:fldChar w:fldCharType="end"/>
                            </w:r>
                            <w:r w:rsidRPr="00035C15">
                              <w:rPr>
                                <w:color w:val="auto"/>
                                <w:sz w:val="20"/>
                                <w:szCs w:val="20"/>
                              </w:rPr>
                              <w:t>. Event study of parental separation’s upper-bound impact on GPA when conditioning on Student covariates.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12D51E" id="Text Box 24" o:spid="_x0000_s1028" type="#_x0000_t202" style="position:absolute;margin-left:0;margin-top:205.85pt;width:243.5pt;height:.0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" stroked="f">
                <v:textbox style="mso-fit-shape-to-text:t" inset="0,0,0,0">
                  <w:txbxContent>
                    <w:p w14:paraId="2CB99A61" w14:textId="7A6BAF26" w:rsidR="004E5911" w:rsidRPr="00035C15" w:rsidRDefault="004E5911" w:rsidP="002416C0">
                      <w:pPr>
                        <w:pStyle w:val="Caption"/>
                        <w:jc w:val="both"/>
                        <w:rPr>
                          <w:color w:val="auto"/>
                          <w:sz w:val="28"/>
                          <w:szCs w:val="28"/>
                        </w:rPr>
                      </w:pPr>
                      <w:r w:rsidRPr="00035C15">
                        <w:rPr>
                          <w:color w:val="auto"/>
                          <w:sz w:val="20"/>
                          <w:szCs w:val="20"/>
                        </w:rPr>
                        <w:t xml:space="preserve">Figure </w:t>
                      </w:r>
                      <w:r w:rsidRPr="00035C15">
                        <w:rPr>
                          <w:color w:val="auto"/>
                          <w:sz w:val="20"/>
                          <w:szCs w:val="20"/>
                        </w:rPr>
                        <w:fldChar w:fldCharType="begin"/>
                      </w:r>
                      <w:r w:rsidRPr="00035C15">
                        <w:rPr>
                          <w:color w:val="auto"/>
                          <w:sz w:val="20"/>
                          <w:szCs w:val="20"/>
                        </w:rPr>
                        <w:instrText xml:space="preserve"> SEQ Figure \* ARABIC </w:instrText>
                      </w:r>
                      <w:r w:rsidRPr="00035C15">
                        <w:rPr>
                          <w:color w:val="auto"/>
                          <w:sz w:val="20"/>
                          <w:szCs w:val="20"/>
                        </w:rPr>
                        <w:fldChar w:fldCharType="separate"/>
                      </w:r>
                      <w:r>
                        <w:rPr>
                          <w:noProof/>
                          <w:color w:val="auto"/>
                          <w:sz w:val="20"/>
                          <w:szCs w:val="20"/>
                        </w:rPr>
                        <w:t>3</w:t>
                      </w:r>
                      <w:r w:rsidRPr="00035C15">
                        <w:rPr>
                          <w:color w:val="auto"/>
                          <w:sz w:val="20"/>
                          <w:szCs w:val="20"/>
                        </w:rPr>
                        <w:fldChar w:fldCharType="end"/>
                      </w:r>
                      <w:r w:rsidRPr="00035C15">
                        <w:rPr>
                          <w:color w:val="auto"/>
                          <w:sz w:val="20"/>
                          <w:szCs w:val="20"/>
                        </w:rPr>
                        <w:t>. Event study of parental separation’s upper-bound impact on GPA when conditioning on Student covariates.</w:t>
                      </w:r>
                    </w:p>
                  </w:txbxContent>
                </v:textbox>
                <w10:wrap type="topAndBottom" anchorx="margin"/>
              </v:shape>
            </w:pict>
          </mc:Fallback>
        </mc:AlternateContent>
      </w:r>
      <w:r>
        <w:rPr>
          <w:rFonts w:eastAsiaTheme="majorEastAsia" w:cstheme="minorHAnsi"/>
          <w:i/>
          <w:iCs/>
          <w:noProof/>
          <w:sz w:val="24"/>
          <w:szCs w:val="24"/>
        </w:rPr>
        <w:drawing>
          <wp:anchor distT="0" distB="0" distL="114300" distR="114300" simplePos="0" relativeHeight="251806720" behindDoc="0" locked="0" layoutInCell="1" allowOverlap="1" wp14:anchorId="67A933E7" wp14:editId="49DF6926">
            <wp:simplePos x="0" y="0"/>
            <wp:positionH relativeFrom="margin">
              <wp:posOffset>1394460</wp:posOffset>
            </wp:positionH>
            <wp:positionV relativeFrom="paragraph">
              <wp:posOffset>138</wp:posOffset>
            </wp:positionV>
            <wp:extent cx="2971165" cy="2639695"/>
            <wp:effectExtent l="0" t="0" r="635" b="8255"/>
            <wp:wrapTopAndBottom/>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71165" cy="2639695"/>
                    </a:xfrm>
                    <a:prstGeom prst="rect">
                      <a:avLst/>
                    </a:prstGeom>
                  </pic:spPr>
                </pic:pic>
              </a:graphicData>
            </a:graphic>
            <wp14:sizeRelH relativeFrom="margin">
              <wp14:pctWidth>0</wp14:pctWidth>
            </wp14:sizeRelH>
            <wp14:sizeRelV relativeFrom="margin">
              <wp14:pctHeight>0</wp14:pctHeight>
            </wp14:sizeRelV>
          </wp:anchor>
        </w:drawing>
      </w:r>
    </w:p>
    <w:p w14:paraId="685B3C16" w14:textId="439015F3" w:rsidR="00B10D23" w:rsidRPr="006C019D" w:rsidRDefault="00B10D23" w:rsidP="00B10D23">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w:t>
      </w:r>
      <w:r>
        <w:rPr>
          <w:rFonts w:asciiTheme="minorHAnsi" w:hAnsiTheme="minorHAnsi" w:cstheme="minorHAnsi"/>
          <w:color w:val="auto"/>
          <w:sz w:val="24"/>
          <w:szCs w:val="24"/>
        </w:rPr>
        <w:t>5</w:t>
      </w:r>
      <w:r w:rsidRPr="006C019D">
        <w:rPr>
          <w:rFonts w:asciiTheme="minorHAnsi" w:hAnsiTheme="minorHAnsi" w:cstheme="minorHAnsi"/>
          <w:color w:val="auto"/>
          <w:sz w:val="24"/>
          <w:szCs w:val="24"/>
        </w:rPr>
        <w:t>. Socioeconomic Status (SES)</w:t>
      </w:r>
    </w:p>
    <w:p w14:paraId="407FA7BB" w14:textId="583985A1" w:rsidR="008F29E0" w:rsidRDefault="00B10D23" w:rsidP="008F29E0">
      <w:pPr>
        <w:spacing w:line="360" w:lineRule="auto"/>
        <w:ind w:firstLine="397"/>
        <w:jc w:val="both"/>
        <w:rPr>
          <w:sz w:val="24"/>
          <w:szCs w:val="24"/>
        </w:rPr>
      </w:pPr>
      <w:r w:rsidRPr="006C019D">
        <w:rPr>
          <w:sz w:val="24"/>
          <w:szCs w:val="24"/>
        </w:rPr>
        <w:t xml:space="preserve">Next, we should add </w:t>
      </w:r>
      <w:r w:rsidR="00385B60">
        <w:rPr>
          <w:sz w:val="24"/>
          <w:szCs w:val="24"/>
        </w:rPr>
        <w:t xml:space="preserve">our second exogeneous </w:t>
      </w:r>
      <w:r w:rsidRPr="006C019D">
        <w:rPr>
          <w:sz w:val="24"/>
          <w:szCs w:val="24"/>
        </w:rPr>
        <w:t xml:space="preserve">variable reflecting an individual’s SES </w:t>
      </w:r>
      <w:r>
        <w:rPr>
          <w:sz w:val="24"/>
          <w:szCs w:val="24"/>
        </w:rPr>
        <w:t xml:space="preserve">and observe whether it can help to explain most of the negative effects as it was thoroughly emphasized in the selection of papers. I decided to add the control of the household income in logarithmic terms, the maternal degree (homogamy is assumed), and the reported welfare status of the family reported by the respondent. </w:t>
      </w:r>
    </w:p>
    <w:p w14:paraId="72A93C9C" w14:textId="31C85538" w:rsidR="008F29E0" w:rsidRDefault="000D2DFB" w:rsidP="008F29E0">
      <w:pPr>
        <w:spacing w:line="360" w:lineRule="auto"/>
        <w:ind w:firstLine="397"/>
        <w:jc w:val="both"/>
        <w:rPr>
          <w:sz w:val="24"/>
          <w:szCs w:val="24"/>
        </w:rPr>
      </w:pPr>
      <w:r>
        <w:rPr>
          <w:noProof/>
        </w:rPr>
        <w:drawing>
          <wp:anchor distT="0" distB="0" distL="114300" distR="114300" simplePos="0" relativeHeight="251804672" behindDoc="0" locked="0" layoutInCell="1" allowOverlap="1" wp14:anchorId="2833EA74" wp14:editId="6928C5B2">
            <wp:simplePos x="0" y="0"/>
            <wp:positionH relativeFrom="margin">
              <wp:align>center</wp:align>
            </wp:positionH>
            <wp:positionV relativeFrom="paragraph">
              <wp:posOffset>196629</wp:posOffset>
            </wp:positionV>
            <wp:extent cx="4286250" cy="27508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86250" cy="2750820"/>
                    </a:xfrm>
                    <a:prstGeom prst="rect">
                      <a:avLst/>
                    </a:prstGeom>
                  </pic:spPr>
                </pic:pic>
              </a:graphicData>
            </a:graphic>
            <wp14:sizeRelH relativeFrom="margin">
              <wp14:pctWidth>0</wp14:pctWidth>
            </wp14:sizeRelH>
            <wp14:sizeRelV relativeFrom="margin">
              <wp14:pctHeight>0</wp14:pctHeight>
            </wp14:sizeRelV>
          </wp:anchor>
        </w:drawing>
      </w:r>
    </w:p>
    <w:p w14:paraId="1069B04F" w14:textId="46C3CABD" w:rsidR="001A1904" w:rsidRPr="00C0280E" w:rsidRDefault="000D2DFB" w:rsidP="002416C0">
      <w:pPr>
        <w:spacing w:line="360" w:lineRule="auto"/>
        <w:ind w:firstLine="397"/>
        <w:jc w:val="both"/>
        <w:rPr>
          <w:sz w:val="24"/>
          <w:szCs w:val="24"/>
        </w:rPr>
      </w:pPr>
      <w:r>
        <w:rPr>
          <w:noProof/>
        </w:rPr>
        <w:lastRenderedPageBreak/>
        <mc:AlternateContent>
          <mc:Choice Requires="wps">
            <w:drawing>
              <wp:anchor distT="0" distB="0" distL="114300" distR="114300" simplePos="0" relativeHeight="251794432" behindDoc="0" locked="0" layoutInCell="1" allowOverlap="1" wp14:anchorId="4BC4B5A7" wp14:editId="533F394E">
                <wp:simplePos x="0" y="0"/>
                <wp:positionH relativeFrom="margin">
                  <wp:align>center</wp:align>
                </wp:positionH>
                <wp:positionV relativeFrom="paragraph">
                  <wp:posOffset>5977061</wp:posOffset>
                </wp:positionV>
                <wp:extent cx="3323590" cy="58039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323590" cy="580390"/>
                        </a:xfrm>
                        <a:prstGeom prst="rect">
                          <a:avLst/>
                        </a:prstGeom>
                        <a:solidFill>
                          <a:prstClr val="white"/>
                        </a:solidFill>
                        <a:ln>
                          <a:noFill/>
                        </a:ln>
                      </wps:spPr>
                      <wps:txbx>
                        <w:txbxContent>
                          <w:p w14:paraId="4B4D1CEB" w14:textId="05272B36" w:rsidR="004E5911" w:rsidRPr="00035C15" w:rsidRDefault="004E5911" w:rsidP="002416C0">
                            <w:pPr>
                              <w:pStyle w:val="Caption"/>
                              <w:jc w:val="both"/>
                              <w:rPr>
                                <w:noProof/>
                                <w:color w:val="auto"/>
                                <w:sz w:val="20"/>
                                <w:szCs w:val="20"/>
                              </w:rPr>
                            </w:pPr>
                            <w:r w:rsidRPr="00035C15">
                              <w:rPr>
                                <w:color w:val="auto"/>
                                <w:sz w:val="20"/>
                                <w:szCs w:val="20"/>
                              </w:rPr>
                              <w:t xml:space="preserve">Figure </w:t>
                            </w:r>
                            <w:r w:rsidR="000D4E0E">
                              <w:rPr>
                                <w:color w:val="auto"/>
                                <w:sz w:val="20"/>
                                <w:szCs w:val="20"/>
                              </w:rPr>
                              <w:t>4</w:t>
                            </w:r>
                            <w:r w:rsidRPr="00035C15">
                              <w:rPr>
                                <w:color w:val="auto"/>
                                <w:sz w:val="20"/>
                                <w:szCs w:val="20"/>
                              </w:rPr>
                              <w:t>. Event study of parental separation’s upper-bound impact on GPA when conditioning on Student, and SES covariates.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4B5A7" id="Text Box 22" o:spid="_x0000_s1029" type="#_x0000_t202" style="position:absolute;left:0;text-align:left;margin-left:0;margin-top:470.65pt;width:261.7pt;height:45.7pt;z-index:251794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" stroked="f">
                <v:textbox inset="0,0,0,0">
                  <w:txbxContent>
                    <w:p w14:paraId="4B4D1CEB" w14:textId="05272B36" w:rsidR="004E5911" w:rsidRPr="00035C15" w:rsidRDefault="004E5911" w:rsidP="002416C0">
                      <w:pPr>
                        <w:pStyle w:val="Caption"/>
                        <w:jc w:val="both"/>
                        <w:rPr>
                          <w:noProof/>
                          <w:color w:val="auto"/>
                          <w:sz w:val="20"/>
                          <w:szCs w:val="20"/>
                        </w:rPr>
                      </w:pPr>
                      <w:r w:rsidRPr="00035C15">
                        <w:rPr>
                          <w:color w:val="auto"/>
                          <w:sz w:val="20"/>
                          <w:szCs w:val="20"/>
                        </w:rPr>
                        <w:t xml:space="preserve">Figure </w:t>
                      </w:r>
                      <w:r w:rsidR="000D4E0E">
                        <w:rPr>
                          <w:color w:val="auto"/>
                          <w:sz w:val="20"/>
                          <w:szCs w:val="20"/>
                        </w:rPr>
                        <w:t>4</w:t>
                      </w:r>
                      <w:r w:rsidRPr="00035C15">
                        <w:rPr>
                          <w:color w:val="auto"/>
                          <w:sz w:val="20"/>
                          <w:szCs w:val="20"/>
                        </w:rPr>
                        <w:t>. Event study of parental separation’s upper-bound impact on GPA when conditioning on Student, and SES covariates.</w:t>
                      </w:r>
                    </w:p>
                  </w:txbxContent>
                </v:textbox>
                <w10:wrap type="topAndBottom" anchorx="margin"/>
              </v:shape>
            </w:pict>
          </mc:Fallback>
        </mc:AlternateContent>
      </w:r>
      <w:r>
        <w:rPr>
          <w:noProof/>
          <w:sz w:val="24"/>
          <w:szCs w:val="24"/>
        </w:rPr>
        <w:drawing>
          <wp:anchor distT="0" distB="0" distL="114300" distR="114300" simplePos="0" relativeHeight="251805696" behindDoc="0" locked="0" layoutInCell="1" allowOverlap="1" wp14:anchorId="12AEBBA4" wp14:editId="0F7138FA">
            <wp:simplePos x="0" y="0"/>
            <wp:positionH relativeFrom="margin">
              <wp:posOffset>1317597</wp:posOffset>
            </wp:positionH>
            <wp:positionV relativeFrom="paragraph">
              <wp:posOffset>3195872</wp:posOffset>
            </wp:positionV>
            <wp:extent cx="3116580" cy="2768600"/>
            <wp:effectExtent l="0" t="0" r="762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9">
                      <a:extLst>
                        <a:ext uri="{28A0092B-C50C-407E-A947-70E740481C1C}">
                          <a14:useLocalDpi xmlns:a14="http://schemas.microsoft.com/office/drawing/2010/main" val="0"/>
                        </a:ext>
                      </a:extLst>
                    </a:blip>
                    <a:stretch>
                      <a:fillRect/>
                    </a:stretch>
                  </pic:blipFill>
                  <pic:spPr>
                    <a:xfrm>
                      <a:off x="0" y="0"/>
                      <a:ext cx="3116580" cy="2768600"/>
                    </a:xfrm>
                    <a:prstGeom prst="rect">
                      <a:avLst/>
                    </a:prstGeom>
                  </pic:spPr>
                </pic:pic>
              </a:graphicData>
            </a:graphic>
            <wp14:sizeRelH relativeFrom="margin">
              <wp14:pctWidth>0</wp14:pctWidth>
            </wp14:sizeRelH>
            <wp14:sizeRelV relativeFrom="margin">
              <wp14:pctHeight>0</wp14:pctHeight>
            </wp14:sizeRelV>
          </wp:anchor>
        </w:drawing>
      </w:r>
      <w:r w:rsidR="00B10D23">
        <w:rPr>
          <w:sz w:val="24"/>
          <w:szCs w:val="24"/>
        </w:rPr>
        <w:t xml:space="preserve">By adding the SES variables, </w:t>
      </w:r>
      <w:r w:rsidR="00E15890">
        <w:rPr>
          <w:sz w:val="24"/>
          <w:szCs w:val="24"/>
        </w:rPr>
        <w:t xml:space="preserve">majority of the treatment effect drops in size which is analogous to out hypothesis that it possesses the largest </w:t>
      </w:r>
      <w:r w:rsidR="00BD2D59">
        <w:rPr>
          <w:sz w:val="24"/>
          <w:szCs w:val="24"/>
        </w:rPr>
        <w:t>explanatory</w:t>
      </w:r>
      <w:r w:rsidR="00E15890">
        <w:rPr>
          <w:sz w:val="24"/>
          <w:szCs w:val="24"/>
        </w:rPr>
        <w:t xml:space="preserve"> power</w:t>
      </w:r>
      <w:r w:rsidR="00B10D23">
        <w:rPr>
          <w:sz w:val="24"/>
          <w:szCs w:val="24"/>
        </w:rPr>
        <w:t xml:space="preserve"> (Table </w:t>
      </w:r>
      <w:r w:rsidR="00BD2D59">
        <w:rPr>
          <w:sz w:val="24"/>
          <w:szCs w:val="24"/>
        </w:rPr>
        <w:t>7</w:t>
      </w:r>
      <w:r w:rsidR="00B10D23">
        <w:rPr>
          <w:sz w:val="24"/>
          <w:szCs w:val="24"/>
        </w:rPr>
        <w:t>.)</w:t>
      </w:r>
      <w:r w:rsidR="00B10D23" w:rsidRPr="00AC02F8">
        <w:rPr>
          <w:sz w:val="24"/>
          <w:szCs w:val="24"/>
        </w:rPr>
        <w:t>.</w:t>
      </w:r>
      <w:r w:rsidR="00B10D23">
        <w:rPr>
          <w:sz w:val="24"/>
          <w:szCs w:val="24"/>
        </w:rPr>
        <w:t xml:space="preserve"> Regarding the PTA, SES highlights differences in the pre-treatment period and jeopardizes the assumption to hold but not to an extent that we can reject it</w:t>
      </w:r>
      <w:r w:rsidR="00CF4785">
        <w:rPr>
          <w:sz w:val="24"/>
          <w:szCs w:val="24"/>
        </w:rPr>
        <w:t xml:space="preserve"> on a 10% level</w:t>
      </w:r>
      <w:r w:rsidR="00B10D23">
        <w:rPr>
          <w:sz w:val="24"/>
          <w:szCs w:val="24"/>
        </w:rPr>
        <w:t xml:space="preserve"> (p &gt; 0.</w:t>
      </w:r>
      <w:r w:rsidR="00CF4785">
        <w:rPr>
          <w:sz w:val="24"/>
          <w:szCs w:val="24"/>
        </w:rPr>
        <w:t>054</w:t>
      </w:r>
      <w:r w:rsidR="00B10D23">
        <w:rPr>
          <w:sz w:val="24"/>
          <w:szCs w:val="24"/>
        </w:rPr>
        <w:t xml:space="preserve">). Interestingly, there are larger negative effects before the separation and larger positive effects when arriving at the separation, which implies that the stress effect beforehand is even greater, resulting in a sigmoid-like representation. After that, the shock is corrected but remains in the </w:t>
      </w:r>
      <w:r w:rsidR="00021798">
        <w:rPr>
          <w:sz w:val="24"/>
          <w:szCs w:val="24"/>
        </w:rPr>
        <w:t>negative</w:t>
      </w:r>
      <w:r w:rsidR="00B10D23">
        <w:rPr>
          <w:sz w:val="24"/>
          <w:szCs w:val="24"/>
        </w:rPr>
        <w:t xml:space="preserve"> half in both years after the disruption</w:t>
      </w:r>
      <w:r w:rsidR="00021798">
        <w:rPr>
          <w:sz w:val="24"/>
          <w:szCs w:val="24"/>
        </w:rPr>
        <w:t xml:space="preserve"> with a negative trend</w:t>
      </w:r>
      <w:r w:rsidR="00B10D23">
        <w:rPr>
          <w:sz w:val="24"/>
          <w:szCs w:val="24"/>
        </w:rPr>
        <w:t xml:space="preserve">, </w:t>
      </w:r>
      <w:r w:rsidR="00021798">
        <w:rPr>
          <w:sz w:val="24"/>
          <w:szCs w:val="24"/>
        </w:rPr>
        <w:t xml:space="preserve">suggesting that students are less affected </w:t>
      </w:r>
      <w:r w:rsidR="00B10D23">
        <w:rPr>
          <w:sz w:val="24"/>
          <w:szCs w:val="24"/>
        </w:rPr>
        <w:t xml:space="preserve">in the short run when we also account for SES variables. Besides, </w:t>
      </w:r>
      <w:proofErr w:type="gramStart"/>
      <w:r w:rsidR="00B10D23">
        <w:rPr>
          <w:sz w:val="24"/>
          <w:szCs w:val="24"/>
        </w:rPr>
        <w:t>all of</w:t>
      </w:r>
      <w:proofErr w:type="gramEnd"/>
      <w:r w:rsidR="00B10D23">
        <w:rPr>
          <w:sz w:val="24"/>
          <w:szCs w:val="24"/>
        </w:rPr>
        <w:t xml:space="preserve"> the confidence bands covering the zero-treatment effect at 5% therefore parental separation may not be statistically meaningful at the end (Figure </w:t>
      </w:r>
      <w:r w:rsidR="000D4E0E">
        <w:rPr>
          <w:sz w:val="24"/>
          <w:szCs w:val="24"/>
        </w:rPr>
        <w:t>4</w:t>
      </w:r>
      <w:r w:rsidR="00B10D23">
        <w:rPr>
          <w:sz w:val="24"/>
          <w:szCs w:val="24"/>
        </w:rPr>
        <w:t>.).</w:t>
      </w:r>
    </w:p>
    <w:p w14:paraId="2DA0F437" w14:textId="06208172" w:rsidR="001A1904" w:rsidRDefault="001A1904" w:rsidP="001A1904">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w:t>
      </w:r>
      <w:r w:rsidR="00C70302">
        <w:rPr>
          <w:rFonts w:asciiTheme="minorHAnsi" w:hAnsiTheme="minorHAnsi" w:cstheme="minorHAnsi"/>
          <w:color w:val="auto"/>
          <w:sz w:val="24"/>
          <w:szCs w:val="24"/>
        </w:rPr>
        <w:t>4</w:t>
      </w:r>
      <w:r w:rsidRPr="006C019D">
        <w:rPr>
          <w:rFonts w:asciiTheme="minorHAnsi" w:hAnsiTheme="minorHAnsi" w:cstheme="minorHAnsi"/>
          <w:color w:val="auto"/>
          <w:sz w:val="24"/>
          <w:szCs w:val="24"/>
        </w:rPr>
        <w:t xml:space="preserve">. </w:t>
      </w:r>
      <w:r>
        <w:rPr>
          <w:rFonts w:asciiTheme="minorHAnsi" w:hAnsiTheme="minorHAnsi" w:cstheme="minorHAnsi"/>
          <w:color w:val="auto"/>
          <w:sz w:val="24"/>
          <w:szCs w:val="24"/>
        </w:rPr>
        <w:t>Home Environment</w:t>
      </w:r>
    </w:p>
    <w:p w14:paraId="3C2F481E" w14:textId="746C548A" w:rsidR="00573619" w:rsidRPr="00102DED" w:rsidRDefault="0046110D" w:rsidP="00741D35">
      <w:pPr>
        <w:spacing w:line="360" w:lineRule="auto"/>
        <w:ind w:firstLine="397"/>
        <w:jc w:val="both"/>
        <w:rPr>
          <w:sz w:val="24"/>
          <w:szCs w:val="24"/>
        </w:rPr>
      </w:pPr>
      <w:r w:rsidRPr="00102DED">
        <w:rPr>
          <w:sz w:val="24"/>
          <w:szCs w:val="24"/>
        </w:rPr>
        <w:t xml:space="preserve">As we have seen before, the home environment plays a huge part in developing children’s cognitive and emotional capabilities. </w:t>
      </w:r>
      <w:r w:rsidR="00D2734A">
        <w:rPr>
          <w:sz w:val="24"/>
          <w:szCs w:val="24"/>
        </w:rPr>
        <w:t>For that purpose</w:t>
      </w:r>
      <w:r w:rsidRPr="00102DED">
        <w:rPr>
          <w:sz w:val="24"/>
          <w:szCs w:val="24"/>
        </w:rPr>
        <w:t xml:space="preserve">, </w:t>
      </w:r>
      <w:r w:rsidR="00CE2C1F">
        <w:rPr>
          <w:sz w:val="24"/>
          <w:szCs w:val="24"/>
        </w:rPr>
        <w:t>I</w:t>
      </w:r>
      <w:r w:rsidRPr="00102DED">
        <w:rPr>
          <w:sz w:val="24"/>
          <w:szCs w:val="24"/>
        </w:rPr>
        <w:t xml:space="preserve"> will also include the HOME scores reported in 2006 and the number of minors (0-18 years of age) in the same household to capture the circumstances surrounding the individual at home. </w:t>
      </w:r>
      <w:r w:rsidR="00102DED">
        <w:rPr>
          <w:sz w:val="24"/>
          <w:szCs w:val="24"/>
        </w:rPr>
        <w:t>I expect that the attention and care the child receives as well as whether the adequate conditions to study is established at home does have a meaningful place in the equation</w:t>
      </w:r>
      <w:r w:rsidR="0025735E">
        <w:rPr>
          <w:sz w:val="24"/>
          <w:szCs w:val="24"/>
        </w:rPr>
        <w:t xml:space="preserve"> and acts as a mechanical variable</w:t>
      </w:r>
      <w:r w:rsidR="00102DED">
        <w:rPr>
          <w:sz w:val="24"/>
          <w:szCs w:val="24"/>
        </w:rPr>
        <w:t>. Also</w:t>
      </w:r>
      <w:r w:rsidR="006B2A38">
        <w:rPr>
          <w:sz w:val="24"/>
          <w:szCs w:val="24"/>
        </w:rPr>
        <w:t>,</w:t>
      </w:r>
      <w:r w:rsidR="00102DED">
        <w:rPr>
          <w:sz w:val="24"/>
          <w:szCs w:val="24"/>
        </w:rPr>
        <w:t xml:space="preserve"> the number of children in the household should be correlated with the attention </w:t>
      </w:r>
      <w:r w:rsidR="00460319">
        <w:rPr>
          <w:sz w:val="24"/>
          <w:szCs w:val="24"/>
        </w:rPr>
        <w:t xml:space="preserve">and </w:t>
      </w:r>
      <w:r w:rsidR="00460319">
        <w:rPr>
          <w:sz w:val="24"/>
          <w:szCs w:val="24"/>
        </w:rPr>
        <w:lastRenderedPageBreak/>
        <w:t xml:space="preserve">investment </w:t>
      </w:r>
      <w:r w:rsidR="00102DED">
        <w:rPr>
          <w:sz w:val="24"/>
          <w:szCs w:val="24"/>
        </w:rPr>
        <w:t xml:space="preserve">partitioned to each child </w:t>
      </w:r>
      <w:r w:rsidR="000957F5">
        <w:rPr>
          <w:sz w:val="24"/>
          <w:szCs w:val="24"/>
        </w:rPr>
        <w:t xml:space="preserve">since </w:t>
      </w:r>
      <w:r w:rsidR="00102DED">
        <w:rPr>
          <w:sz w:val="24"/>
          <w:szCs w:val="24"/>
        </w:rPr>
        <w:t>by having lots of children, parents may not be able to satisfy the needs of everyone in the househol</w:t>
      </w:r>
      <w:r w:rsidR="00460319">
        <w:rPr>
          <w:sz w:val="24"/>
          <w:szCs w:val="24"/>
        </w:rPr>
        <w:t>d</w:t>
      </w:r>
      <w:r w:rsidR="000957F5">
        <w:rPr>
          <w:sz w:val="24"/>
          <w:szCs w:val="24"/>
        </w:rPr>
        <w:t xml:space="preserve"> given the time and effort constraints.</w:t>
      </w:r>
    </w:p>
    <w:p w14:paraId="27CE0FBE" w14:textId="39AB9672" w:rsidR="001D703F" w:rsidRPr="00D2734A" w:rsidRDefault="00FF59CD" w:rsidP="00D2734A">
      <w:pPr>
        <w:spacing w:line="360" w:lineRule="auto"/>
        <w:ind w:firstLine="397"/>
        <w:jc w:val="both"/>
        <w:rPr>
          <w:sz w:val="24"/>
          <w:szCs w:val="24"/>
        </w:rPr>
      </w:pPr>
      <w:r>
        <w:rPr>
          <w:noProof/>
        </w:rPr>
        <w:drawing>
          <wp:anchor distT="0" distB="0" distL="114300" distR="114300" simplePos="0" relativeHeight="251807744" behindDoc="0" locked="0" layoutInCell="1" allowOverlap="1" wp14:anchorId="264A5321" wp14:editId="73C8C8E8">
            <wp:simplePos x="0" y="0"/>
            <wp:positionH relativeFrom="margin">
              <wp:align>center</wp:align>
            </wp:positionH>
            <wp:positionV relativeFrom="paragraph">
              <wp:posOffset>1349099</wp:posOffset>
            </wp:positionV>
            <wp:extent cx="4102735" cy="2628265"/>
            <wp:effectExtent l="0" t="0" r="0" b="63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02735" cy="2628265"/>
                    </a:xfrm>
                    <a:prstGeom prst="rect">
                      <a:avLst/>
                    </a:prstGeom>
                  </pic:spPr>
                </pic:pic>
              </a:graphicData>
            </a:graphic>
            <wp14:sizeRelH relativeFrom="margin">
              <wp14:pctWidth>0</wp14:pctWidth>
            </wp14:sizeRelH>
            <wp14:sizeRelV relativeFrom="margin">
              <wp14:pctHeight>0</wp14:pctHeight>
            </wp14:sizeRelV>
          </wp:anchor>
        </w:drawing>
      </w:r>
      <w:r w:rsidR="00232297">
        <w:rPr>
          <w:sz w:val="24"/>
          <w:szCs w:val="24"/>
        </w:rPr>
        <w:t>The table output</w:t>
      </w:r>
      <w:r w:rsidR="00C82C40">
        <w:rPr>
          <w:sz w:val="24"/>
          <w:szCs w:val="24"/>
        </w:rPr>
        <w:t xml:space="preserve"> below</w:t>
      </w:r>
      <w:r w:rsidR="00232297">
        <w:rPr>
          <w:sz w:val="24"/>
          <w:szCs w:val="24"/>
        </w:rPr>
        <w:t xml:space="preserve"> suggests th</w:t>
      </w:r>
      <w:r>
        <w:rPr>
          <w:sz w:val="24"/>
          <w:szCs w:val="24"/>
        </w:rPr>
        <w:t>at</w:t>
      </w:r>
      <w:r w:rsidR="00232297">
        <w:rPr>
          <w:sz w:val="24"/>
          <w:szCs w:val="24"/>
        </w:rPr>
        <w:t xml:space="preserve"> home environment covariates </w:t>
      </w:r>
      <w:r>
        <w:rPr>
          <w:sz w:val="24"/>
          <w:szCs w:val="24"/>
        </w:rPr>
        <w:t>further mediate</w:t>
      </w:r>
      <w:r w:rsidR="00232297">
        <w:rPr>
          <w:sz w:val="24"/>
          <w:szCs w:val="24"/>
        </w:rPr>
        <w:t xml:space="preserve"> the negative effect of parental separation. However, the pre-test of conditional PTA is </w:t>
      </w:r>
      <w:r w:rsidR="007039FB">
        <w:rPr>
          <w:sz w:val="24"/>
          <w:szCs w:val="24"/>
        </w:rPr>
        <w:t>failed to be rejected</w:t>
      </w:r>
      <w:r w:rsidR="0025735E">
        <w:rPr>
          <w:sz w:val="24"/>
          <w:szCs w:val="24"/>
        </w:rPr>
        <w:t xml:space="preserve"> at a 5% level,</w:t>
      </w:r>
      <w:r w:rsidR="00232297">
        <w:rPr>
          <w:sz w:val="24"/>
          <w:szCs w:val="24"/>
        </w:rPr>
        <w:t xml:space="preserve"> meaning that the fundamental assumption of DID is likely to hold and the coefficients mirror the actual values</w:t>
      </w:r>
      <w:r w:rsidR="00F34075">
        <w:rPr>
          <w:sz w:val="24"/>
          <w:szCs w:val="24"/>
        </w:rPr>
        <w:t xml:space="preserve"> </w:t>
      </w:r>
      <w:r w:rsidR="007039FB">
        <w:rPr>
          <w:sz w:val="24"/>
          <w:szCs w:val="24"/>
        </w:rPr>
        <w:t xml:space="preserve">given the input variables </w:t>
      </w:r>
      <w:r w:rsidR="00F34075">
        <w:rPr>
          <w:sz w:val="24"/>
          <w:szCs w:val="24"/>
        </w:rPr>
        <w:t xml:space="preserve">(p </w:t>
      </w:r>
      <w:r w:rsidR="0025735E">
        <w:rPr>
          <w:sz w:val="24"/>
          <w:szCs w:val="24"/>
        </w:rPr>
        <w:t>&gt; 0.05</w:t>
      </w:r>
      <w:r w:rsidR="00F34075">
        <w:rPr>
          <w:sz w:val="24"/>
          <w:szCs w:val="24"/>
        </w:rPr>
        <w:t>)</w:t>
      </w:r>
      <w:r w:rsidR="00C82C40">
        <w:rPr>
          <w:sz w:val="24"/>
          <w:szCs w:val="24"/>
        </w:rPr>
        <w:t xml:space="preserve"> (Table </w:t>
      </w:r>
      <w:r w:rsidR="00D2734A">
        <w:rPr>
          <w:sz w:val="24"/>
          <w:szCs w:val="24"/>
        </w:rPr>
        <w:t>8</w:t>
      </w:r>
      <w:r w:rsidR="00C82C40">
        <w:rPr>
          <w:sz w:val="24"/>
          <w:szCs w:val="24"/>
        </w:rPr>
        <w:t>.)</w:t>
      </w:r>
      <w:r w:rsidR="00232297">
        <w:rPr>
          <w:sz w:val="24"/>
          <w:szCs w:val="24"/>
        </w:rPr>
        <w:t xml:space="preserve">. </w:t>
      </w:r>
    </w:p>
    <w:p w14:paraId="45A4C6E6" w14:textId="50C1E644" w:rsidR="00D2734A" w:rsidRDefault="00D2734A" w:rsidP="0066169D">
      <w:pPr>
        <w:spacing w:line="360" w:lineRule="auto"/>
        <w:ind w:firstLine="397"/>
        <w:jc w:val="both"/>
        <w:rPr>
          <w:sz w:val="24"/>
          <w:szCs w:val="24"/>
        </w:rPr>
      </w:pPr>
    </w:p>
    <w:p w14:paraId="296A351F" w14:textId="046D6123" w:rsidR="001D703F" w:rsidRDefault="001D703F" w:rsidP="0066169D">
      <w:pPr>
        <w:spacing w:line="360" w:lineRule="auto"/>
        <w:ind w:firstLine="397"/>
        <w:jc w:val="both"/>
        <w:rPr>
          <w:sz w:val="24"/>
          <w:szCs w:val="24"/>
        </w:rPr>
      </w:pPr>
      <w:r>
        <w:rPr>
          <w:sz w:val="24"/>
          <w:szCs w:val="24"/>
        </w:rPr>
        <w:t xml:space="preserve">Regarding the dynamic aggregated effects, we can also observe shallower slopes in the post-treatment periods, where the decrease in average GPAs of children with disrupted families </w:t>
      </w:r>
      <w:r w:rsidR="00FF59CD">
        <w:rPr>
          <w:sz w:val="24"/>
          <w:szCs w:val="24"/>
        </w:rPr>
        <w:t>stays above</w:t>
      </w:r>
      <w:r>
        <w:rPr>
          <w:sz w:val="24"/>
          <w:szCs w:val="24"/>
        </w:rPr>
        <w:t xml:space="preserve"> 0.</w:t>
      </w:r>
      <w:r w:rsidR="00FF59CD">
        <w:rPr>
          <w:sz w:val="24"/>
          <w:szCs w:val="24"/>
        </w:rPr>
        <w:t>1</w:t>
      </w:r>
      <w:r>
        <w:rPr>
          <w:sz w:val="24"/>
          <w:szCs w:val="24"/>
        </w:rPr>
        <w:t xml:space="preserve"> points two years after the separation.</w:t>
      </w:r>
      <w:r w:rsidR="00673AE0">
        <w:rPr>
          <w:sz w:val="24"/>
          <w:szCs w:val="24"/>
        </w:rPr>
        <w:t xml:space="preserve"> The hump shape</w:t>
      </w:r>
      <w:r w:rsidR="006B2A38">
        <w:rPr>
          <w:sz w:val="24"/>
          <w:szCs w:val="24"/>
        </w:rPr>
        <w:t>, in this case</w:t>
      </w:r>
      <w:r w:rsidR="00673AE0">
        <w:rPr>
          <w:sz w:val="24"/>
          <w:szCs w:val="24"/>
        </w:rPr>
        <w:t xml:space="preserve"> is more expressed because the home environment somewhat measures the</w:t>
      </w:r>
      <w:r w:rsidR="0028382C">
        <w:rPr>
          <w:sz w:val="24"/>
          <w:szCs w:val="24"/>
        </w:rPr>
        <w:t xml:space="preserve"> conflicts and</w:t>
      </w:r>
      <w:r w:rsidR="00673AE0">
        <w:rPr>
          <w:sz w:val="24"/>
          <w:szCs w:val="24"/>
        </w:rPr>
        <w:t xml:space="preserve"> strength of relationships at home (Figure </w:t>
      </w:r>
      <w:r w:rsidR="000B3DAE">
        <w:rPr>
          <w:sz w:val="24"/>
          <w:szCs w:val="24"/>
        </w:rPr>
        <w:t>5</w:t>
      </w:r>
      <w:r w:rsidR="00673AE0">
        <w:rPr>
          <w:sz w:val="24"/>
          <w:szCs w:val="24"/>
        </w:rPr>
        <w:t>.).</w:t>
      </w:r>
    </w:p>
    <w:p w14:paraId="0158E676" w14:textId="692736B4" w:rsidR="00D2734A" w:rsidRPr="00AD3359" w:rsidRDefault="002156AB" w:rsidP="0066169D">
      <w:pPr>
        <w:spacing w:line="360" w:lineRule="auto"/>
        <w:ind w:firstLine="397"/>
        <w:jc w:val="both"/>
        <w:rPr>
          <w:sz w:val="24"/>
          <w:szCs w:val="24"/>
        </w:rPr>
      </w:pPr>
      <w:r>
        <w:rPr>
          <w:noProof/>
        </w:rPr>
        <w:lastRenderedPageBreak/>
        <mc:AlternateContent>
          <mc:Choice Requires="wps">
            <w:drawing>
              <wp:anchor distT="0" distB="0" distL="114300" distR="114300" simplePos="0" relativeHeight="251762688" behindDoc="0" locked="0" layoutInCell="1" allowOverlap="1" wp14:anchorId="1D10120F" wp14:editId="682AA504">
                <wp:simplePos x="0" y="0"/>
                <wp:positionH relativeFrom="margin">
                  <wp:align>center</wp:align>
                </wp:positionH>
                <wp:positionV relativeFrom="paragraph">
                  <wp:posOffset>2574317</wp:posOffset>
                </wp:positionV>
                <wp:extent cx="2965450" cy="516255"/>
                <wp:effectExtent l="0" t="0" r="6350" b="0"/>
                <wp:wrapTopAndBottom/>
                <wp:docPr id="13" name="Text Box 13"/>
                <wp:cNvGraphicFramePr/>
                <a:graphic xmlns:a="http://schemas.openxmlformats.org/drawingml/2006/main">
                  <a:graphicData uri="http://schemas.microsoft.com/office/word/2010/wordprocessingShape">
                    <wps:wsp>
                      <wps:cNvSpPr txBox="1"/>
                      <wps:spPr>
                        <a:xfrm>
                          <a:off x="0" y="0"/>
                          <a:ext cx="2965450" cy="516255"/>
                        </a:xfrm>
                        <a:prstGeom prst="rect">
                          <a:avLst/>
                        </a:prstGeom>
                        <a:solidFill>
                          <a:prstClr val="white"/>
                        </a:solidFill>
                        <a:ln>
                          <a:noFill/>
                        </a:ln>
                      </wps:spPr>
                      <wps:txbx>
                        <w:txbxContent>
                          <w:p w14:paraId="26937545" w14:textId="6DB8D1CF" w:rsidR="004E5911" w:rsidRPr="00035C15" w:rsidRDefault="004E5911" w:rsidP="002156AB">
                            <w:pPr>
                              <w:pStyle w:val="Caption"/>
                              <w:jc w:val="both"/>
                              <w:rPr>
                                <w:color w:val="auto"/>
                                <w:sz w:val="28"/>
                                <w:szCs w:val="28"/>
                              </w:rPr>
                            </w:pPr>
                            <w:r w:rsidRPr="00035C15">
                              <w:rPr>
                                <w:color w:val="auto"/>
                                <w:sz w:val="20"/>
                                <w:szCs w:val="20"/>
                              </w:rPr>
                              <w:t xml:space="preserve">Figure </w:t>
                            </w:r>
                            <w:r w:rsidR="009044AF">
                              <w:rPr>
                                <w:color w:val="auto"/>
                                <w:sz w:val="20"/>
                                <w:szCs w:val="20"/>
                              </w:rPr>
                              <w:t>5</w:t>
                            </w:r>
                            <w:r w:rsidRPr="00035C15">
                              <w:rPr>
                                <w:color w:val="auto"/>
                                <w:sz w:val="20"/>
                                <w:szCs w:val="20"/>
                              </w:rPr>
                              <w:t>. Event study of parental separation’s upper-bound impact on GPA when conditioning on Student</w:t>
                            </w:r>
                            <w:r w:rsidR="002156AB">
                              <w:rPr>
                                <w:color w:val="auto"/>
                                <w:sz w:val="20"/>
                                <w:szCs w:val="20"/>
                              </w:rPr>
                              <w:t>, SES,</w:t>
                            </w:r>
                            <w:r w:rsidRPr="00035C15">
                              <w:rPr>
                                <w:color w:val="auto"/>
                                <w:sz w:val="20"/>
                                <w:szCs w:val="20"/>
                              </w:rPr>
                              <w:t xml:space="preserve"> and Home covariates.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0120F" id="Text Box 13" o:spid="_x0000_s1030" type="#_x0000_t202" style="position:absolute;left:0;text-align:left;margin-left:0;margin-top:202.7pt;width:233.5pt;height:40.6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YwMAIAAGkEAAAOAAAAZHJzL2Uyb0RvYy54bWysVFFv2yAQfp+0/4B4X5xkTbR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" stroked="f">
                <v:textbox inset="0,0,0,0">
                  <w:txbxContent>
                    <w:p w14:paraId="26937545" w14:textId="6DB8D1CF" w:rsidR="004E5911" w:rsidRPr="00035C15" w:rsidRDefault="004E5911" w:rsidP="002156AB">
                      <w:pPr>
                        <w:pStyle w:val="Caption"/>
                        <w:jc w:val="both"/>
                        <w:rPr>
                          <w:color w:val="auto"/>
                          <w:sz w:val="28"/>
                          <w:szCs w:val="28"/>
                        </w:rPr>
                      </w:pPr>
                      <w:r w:rsidRPr="00035C15">
                        <w:rPr>
                          <w:color w:val="auto"/>
                          <w:sz w:val="20"/>
                          <w:szCs w:val="20"/>
                        </w:rPr>
                        <w:t xml:space="preserve">Figure </w:t>
                      </w:r>
                      <w:r w:rsidR="009044AF">
                        <w:rPr>
                          <w:color w:val="auto"/>
                          <w:sz w:val="20"/>
                          <w:szCs w:val="20"/>
                        </w:rPr>
                        <w:t>5</w:t>
                      </w:r>
                      <w:r w:rsidRPr="00035C15">
                        <w:rPr>
                          <w:color w:val="auto"/>
                          <w:sz w:val="20"/>
                          <w:szCs w:val="20"/>
                        </w:rPr>
                        <w:t>. Event study of parental separation’s upper-bound impact on GPA when conditioning on Student</w:t>
                      </w:r>
                      <w:r w:rsidR="002156AB">
                        <w:rPr>
                          <w:color w:val="auto"/>
                          <w:sz w:val="20"/>
                          <w:szCs w:val="20"/>
                        </w:rPr>
                        <w:t>, SES,</w:t>
                      </w:r>
                      <w:r w:rsidRPr="00035C15">
                        <w:rPr>
                          <w:color w:val="auto"/>
                          <w:sz w:val="20"/>
                          <w:szCs w:val="20"/>
                        </w:rPr>
                        <w:t xml:space="preserve"> and Home covariates.</w:t>
                      </w:r>
                    </w:p>
                  </w:txbxContent>
                </v:textbox>
                <w10:wrap type="topAndBottom" anchorx="margin"/>
              </v:shape>
            </w:pict>
          </mc:Fallback>
        </mc:AlternateContent>
      </w:r>
      <w:r>
        <w:rPr>
          <w:noProof/>
          <w:sz w:val="24"/>
          <w:szCs w:val="24"/>
        </w:rPr>
        <w:drawing>
          <wp:anchor distT="0" distB="0" distL="114300" distR="114300" simplePos="0" relativeHeight="251808768" behindDoc="0" locked="0" layoutInCell="1" allowOverlap="1" wp14:anchorId="601832BC" wp14:editId="30022509">
            <wp:simplePos x="0" y="0"/>
            <wp:positionH relativeFrom="margin">
              <wp:align>center</wp:align>
            </wp:positionH>
            <wp:positionV relativeFrom="paragraph">
              <wp:posOffset>193</wp:posOffset>
            </wp:positionV>
            <wp:extent cx="2926916" cy="2600077"/>
            <wp:effectExtent l="0" t="0" r="6985" b="0"/>
            <wp:wrapTopAndBottom/>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26916" cy="2600077"/>
                    </a:xfrm>
                    <a:prstGeom prst="rect">
                      <a:avLst/>
                    </a:prstGeom>
                  </pic:spPr>
                </pic:pic>
              </a:graphicData>
            </a:graphic>
          </wp:anchor>
        </w:drawing>
      </w:r>
    </w:p>
    <w:p w14:paraId="17F6E522" w14:textId="697A724B" w:rsidR="00E161C6" w:rsidRDefault="00E161C6" w:rsidP="00E161C6">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w:t>
      </w:r>
      <w:r w:rsidR="00C70302">
        <w:rPr>
          <w:rFonts w:asciiTheme="minorHAnsi" w:hAnsiTheme="minorHAnsi" w:cstheme="minorHAnsi"/>
          <w:color w:val="auto"/>
          <w:sz w:val="24"/>
          <w:szCs w:val="24"/>
        </w:rPr>
        <w:t>5</w:t>
      </w:r>
      <w:r w:rsidRPr="006C019D">
        <w:rPr>
          <w:rFonts w:asciiTheme="minorHAnsi" w:hAnsiTheme="minorHAnsi" w:cstheme="minorHAnsi"/>
          <w:color w:val="auto"/>
          <w:sz w:val="24"/>
          <w:szCs w:val="24"/>
        </w:rPr>
        <w:t xml:space="preserve">. </w:t>
      </w:r>
      <w:r w:rsidR="00256C75">
        <w:rPr>
          <w:rFonts w:asciiTheme="minorHAnsi" w:hAnsiTheme="minorHAnsi" w:cstheme="minorHAnsi"/>
          <w:color w:val="auto"/>
          <w:sz w:val="24"/>
          <w:szCs w:val="24"/>
        </w:rPr>
        <w:t>School</w:t>
      </w:r>
      <w:r w:rsidR="00C70302">
        <w:rPr>
          <w:rFonts w:asciiTheme="minorHAnsi" w:hAnsiTheme="minorHAnsi" w:cstheme="minorHAnsi"/>
          <w:color w:val="auto"/>
          <w:sz w:val="24"/>
          <w:szCs w:val="24"/>
        </w:rPr>
        <w:t xml:space="preserve"> Characteristics</w:t>
      </w:r>
    </w:p>
    <w:p w14:paraId="0C6B7208" w14:textId="174D5862" w:rsidR="00D1323C" w:rsidRDefault="00D710AE" w:rsidP="00BC019C">
      <w:pPr>
        <w:spacing w:line="360" w:lineRule="auto"/>
        <w:ind w:firstLine="397"/>
        <w:jc w:val="both"/>
        <w:rPr>
          <w:sz w:val="24"/>
          <w:szCs w:val="24"/>
        </w:rPr>
      </w:pPr>
      <w:r>
        <w:rPr>
          <w:noProof/>
        </w:rPr>
        <w:drawing>
          <wp:anchor distT="0" distB="0" distL="114300" distR="114300" simplePos="0" relativeHeight="251809792" behindDoc="0" locked="0" layoutInCell="1" allowOverlap="1" wp14:anchorId="13E9FD1B" wp14:editId="5401272B">
            <wp:simplePos x="0" y="0"/>
            <wp:positionH relativeFrom="margin">
              <wp:align>center</wp:align>
            </wp:positionH>
            <wp:positionV relativeFrom="paragraph">
              <wp:posOffset>2143042</wp:posOffset>
            </wp:positionV>
            <wp:extent cx="4069715" cy="2631440"/>
            <wp:effectExtent l="0" t="0" r="698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69715" cy="2631440"/>
                    </a:xfrm>
                    <a:prstGeom prst="rect">
                      <a:avLst/>
                    </a:prstGeom>
                  </pic:spPr>
                </pic:pic>
              </a:graphicData>
            </a:graphic>
            <wp14:sizeRelH relativeFrom="margin">
              <wp14:pctWidth>0</wp14:pctWidth>
            </wp14:sizeRelH>
            <wp14:sizeRelV relativeFrom="margin">
              <wp14:pctHeight>0</wp14:pctHeight>
            </wp14:sizeRelV>
          </wp:anchor>
        </w:drawing>
      </w:r>
      <w:r w:rsidR="008B3A35" w:rsidRPr="008B3A35">
        <w:rPr>
          <w:sz w:val="24"/>
          <w:szCs w:val="24"/>
        </w:rPr>
        <w:t xml:space="preserve">To compensate </w:t>
      </w:r>
      <w:r w:rsidR="006B2A38">
        <w:rPr>
          <w:sz w:val="24"/>
          <w:szCs w:val="24"/>
        </w:rPr>
        <w:t xml:space="preserve">for </w:t>
      </w:r>
      <w:r w:rsidR="008B3A35" w:rsidRPr="008B3A35">
        <w:rPr>
          <w:sz w:val="24"/>
          <w:szCs w:val="24"/>
        </w:rPr>
        <w:t xml:space="preserve">the weakness of GPA compared to standardized test scores, </w:t>
      </w:r>
      <w:r w:rsidR="00D1323C" w:rsidRPr="00D91810">
        <w:rPr>
          <w:sz w:val="24"/>
          <w:szCs w:val="24"/>
        </w:rPr>
        <w:t xml:space="preserve">we </w:t>
      </w:r>
      <w:r w:rsidR="00D1323C">
        <w:rPr>
          <w:sz w:val="24"/>
          <w:szCs w:val="24"/>
        </w:rPr>
        <w:t xml:space="preserve">should consider adding the school characteristics because, in each school, the expectations and the quality of the curriculum are different. Therefore, I added the variable of regional differences, the type of school, and the maintainer of the school (same categories as in the VAM (see. Section 4.1.)). The maintainer accounts for the differences in school financing which should heavily correlate with the ability to attract better teachers and offer a large variety of equipment’s e.g., electronic gadgets. </w:t>
      </w:r>
    </w:p>
    <w:p w14:paraId="2611451C" w14:textId="29581593" w:rsidR="00D1323C" w:rsidRDefault="00D1323C" w:rsidP="009044AF">
      <w:pPr>
        <w:spacing w:line="360" w:lineRule="auto"/>
        <w:jc w:val="both"/>
        <w:rPr>
          <w:sz w:val="24"/>
          <w:szCs w:val="24"/>
        </w:rPr>
      </w:pPr>
    </w:p>
    <w:p w14:paraId="708CA552" w14:textId="3295A5F4" w:rsidR="009C320B" w:rsidRDefault="004C3C7F" w:rsidP="005D3D16">
      <w:pPr>
        <w:spacing w:line="360" w:lineRule="auto"/>
        <w:ind w:firstLine="397"/>
        <w:jc w:val="both"/>
        <w:rPr>
          <w:sz w:val="24"/>
          <w:szCs w:val="24"/>
        </w:rPr>
      </w:pPr>
      <w:r>
        <w:rPr>
          <w:noProof/>
        </w:rPr>
        <w:lastRenderedPageBreak/>
        <mc:AlternateContent>
          <mc:Choice Requires="wps">
            <w:drawing>
              <wp:anchor distT="0" distB="0" distL="114300" distR="114300" simplePos="0" relativeHeight="251766784" behindDoc="0" locked="0" layoutInCell="1" allowOverlap="1" wp14:anchorId="31E216DC" wp14:editId="2858B675">
                <wp:simplePos x="0" y="0"/>
                <wp:positionH relativeFrom="margin">
                  <wp:align>center</wp:align>
                </wp:positionH>
                <wp:positionV relativeFrom="paragraph">
                  <wp:posOffset>4777270</wp:posOffset>
                </wp:positionV>
                <wp:extent cx="3220085" cy="468630"/>
                <wp:effectExtent l="0" t="0" r="0" b="7620"/>
                <wp:wrapTopAndBottom/>
                <wp:docPr id="16" name="Text Box 16"/>
                <wp:cNvGraphicFramePr/>
                <a:graphic xmlns:a="http://schemas.openxmlformats.org/drawingml/2006/main">
                  <a:graphicData uri="http://schemas.microsoft.com/office/word/2010/wordprocessingShape">
                    <wps:wsp>
                      <wps:cNvSpPr txBox="1"/>
                      <wps:spPr>
                        <a:xfrm>
                          <a:off x="0" y="0"/>
                          <a:ext cx="3220085" cy="468630"/>
                        </a:xfrm>
                        <a:prstGeom prst="rect">
                          <a:avLst/>
                        </a:prstGeom>
                        <a:solidFill>
                          <a:prstClr val="white"/>
                        </a:solidFill>
                        <a:ln>
                          <a:noFill/>
                        </a:ln>
                      </wps:spPr>
                      <wps:txbx>
                        <w:txbxContent>
                          <w:p w14:paraId="355797EB" w14:textId="4C73E2A5" w:rsidR="004E5911" w:rsidRPr="00035C15" w:rsidRDefault="004E5911" w:rsidP="004C3C7F">
                            <w:pPr>
                              <w:pStyle w:val="Caption"/>
                              <w:jc w:val="both"/>
                              <w:rPr>
                                <w:color w:val="auto"/>
                                <w:sz w:val="28"/>
                                <w:szCs w:val="28"/>
                              </w:rPr>
                            </w:pPr>
                            <w:r w:rsidRPr="00035C15">
                              <w:rPr>
                                <w:color w:val="auto"/>
                                <w:sz w:val="20"/>
                                <w:szCs w:val="20"/>
                              </w:rPr>
                              <w:t xml:space="preserve">Figure </w:t>
                            </w:r>
                            <w:r w:rsidR="00176CEA">
                              <w:rPr>
                                <w:color w:val="auto"/>
                                <w:sz w:val="20"/>
                                <w:szCs w:val="20"/>
                              </w:rPr>
                              <w:t>6</w:t>
                            </w:r>
                            <w:r w:rsidRPr="00035C15">
                              <w:rPr>
                                <w:color w:val="auto"/>
                                <w:sz w:val="20"/>
                                <w:szCs w:val="20"/>
                              </w:rPr>
                              <w:t xml:space="preserve">. Event study of parental separation’s upper-bound impact on GPA when conditioning on Student, </w:t>
                            </w:r>
                            <w:r w:rsidR="005D3D16">
                              <w:rPr>
                                <w:color w:val="auto"/>
                                <w:sz w:val="20"/>
                                <w:szCs w:val="20"/>
                              </w:rPr>
                              <w:t xml:space="preserve">SES, </w:t>
                            </w:r>
                            <w:r w:rsidRPr="00035C15">
                              <w:rPr>
                                <w:color w:val="auto"/>
                                <w:sz w:val="20"/>
                                <w:szCs w:val="20"/>
                              </w:rPr>
                              <w:t>Home and School covariates.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216DC" id="Text Box 16" o:spid="_x0000_s1031" type="#_x0000_t202" style="position:absolute;left:0;text-align:left;margin-left:0;margin-top:376.15pt;width:253.55pt;height:36.9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" stroked="f">
                <v:textbox inset="0,0,0,0">
                  <w:txbxContent>
                    <w:p w14:paraId="355797EB" w14:textId="4C73E2A5" w:rsidR="004E5911" w:rsidRPr="00035C15" w:rsidRDefault="004E5911" w:rsidP="004C3C7F">
                      <w:pPr>
                        <w:pStyle w:val="Caption"/>
                        <w:jc w:val="both"/>
                        <w:rPr>
                          <w:color w:val="auto"/>
                          <w:sz w:val="28"/>
                          <w:szCs w:val="28"/>
                        </w:rPr>
                      </w:pPr>
                      <w:r w:rsidRPr="00035C15">
                        <w:rPr>
                          <w:color w:val="auto"/>
                          <w:sz w:val="20"/>
                          <w:szCs w:val="20"/>
                        </w:rPr>
                        <w:t xml:space="preserve">Figure </w:t>
                      </w:r>
                      <w:r w:rsidR="00176CEA">
                        <w:rPr>
                          <w:color w:val="auto"/>
                          <w:sz w:val="20"/>
                          <w:szCs w:val="20"/>
                        </w:rPr>
                        <w:t>6</w:t>
                      </w:r>
                      <w:r w:rsidRPr="00035C15">
                        <w:rPr>
                          <w:color w:val="auto"/>
                          <w:sz w:val="20"/>
                          <w:szCs w:val="20"/>
                        </w:rPr>
                        <w:t xml:space="preserve">. Event study of parental separation’s upper-bound impact on GPA when conditioning on Student, </w:t>
                      </w:r>
                      <w:r w:rsidR="005D3D16">
                        <w:rPr>
                          <w:color w:val="auto"/>
                          <w:sz w:val="20"/>
                          <w:szCs w:val="20"/>
                        </w:rPr>
                        <w:t xml:space="preserve">SES, </w:t>
                      </w:r>
                      <w:r w:rsidRPr="00035C15">
                        <w:rPr>
                          <w:color w:val="auto"/>
                          <w:sz w:val="20"/>
                          <w:szCs w:val="20"/>
                        </w:rPr>
                        <w:t>Home and School covariates.</w:t>
                      </w:r>
                    </w:p>
                  </w:txbxContent>
                </v:textbox>
                <w10:wrap type="topAndBottom" anchorx="margin"/>
              </v:shape>
            </w:pict>
          </mc:Fallback>
        </mc:AlternateContent>
      </w:r>
      <w:r w:rsidR="005D3D16">
        <w:rPr>
          <w:noProof/>
          <w:sz w:val="24"/>
          <w:szCs w:val="24"/>
        </w:rPr>
        <w:drawing>
          <wp:anchor distT="0" distB="0" distL="114300" distR="114300" simplePos="0" relativeHeight="251810816" behindDoc="0" locked="0" layoutInCell="1" allowOverlap="1" wp14:anchorId="27C20EFF" wp14:editId="40183049">
            <wp:simplePos x="0" y="0"/>
            <wp:positionH relativeFrom="margin">
              <wp:align>center</wp:align>
            </wp:positionH>
            <wp:positionV relativeFrom="paragraph">
              <wp:posOffset>2113197</wp:posOffset>
            </wp:positionV>
            <wp:extent cx="3037205" cy="2698115"/>
            <wp:effectExtent l="0" t="0" r="0" b="6985"/>
            <wp:wrapTopAndBottom/>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37205" cy="2698115"/>
                    </a:xfrm>
                    <a:prstGeom prst="rect">
                      <a:avLst/>
                    </a:prstGeom>
                  </pic:spPr>
                </pic:pic>
              </a:graphicData>
            </a:graphic>
            <wp14:sizeRelH relativeFrom="margin">
              <wp14:pctWidth>0</wp14:pctWidth>
            </wp14:sizeRelH>
            <wp14:sizeRelV relativeFrom="margin">
              <wp14:pctHeight>0</wp14:pctHeight>
            </wp14:sizeRelV>
          </wp:anchor>
        </w:drawing>
      </w:r>
      <w:r w:rsidR="008B3A35">
        <w:rPr>
          <w:sz w:val="24"/>
          <w:szCs w:val="24"/>
        </w:rPr>
        <w:t xml:space="preserve">Table </w:t>
      </w:r>
      <w:r w:rsidR="00D710AE">
        <w:rPr>
          <w:sz w:val="24"/>
          <w:szCs w:val="24"/>
        </w:rPr>
        <w:t>9</w:t>
      </w:r>
      <w:r w:rsidR="008B3A35">
        <w:rPr>
          <w:sz w:val="24"/>
          <w:szCs w:val="24"/>
        </w:rPr>
        <w:t xml:space="preserve">. illustrates the treatment effects when conditioning on </w:t>
      </w:r>
      <w:r w:rsidR="006B2A38">
        <w:rPr>
          <w:sz w:val="24"/>
          <w:szCs w:val="24"/>
        </w:rPr>
        <w:t xml:space="preserve">the </w:t>
      </w:r>
      <w:r w:rsidR="008B3A35">
        <w:rPr>
          <w:sz w:val="24"/>
          <w:szCs w:val="24"/>
        </w:rPr>
        <w:t xml:space="preserve">student, </w:t>
      </w:r>
      <w:r w:rsidR="00036992">
        <w:rPr>
          <w:sz w:val="24"/>
          <w:szCs w:val="24"/>
        </w:rPr>
        <w:t xml:space="preserve">SES, </w:t>
      </w:r>
      <w:r w:rsidR="008B3A35">
        <w:rPr>
          <w:sz w:val="24"/>
          <w:szCs w:val="24"/>
        </w:rPr>
        <w:t>home</w:t>
      </w:r>
      <w:r w:rsidR="006B2A38">
        <w:rPr>
          <w:sz w:val="24"/>
          <w:szCs w:val="24"/>
        </w:rPr>
        <w:t>,</w:t>
      </w:r>
      <w:r w:rsidR="008B3A35">
        <w:rPr>
          <w:sz w:val="24"/>
          <w:szCs w:val="24"/>
        </w:rPr>
        <w:t xml:space="preserve"> and school controls. Such effects helped to decrease the variance across group-time pairs, while the effect shifted upwards to a positive territory</w:t>
      </w:r>
      <w:r w:rsidR="001E555D">
        <w:rPr>
          <w:sz w:val="24"/>
          <w:szCs w:val="24"/>
        </w:rPr>
        <w:t xml:space="preserve"> which is also present when plotting the dynamic effects (Figure </w:t>
      </w:r>
      <w:r w:rsidR="00CE1934">
        <w:rPr>
          <w:sz w:val="24"/>
          <w:szCs w:val="24"/>
        </w:rPr>
        <w:t>6</w:t>
      </w:r>
      <w:r w:rsidR="001E555D">
        <w:rPr>
          <w:sz w:val="24"/>
          <w:szCs w:val="24"/>
        </w:rPr>
        <w:t>.)</w:t>
      </w:r>
      <w:r w:rsidR="008B3A35">
        <w:rPr>
          <w:sz w:val="24"/>
          <w:szCs w:val="24"/>
        </w:rPr>
        <w:t xml:space="preserve">. </w:t>
      </w:r>
      <w:r w:rsidR="00036992">
        <w:rPr>
          <w:sz w:val="24"/>
          <w:szCs w:val="24"/>
        </w:rPr>
        <w:t>Regarding significance</w:t>
      </w:r>
      <w:r w:rsidR="008B3A35">
        <w:rPr>
          <w:sz w:val="24"/>
          <w:szCs w:val="24"/>
        </w:rPr>
        <w:t xml:space="preserve">, </w:t>
      </w:r>
      <w:r w:rsidR="00BC019C">
        <w:rPr>
          <w:sz w:val="24"/>
          <w:szCs w:val="24"/>
        </w:rPr>
        <w:t xml:space="preserve">the p-value takes up the highest value </w:t>
      </w:r>
      <w:r w:rsidR="00512DAE">
        <w:rPr>
          <w:sz w:val="24"/>
          <w:szCs w:val="24"/>
        </w:rPr>
        <w:t>(p &gt; 0.</w:t>
      </w:r>
      <w:r w:rsidR="00036992">
        <w:rPr>
          <w:sz w:val="24"/>
          <w:szCs w:val="24"/>
        </w:rPr>
        <w:t>15</w:t>
      </w:r>
      <w:r w:rsidR="00512DAE">
        <w:rPr>
          <w:sz w:val="24"/>
          <w:szCs w:val="24"/>
        </w:rPr>
        <w:t>)</w:t>
      </w:r>
      <w:r w:rsidR="00211858">
        <w:rPr>
          <w:sz w:val="24"/>
          <w:szCs w:val="24"/>
        </w:rPr>
        <w:t>,</w:t>
      </w:r>
      <w:r w:rsidR="00512DAE">
        <w:rPr>
          <w:sz w:val="24"/>
          <w:szCs w:val="24"/>
        </w:rPr>
        <w:t xml:space="preserve"> </w:t>
      </w:r>
      <w:r w:rsidR="00DF3049">
        <w:rPr>
          <w:sz w:val="24"/>
          <w:szCs w:val="24"/>
        </w:rPr>
        <w:t>indicating no evidence</w:t>
      </w:r>
      <w:r w:rsidR="00036992">
        <w:rPr>
          <w:sz w:val="24"/>
          <w:szCs w:val="24"/>
        </w:rPr>
        <w:t xml:space="preserve"> even at 10%</w:t>
      </w:r>
      <w:r w:rsidR="00DF3049">
        <w:rPr>
          <w:sz w:val="24"/>
          <w:szCs w:val="24"/>
        </w:rPr>
        <w:t xml:space="preserve"> against </w:t>
      </w:r>
      <w:r w:rsidR="00BC019C">
        <w:rPr>
          <w:sz w:val="24"/>
          <w:szCs w:val="24"/>
        </w:rPr>
        <w:t xml:space="preserve">the parallel trend </w:t>
      </w:r>
      <w:r w:rsidR="004A17F8">
        <w:rPr>
          <w:sz w:val="24"/>
          <w:szCs w:val="24"/>
        </w:rPr>
        <w:t xml:space="preserve">assumption </w:t>
      </w:r>
      <w:r w:rsidR="00BC019C">
        <w:rPr>
          <w:sz w:val="24"/>
          <w:szCs w:val="24"/>
        </w:rPr>
        <w:t>of the two groups</w:t>
      </w:r>
      <w:r w:rsidR="00211858">
        <w:rPr>
          <w:sz w:val="24"/>
          <w:szCs w:val="24"/>
        </w:rPr>
        <w:t xml:space="preserve">, </w:t>
      </w:r>
      <w:r w:rsidR="00DF3049">
        <w:rPr>
          <w:sz w:val="24"/>
          <w:szCs w:val="24"/>
        </w:rPr>
        <w:t xml:space="preserve">because </w:t>
      </w:r>
      <w:r w:rsidR="00036992">
        <w:rPr>
          <w:sz w:val="24"/>
          <w:szCs w:val="24"/>
        </w:rPr>
        <w:t>by including such effects, it helps us to explain the main confounders of the pre-trend analysis</w:t>
      </w:r>
      <w:r w:rsidR="00BC019C">
        <w:rPr>
          <w:sz w:val="24"/>
          <w:szCs w:val="24"/>
        </w:rPr>
        <w:t>.</w:t>
      </w:r>
    </w:p>
    <w:p w14:paraId="48DF9AAD" w14:textId="77777777" w:rsidR="005D3D16" w:rsidRDefault="005D3D16" w:rsidP="005D3D16">
      <w:pPr>
        <w:spacing w:line="360" w:lineRule="auto"/>
        <w:ind w:firstLine="397"/>
        <w:jc w:val="both"/>
        <w:rPr>
          <w:sz w:val="24"/>
          <w:szCs w:val="24"/>
        </w:rPr>
      </w:pPr>
    </w:p>
    <w:p w14:paraId="2FC184AC" w14:textId="02DA475D" w:rsidR="00857B2C" w:rsidRPr="006C019D" w:rsidRDefault="00857B2C" w:rsidP="00857B2C">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t>4.2.1.</w:t>
      </w:r>
      <w:r w:rsidR="00B10D23">
        <w:rPr>
          <w:rFonts w:asciiTheme="minorHAnsi" w:hAnsiTheme="minorHAnsi" w:cstheme="minorHAnsi"/>
          <w:color w:val="auto"/>
          <w:sz w:val="24"/>
          <w:szCs w:val="24"/>
        </w:rPr>
        <w:t>6</w:t>
      </w:r>
      <w:r w:rsidRPr="006C019D">
        <w:rPr>
          <w:rFonts w:asciiTheme="minorHAnsi" w:hAnsiTheme="minorHAnsi" w:cstheme="minorHAnsi"/>
          <w:color w:val="auto"/>
          <w:sz w:val="24"/>
          <w:szCs w:val="24"/>
        </w:rPr>
        <w:t xml:space="preserve">. </w:t>
      </w:r>
      <w:r w:rsidR="00B779E7">
        <w:rPr>
          <w:rFonts w:asciiTheme="minorHAnsi" w:hAnsiTheme="minorHAnsi" w:cstheme="minorHAnsi"/>
          <w:color w:val="auto"/>
          <w:sz w:val="24"/>
          <w:szCs w:val="24"/>
        </w:rPr>
        <w:t>Parental School Involvement (PSI)</w:t>
      </w:r>
    </w:p>
    <w:p w14:paraId="32CB1780" w14:textId="003A13AD" w:rsidR="00E67CCD" w:rsidRDefault="001A2BC9" w:rsidP="0025369A">
      <w:pPr>
        <w:spacing w:line="360" w:lineRule="auto"/>
        <w:ind w:firstLine="397"/>
        <w:jc w:val="both"/>
        <w:rPr>
          <w:sz w:val="24"/>
          <w:szCs w:val="24"/>
        </w:rPr>
      </w:pPr>
      <w:r>
        <w:rPr>
          <w:sz w:val="24"/>
          <w:szCs w:val="24"/>
        </w:rPr>
        <w:t>Our sixth model will increment the previous model with the determinant o</w:t>
      </w:r>
      <w:r w:rsidR="006B2018">
        <w:rPr>
          <w:sz w:val="24"/>
          <w:szCs w:val="24"/>
        </w:rPr>
        <w:t>f</w:t>
      </w:r>
      <w:r>
        <w:rPr>
          <w:sz w:val="24"/>
          <w:szCs w:val="24"/>
        </w:rPr>
        <w:t xml:space="preserve"> PSI, meaning I will add the reported frequency of participating in parents</w:t>
      </w:r>
      <w:r w:rsidR="006B2A38">
        <w:rPr>
          <w:sz w:val="24"/>
          <w:szCs w:val="24"/>
        </w:rPr>
        <w:t>'</w:t>
      </w:r>
      <w:r>
        <w:rPr>
          <w:sz w:val="24"/>
          <w:szCs w:val="24"/>
        </w:rPr>
        <w:t xml:space="preserve"> meetings at school and consulting with the child’s teachers along with the monthly net spending on school-related activities fostering education and well-being of the child.</w:t>
      </w:r>
    </w:p>
    <w:p w14:paraId="6F1519DD" w14:textId="015105FE" w:rsidR="00E67CCD" w:rsidRDefault="00E67CCD" w:rsidP="009943E7">
      <w:pPr>
        <w:spacing w:line="360" w:lineRule="auto"/>
        <w:ind w:firstLine="397"/>
        <w:jc w:val="both"/>
        <w:rPr>
          <w:sz w:val="24"/>
          <w:szCs w:val="24"/>
        </w:rPr>
      </w:pPr>
      <w:r>
        <w:rPr>
          <w:sz w:val="24"/>
          <w:szCs w:val="24"/>
        </w:rPr>
        <w:t xml:space="preserve">There </w:t>
      </w:r>
      <w:r w:rsidR="00BB3913">
        <w:rPr>
          <w:sz w:val="24"/>
          <w:szCs w:val="24"/>
        </w:rPr>
        <w:t>are</w:t>
      </w:r>
      <w:r>
        <w:rPr>
          <w:sz w:val="24"/>
          <w:szCs w:val="24"/>
        </w:rPr>
        <w:t xml:space="preserve"> no</w:t>
      </w:r>
      <w:r w:rsidR="00BB3913">
        <w:rPr>
          <w:sz w:val="24"/>
          <w:szCs w:val="24"/>
        </w:rPr>
        <w:t xml:space="preserve"> meaningful </w:t>
      </w:r>
      <w:r w:rsidR="00CE2C1F">
        <w:rPr>
          <w:sz w:val="24"/>
          <w:szCs w:val="24"/>
        </w:rPr>
        <w:t>changes</w:t>
      </w:r>
      <w:r>
        <w:rPr>
          <w:sz w:val="24"/>
          <w:szCs w:val="24"/>
        </w:rPr>
        <w:t xml:space="preserve"> in contrast with the previous setup except the fact that </w:t>
      </w:r>
      <w:r w:rsidR="00EA5317">
        <w:rPr>
          <w:sz w:val="24"/>
          <w:szCs w:val="24"/>
        </w:rPr>
        <w:t>the condition</w:t>
      </w:r>
      <w:r w:rsidR="00D14832">
        <w:rPr>
          <w:sz w:val="24"/>
          <w:szCs w:val="24"/>
        </w:rPr>
        <w:t>al</w:t>
      </w:r>
      <w:r w:rsidR="00EA5317">
        <w:rPr>
          <w:sz w:val="24"/>
          <w:szCs w:val="24"/>
        </w:rPr>
        <w:t xml:space="preserve"> PTA no longer holds at 10% level (p </w:t>
      </w:r>
      <w:r w:rsidR="00C31373">
        <w:rPr>
          <w:sz w:val="24"/>
          <w:szCs w:val="24"/>
        </w:rPr>
        <w:t>&gt;</w:t>
      </w:r>
      <w:r w:rsidR="00EA5317">
        <w:rPr>
          <w:sz w:val="24"/>
          <w:szCs w:val="24"/>
        </w:rPr>
        <w:t xml:space="preserve"> 0.</w:t>
      </w:r>
      <w:r w:rsidR="0036596B">
        <w:rPr>
          <w:sz w:val="24"/>
          <w:szCs w:val="24"/>
        </w:rPr>
        <w:t>0</w:t>
      </w:r>
      <w:r w:rsidR="00EA5317">
        <w:rPr>
          <w:sz w:val="24"/>
          <w:szCs w:val="24"/>
        </w:rPr>
        <w:t>6</w:t>
      </w:r>
      <w:r w:rsidR="00C31373">
        <w:rPr>
          <w:sz w:val="24"/>
          <w:szCs w:val="24"/>
        </w:rPr>
        <w:t>4</w:t>
      </w:r>
      <w:r w:rsidR="00EA5317">
        <w:rPr>
          <w:sz w:val="24"/>
          <w:szCs w:val="24"/>
        </w:rPr>
        <w:t xml:space="preserve">) </w:t>
      </w:r>
      <w:r w:rsidR="00C31373">
        <w:rPr>
          <w:sz w:val="24"/>
          <w:szCs w:val="24"/>
        </w:rPr>
        <w:t>due</w:t>
      </w:r>
      <w:r w:rsidR="00EA5317">
        <w:rPr>
          <w:sz w:val="24"/>
          <w:szCs w:val="24"/>
        </w:rPr>
        <w:t xml:space="preserve"> to the difference in the level of school</w:t>
      </w:r>
      <w:r w:rsidR="00D14832">
        <w:rPr>
          <w:sz w:val="24"/>
          <w:szCs w:val="24"/>
        </w:rPr>
        <w:t>-</w:t>
      </w:r>
      <w:r w:rsidR="00EA5317">
        <w:rPr>
          <w:sz w:val="24"/>
          <w:szCs w:val="24"/>
        </w:rPr>
        <w:t>related engagements and investments across control and treatment groups in the pre-treatment period</w:t>
      </w:r>
      <w:r w:rsidR="008967ED">
        <w:rPr>
          <w:sz w:val="24"/>
          <w:szCs w:val="24"/>
        </w:rPr>
        <w:t xml:space="preserve"> </w:t>
      </w:r>
      <w:r w:rsidR="00334920">
        <w:rPr>
          <w:sz w:val="24"/>
          <w:szCs w:val="24"/>
        </w:rPr>
        <w:t>(Table 10.).</w:t>
      </w:r>
    </w:p>
    <w:p w14:paraId="34E3A9C3" w14:textId="77777777" w:rsidR="0025369A" w:rsidRDefault="0025369A" w:rsidP="009943E7">
      <w:pPr>
        <w:spacing w:line="360" w:lineRule="auto"/>
        <w:ind w:firstLine="397"/>
        <w:jc w:val="both"/>
        <w:rPr>
          <w:sz w:val="24"/>
          <w:szCs w:val="24"/>
        </w:rPr>
      </w:pPr>
    </w:p>
    <w:p w14:paraId="05534160" w14:textId="163D202F" w:rsidR="0025369A" w:rsidRDefault="008016F6" w:rsidP="009943E7">
      <w:pPr>
        <w:spacing w:line="360" w:lineRule="auto"/>
        <w:ind w:firstLine="397"/>
        <w:jc w:val="both"/>
        <w:rPr>
          <w:sz w:val="24"/>
          <w:szCs w:val="24"/>
        </w:rPr>
      </w:pPr>
      <w:r>
        <w:rPr>
          <w:noProof/>
        </w:rPr>
        <w:lastRenderedPageBreak/>
        <w:drawing>
          <wp:anchor distT="0" distB="0" distL="114300" distR="114300" simplePos="0" relativeHeight="251811840" behindDoc="0" locked="0" layoutInCell="1" allowOverlap="1" wp14:anchorId="7A06D977" wp14:editId="3755AF53">
            <wp:simplePos x="0" y="0"/>
            <wp:positionH relativeFrom="margin">
              <wp:align>center</wp:align>
            </wp:positionH>
            <wp:positionV relativeFrom="paragraph">
              <wp:posOffset>111</wp:posOffset>
            </wp:positionV>
            <wp:extent cx="4196080" cy="2671445"/>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96080" cy="2671445"/>
                    </a:xfrm>
                    <a:prstGeom prst="rect">
                      <a:avLst/>
                    </a:prstGeom>
                  </pic:spPr>
                </pic:pic>
              </a:graphicData>
            </a:graphic>
            <wp14:sizeRelH relativeFrom="margin">
              <wp14:pctWidth>0</wp14:pctWidth>
            </wp14:sizeRelH>
            <wp14:sizeRelV relativeFrom="margin">
              <wp14:pctHeight>0</wp14:pctHeight>
            </wp14:sizeRelV>
          </wp:anchor>
        </w:drawing>
      </w:r>
    </w:p>
    <w:p w14:paraId="3D0D1151" w14:textId="16BE57E6" w:rsidR="002325A0" w:rsidRDefault="008016F6" w:rsidP="009943E7">
      <w:pPr>
        <w:spacing w:line="360" w:lineRule="auto"/>
        <w:ind w:firstLine="397"/>
        <w:jc w:val="both"/>
        <w:rPr>
          <w:sz w:val="24"/>
          <w:szCs w:val="24"/>
        </w:rPr>
      </w:pPr>
      <w:r>
        <w:rPr>
          <w:noProof/>
        </w:rPr>
        <mc:AlternateContent>
          <mc:Choice Requires="wps">
            <w:drawing>
              <wp:anchor distT="0" distB="0" distL="114300" distR="114300" simplePos="0" relativeHeight="251773952" behindDoc="0" locked="0" layoutInCell="1" allowOverlap="1" wp14:anchorId="11AF5231" wp14:editId="385EDD09">
                <wp:simplePos x="0" y="0"/>
                <wp:positionH relativeFrom="margin">
                  <wp:align>center</wp:align>
                </wp:positionH>
                <wp:positionV relativeFrom="paragraph">
                  <wp:posOffset>4404747</wp:posOffset>
                </wp:positionV>
                <wp:extent cx="3466465" cy="508635"/>
                <wp:effectExtent l="0" t="0" r="635" b="5715"/>
                <wp:wrapTopAndBottom/>
                <wp:docPr id="50" name="Text Box 50"/>
                <wp:cNvGraphicFramePr/>
                <a:graphic xmlns:a="http://schemas.openxmlformats.org/drawingml/2006/main">
                  <a:graphicData uri="http://schemas.microsoft.com/office/word/2010/wordprocessingShape">
                    <wps:wsp>
                      <wps:cNvSpPr txBox="1"/>
                      <wps:spPr>
                        <a:xfrm>
                          <a:off x="0" y="0"/>
                          <a:ext cx="3466465" cy="508635"/>
                        </a:xfrm>
                        <a:prstGeom prst="rect">
                          <a:avLst/>
                        </a:prstGeom>
                        <a:solidFill>
                          <a:prstClr val="white"/>
                        </a:solidFill>
                        <a:ln>
                          <a:noFill/>
                        </a:ln>
                      </wps:spPr>
                      <wps:txbx>
                        <w:txbxContent>
                          <w:p w14:paraId="08B3C4C7" w14:textId="43B4F9E4" w:rsidR="004E5911" w:rsidRPr="00035C15" w:rsidRDefault="004E5911" w:rsidP="004C3C7F">
                            <w:pPr>
                              <w:pStyle w:val="Caption"/>
                              <w:jc w:val="both"/>
                              <w:rPr>
                                <w:noProof/>
                                <w:color w:val="auto"/>
                                <w:sz w:val="20"/>
                                <w:szCs w:val="20"/>
                              </w:rPr>
                            </w:pPr>
                            <w:r w:rsidRPr="00035C15">
                              <w:rPr>
                                <w:color w:val="auto"/>
                                <w:sz w:val="20"/>
                                <w:szCs w:val="20"/>
                              </w:rPr>
                              <w:t xml:space="preserve">Figure </w:t>
                            </w:r>
                            <w:r w:rsidR="00754098">
                              <w:rPr>
                                <w:color w:val="auto"/>
                                <w:sz w:val="20"/>
                                <w:szCs w:val="20"/>
                              </w:rPr>
                              <w:t>7</w:t>
                            </w:r>
                            <w:r w:rsidRPr="00035C15">
                              <w:rPr>
                                <w:color w:val="auto"/>
                                <w:sz w:val="20"/>
                                <w:szCs w:val="20"/>
                              </w:rPr>
                              <w:t>. Event study of parental separation’s upper-bound impact on GPA when conditioning on Student,</w:t>
                            </w:r>
                            <w:r w:rsidR="008016F6">
                              <w:rPr>
                                <w:color w:val="auto"/>
                                <w:sz w:val="20"/>
                                <w:szCs w:val="20"/>
                              </w:rPr>
                              <w:t xml:space="preserve"> SES,</w:t>
                            </w:r>
                            <w:r w:rsidRPr="00035C15">
                              <w:rPr>
                                <w:color w:val="auto"/>
                                <w:sz w:val="20"/>
                                <w:szCs w:val="20"/>
                              </w:rPr>
                              <w:t xml:space="preserve"> Home, School, and PSI covariates.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F5231" id="Text Box 50" o:spid="_x0000_s1032" type="#_x0000_t202" style="position:absolute;left:0;text-align:left;margin-left:0;margin-top:346.85pt;width:272.95pt;height:40.05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" stroked="f">
                <v:textbox inset="0,0,0,0">
                  <w:txbxContent>
                    <w:p w14:paraId="08B3C4C7" w14:textId="43B4F9E4" w:rsidR="004E5911" w:rsidRPr="00035C15" w:rsidRDefault="004E5911" w:rsidP="004C3C7F">
                      <w:pPr>
                        <w:pStyle w:val="Caption"/>
                        <w:jc w:val="both"/>
                        <w:rPr>
                          <w:noProof/>
                          <w:color w:val="auto"/>
                          <w:sz w:val="20"/>
                          <w:szCs w:val="20"/>
                        </w:rPr>
                      </w:pPr>
                      <w:r w:rsidRPr="00035C15">
                        <w:rPr>
                          <w:color w:val="auto"/>
                          <w:sz w:val="20"/>
                          <w:szCs w:val="20"/>
                        </w:rPr>
                        <w:t xml:space="preserve">Figure </w:t>
                      </w:r>
                      <w:r w:rsidR="00754098">
                        <w:rPr>
                          <w:color w:val="auto"/>
                          <w:sz w:val="20"/>
                          <w:szCs w:val="20"/>
                        </w:rPr>
                        <w:t>7</w:t>
                      </w:r>
                      <w:r w:rsidRPr="00035C15">
                        <w:rPr>
                          <w:color w:val="auto"/>
                          <w:sz w:val="20"/>
                          <w:szCs w:val="20"/>
                        </w:rPr>
                        <w:t>. Event study of parental separation’s upper-bound impact on GPA when conditioning on Student,</w:t>
                      </w:r>
                      <w:r w:rsidR="008016F6">
                        <w:rPr>
                          <w:color w:val="auto"/>
                          <w:sz w:val="20"/>
                          <w:szCs w:val="20"/>
                        </w:rPr>
                        <w:t xml:space="preserve"> SES,</w:t>
                      </w:r>
                      <w:r w:rsidRPr="00035C15">
                        <w:rPr>
                          <w:color w:val="auto"/>
                          <w:sz w:val="20"/>
                          <w:szCs w:val="20"/>
                        </w:rPr>
                        <w:t xml:space="preserve"> Home, School, and PSI covariates.</w:t>
                      </w:r>
                    </w:p>
                  </w:txbxContent>
                </v:textbox>
                <w10:wrap type="topAndBottom" anchorx="margin"/>
              </v:shape>
            </w:pict>
          </mc:Fallback>
        </mc:AlternateContent>
      </w:r>
      <w:r w:rsidR="00E90387">
        <w:rPr>
          <w:noProof/>
          <w:sz w:val="24"/>
          <w:szCs w:val="24"/>
        </w:rPr>
        <w:drawing>
          <wp:anchor distT="0" distB="0" distL="114300" distR="114300" simplePos="0" relativeHeight="251812864" behindDoc="0" locked="0" layoutInCell="1" allowOverlap="1" wp14:anchorId="216AB745" wp14:editId="43ADCAA4">
            <wp:simplePos x="0" y="0"/>
            <wp:positionH relativeFrom="margin">
              <wp:align>center</wp:align>
            </wp:positionH>
            <wp:positionV relativeFrom="paragraph">
              <wp:posOffset>1551002</wp:posOffset>
            </wp:positionV>
            <wp:extent cx="3195440" cy="2838616"/>
            <wp:effectExtent l="0" t="0" r="5080" b="0"/>
            <wp:wrapTopAndBottom/>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95440" cy="2838616"/>
                    </a:xfrm>
                    <a:prstGeom prst="rect">
                      <a:avLst/>
                    </a:prstGeom>
                  </pic:spPr>
                </pic:pic>
              </a:graphicData>
            </a:graphic>
          </wp:anchor>
        </w:drawing>
      </w:r>
      <w:r w:rsidR="002325A0">
        <w:rPr>
          <w:sz w:val="24"/>
          <w:szCs w:val="24"/>
        </w:rPr>
        <w:t xml:space="preserve">As far as the dynamic effects are concerned, its shape is comparable to </w:t>
      </w:r>
      <w:r w:rsidR="00D90F4D">
        <w:rPr>
          <w:sz w:val="24"/>
          <w:szCs w:val="24"/>
        </w:rPr>
        <w:t xml:space="preserve">that of </w:t>
      </w:r>
      <w:r w:rsidR="002325A0">
        <w:rPr>
          <w:sz w:val="24"/>
          <w:szCs w:val="24"/>
        </w:rPr>
        <w:t xml:space="preserve">the SES </w:t>
      </w:r>
      <w:r w:rsidR="00D90F4D">
        <w:rPr>
          <w:sz w:val="24"/>
          <w:szCs w:val="24"/>
        </w:rPr>
        <w:t>model,</w:t>
      </w:r>
      <w:r w:rsidR="002325A0">
        <w:rPr>
          <w:sz w:val="24"/>
          <w:szCs w:val="24"/>
        </w:rPr>
        <w:t xml:space="preserve"> but students start from marginally larger negative effect</w:t>
      </w:r>
      <w:r w:rsidR="009E6D59">
        <w:rPr>
          <w:sz w:val="24"/>
          <w:szCs w:val="24"/>
        </w:rPr>
        <w:t>s</w:t>
      </w:r>
      <w:r w:rsidR="002325A0">
        <w:rPr>
          <w:sz w:val="24"/>
          <w:szCs w:val="24"/>
        </w:rPr>
        <w:t xml:space="preserve"> in the pre-treatment period and end up </w:t>
      </w:r>
      <w:r w:rsidR="00C31373">
        <w:rPr>
          <w:sz w:val="24"/>
          <w:szCs w:val="24"/>
        </w:rPr>
        <w:t>close to</w:t>
      </w:r>
      <w:r w:rsidR="002325A0">
        <w:rPr>
          <w:sz w:val="24"/>
          <w:szCs w:val="24"/>
        </w:rPr>
        <w:t xml:space="preserve"> zero-effect after the separation</w:t>
      </w:r>
      <w:r w:rsidR="00C31373">
        <w:rPr>
          <w:sz w:val="24"/>
          <w:szCs w:val="24"/>
        </w:rPr>
        <w:t xml:space="preserve"> with a minor negative trend</w:t>
      </w:r>
      <w:r w:rsidR="00750719">
        <w:rPr>
          <w:sz w:val="24"/>
          <w:szCs w:val="24"/>
        </w:rPr>
        <w:t xml:space="preserve">, possibly </w:t>
      </w:r>
      <w:r w:rsidR="00D14832">
        <w:rPr>
          <w:sz w:val="24"/>
          <w:szCs w:val="24"/>
        </w:rPr>
        <w:t>because</w:t>
      </w:r>
      <w:r w:rsidR="00750719">
        <w:rPr>
          <w:sz w:val="24"/>
          <w:szCs w:val="24"/>
        </w:rPr>
        <w:t xml:space="preserve"> rather the conflict and stress precedent to the separation (divorce) is responsible to the negative </w:t>
      </w:r>
      <w:r w:rsidR="0067062D">
        <w:rPr>
          <w:sz w:val="24"/>
          <w:szCs w:val="24"/>
        </w:rPr>
        <w:t xml:space="preserve">impact, and </w:t>
      </w:r>
      <w:r w:rsidR="00DD6A84">
        <w:rPr>
          <w:sz w:val="24"/>
          <w:szCs w:val="24"/>
        </w:rPr>
        <w:t xml:space="preserve">only </w:t>
      </w:r>
      <w:r w:rsidR="0067062D">
        <w:rPr>
          <w:sz w:val="24"/>
          <w:szCs w:val="24"/>
        </w:rPr>
        <w:t xml:space="preserve">after a </w:t>
      </w:r>
      <w:proofErr w:type="gramStart"/>
      <w:r w:rsidR="0067062D">
        <w:rPr>
          <w:sz w:val="24"/>
          <w:szCs w:val="24"/>
        </w:rPr>
        <w:t>while</w:t>
      </w:r>
      <w:r w:rsidR="00DD6A84">
        <w:rPr>
          <w:sz w:val="24"/>
          <w:szCs w:val="24"/>
        </w:rPr>
        <w:t xml:space="preserve"> </w:t>
      </w:r>
      <w:r w:rsidR="0067062D">
        <w:rPr>
          <w:sz w:val="24"/>
          <w:szCs w:val="24"/>
        </w:rPr>
        <w:t>children</w:t>
      </w:r>
      <w:proofErr w:type="gramEnd"/>
      <w:r w:rsidR="0067062D">
        <w:rPr>
          <w:sz w:val="24"/>
          <w:szCs w:val="24"/>
        </w:rPr>
        <w:t xml:space="preserve"> realize the loss</w:t>
      </w:r>
      <w:r w:rsidR="00750719">
        <w:rPr>
          <w:sz w:val="24"/>
          <w:szCs w:val="24"/>
        </w:rPr>
        <w:t>.</w:t>
      </w:r>
      <w:r w:rsidR="008967ED">
        <w:rPr>
          <w:sz w:val="24"/>
          <w:szCs w:val="24"/>
        </w:rPr>
        <w:t xml:space="preserve"> (Figure </w:t>
      </w:r>
      <w:r w:rsidR="0025369A">
        <w:rPr>
          <w:sz w:val="24"/>
          <w:szCs w:val="24"/>
        </w:rPr>
        <w:t>7</w:t>
      </w:r>
      <w:r w:rsidR="008967ED">
        <w:rPr>
          <w:sz w:val="24"/>
          <w:szCs w:val="24"/>
        </w:rPr>
        <w:t>.)</w:t>
      </w:r>
      <w:r w:rsidR="002325A0">
        <w:rPr>
          <w:sz w:val="24"/>
          <w:szCs w:val="24"/>
        </w:rPr>
        <w:t>.</w:t>
      </w:r>
    </w:p>
    <w:p w14:paraId="4F4FFCCD" w14:textId="6884379B" w:rsidR="00E90387" w:rsidRDefault="00E90387" w:rsidP="009943E7">
      <w:pPr>
        <w:spacing w:line="360" w:lineRule="auto"/>
        <w:ind w:firstLine="397"/>
        <w:jc w:val="both"/>
        <w:rPr>
          <w:sz w:val="24"/>
          <w:szCs w:val="24"/>
        </w:rPr>
      </w:pPr>
    </w:p>
    <w:p w14:paraId="4D701C47" w14:textId="3C8E3306" w:rsidR="009E6D59" w:rsidRPr="006C019D" w:rsidRDefault="009E6D59" w:rsidP="009E6D59">
      <w:pPr>
        <w:pStyle w:val="Heading4"/>
        <w:spacing w:before="120" w:after="120" w:line="360" w:lineRule="auto"/>
        <w:rPr>
          <w:rFonts w:asciiTheme="minorHAnsi" w:hAnsiTheme="minorHAnsi" w:cstheme="minorHAnsi"/>
          <w:color w:val="auto"/>
          <w:sz w:val="24"/>
          <w:szCs w:val="24"/>
        </w:rPr>
      </w:pPr>
      <w:r w:rsidRPr="006C019D">
        <w:rPr>
          <w:rFonts w:asciiTheme="minorHAnsi" w:hAnsiTheme="minorHAnsi" w:cstheme="minorHAnsi"/>
          <w:color w:val="auto"/>
          <w:sz w:val="24"/>
          <w:szCs w:val="24"/>
        </w:rPr>
        <w:lastRenderedPageBreak/>
        <w:t>4.2.1.</w:t>
      </w:r>
      <w:r w:rsidR="00B10D23">
        <w:rPr>
          <w:rFonts w:asciiTheme="minorHAnsi" w:hAnsiTheme="minorHAnsi" w:cstheme="minorHAnsi"/>
          <w:color w:val="auto"/>
          <w:sz w:val="24"/>
          <w:szCs w:val="24"/>
        </w:rPr>
        <w:t>7</w:t>
      </w:r>
      <w:r w:rsidRPr="006C019D">
        <w:rPr>
          <w:rFonts w:asciiTheme="minorHAnsi" w:hAnsiTheme="minorHAnsi" w:cstheme="minorHAnsi"/>
          <w:color w:val="auto"/>
          <w:sz w:val="24"/>
          <w:szCs w:val="24"/>
        </w:rPr>
        <w:t xml:space="preserve">. </w:t>
      </w:r>
      <w:r w:rsidR="004F7042">
        <w:rPr>
          <w:rFonts w:asciiTheme="minorHAnsi" w:hAnsiTheme="minorHAnsi" w:cstheme="minorHAnsi"/>
          <w:color w:val="auto"/>
          <w:sz w:val="24"/>
          <w:szCs w:val="24"/>
        </w:rPr>
        <w:t>Residential Mobility</w:t>
      </w:r>
    </w:p>
    <w:p w14:paraId="1B074D4C" w14:textId="53587892" w:rsidR="004F7042" w:rsidRDefault="00313841" w:rsidP="00313841">
      <w:pPr>
        <w:spacing w:line="360" w:lineRule="auto"/>
        <w:ind w:firstLine="397"/>
        <w:jc w:val="both"/>
        <w:rPr>
          <w:sz w:val="24"/>
          <w:szCs w:val="24"/>
        </w:rPr>
      </w:pPr>
      <w:r>
        <w:rPr>
          <w:noProof/>
        </w:rPr>
        <w:drawing>
          <wp:anchor distT="0" distB="0" distL="114300" distR="114300" simplePos="0" relativeHeight="251813888" behindDoc="0" locked="0" layoutInCell="1" allowOverlap="1" wp14:anchorId="45459DD8" wp14:editId="34825B08">
            <wp:simplePos x="0" y="0"/>
            <wp:positionH relativeFrom="margin">
              <wp:posOffset>688340</wp:posOffset>
            </wp:positionH>
            <wp:positionV relativeFrom="paragraph">
              <wp:posOffset>1176765</wp:posOffset>
            </wp:positionV>
            <wp:extent cx="4383405" cy="267144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83405" cy="2671445"/>
                    </a:xfrm>
                    <a:prstGeom prst="rect">
                      <a:avLst/>
                    </a:prstGeom>
                  </pic:spPr>
                </pic:pic>
              </a:graphicData>
            </a:graphic>
            <wp14:sizeRelH relativeFrom="margin">
              <wp14:pctWidth>0</wp14:pctWidth>
            </wp14:sizeRelH>
            <wp14:sizeRelV relativeFrom="margin">
              <wp14:pctHeight>0</wp14:pctHeight>
            </wp14:sizeRelV>
          </wp:anchor>
        </w:drawing>
      </w:r>
      <w:r w:rsidR="009E6D59">
        <w:rPr>
          <w:sz w:val="24"/>
          <w:szCs w:val="24"/>
        </w:rPr>
        <w:t xml:space="preserve">Finally, we will see how our model changes if we add the number of school changes due to moving before 2006. We expect more accurate coefficients because </w:t>
      </w:r>
      <w:r w:rsidR="00D14832">
        <w:rPr>
          <w:sz w:val="24"/>
          <w:szCs w:val="24"/>
        </w:rPr>
        <w:t>as</w:t>
      </w:r>
      <w:r w:rsidR="008079C2">
        <w:rPr>
          <w:sz w:val="24"/>
          <w:szCs w:val="24"/>
        </w:rPr>
        <w:t xml:space="preserve"> relocation</w:t>
      </w:r>
      <w:r w:rsidR="009E6D59">
        <w:rPr>
          <w:sz w:val="24"/>
          <w:szCs w:val="24"/>
        </w:rPr>
        <w:t xml:space="preserve"> can be induced by a separation, thus children with high residential mobility rate</w:t>
      </w:r>
      <w:r w:rsidR="00D14832">
        <w:rPr>
          <w:sz w:val="24"/>
          <w:szCs w:val="24"/>
        </w:rPr>
        <w:t>s</w:t>
      </w:r>
      <w:r w:rsidR="009E6D59">
        <w:rPr>
          <w:sz w:val="24"/>
          <w:szCs w:val="24"/>
        </w:rPr>
        <w:t xml:space="preserve"> can have problems at school as described in the literature review. </w:t>
      </w:r>
    </w:p>
    <w:p w14:paraId="19F2DB07" w14:textId="77777777" w:rsidR="00313841" w:rsidRDefault="00313841" w:rsidP="00C0280E">
      <w:pPr>
        <w:spacing w:line="360" w:lineRule="auto"/>
        <w:ind w:firstLine="397"/>
        <w:jc w:val="both"/>
        <w:rPr>
          <w:sz w:val="24"/>
          <w:szCs w:val="24"/>
        </w:rPr>
      </w:pPr>
    </w:p>
    <w:p w14:paraId="4837309D" w14:textId="11666043" w:rsidR="00C0280E" w:rsidRPr="009943E7" w:rsidRDefault="00313841" w:rsidP="00313841">
      <w:pPr>
        <w:spacing w:line="360" w:lineRule="auto"/>
        <w:ind w:firstLine="397"/>
        <w:jc w:val="both"/>
        <w:rPr>
          <w:sz w:val="24"/>
          <w:szCs w:val="24"/>
        </w:rPr>
      </w:pPr>
      <w:r>
        <w:rPr>
          <w:noProof/>
          <w:sz w:val="24"/>
          <w:szCs w:val="24"/>
        </w:rPr>
        <w:drawing>
          <wp:anchor distT="0" distB="0" distL="114300" distR="114300" simplePos="0" relativeHeight="251814912" behindDoc="0" locked="0" layoutInCell="1" allowOverlap="1" wp14:anchorId="111A7345" wp14:editId="724734FC">
            <wp:simplePos x="0" y="0"/>
            <wp:positionH relativeFrom="margin">
              <wp:posOffset>1365885</wp:posOffset>
            </wp:positionH>
            <wp:positionV relativeFrom="paragraph">
              <wp:posOffset>1183309</wp:posOffset>
            </wp:positionV>
            <wp:extent cx="3024505" cy="2687320"/>
            <wp:effectExtent l="0" t="0" r="4445" b="0"/>
            <wp:wrapTopAndBottom/>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24505" cy="26873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8048" behindDoc="0" locked="0" layoutInCell="1" allowOverlap="1" wp14:anchorId="013A1EB7" wp14:editId="3A5F8D93">
                <wp:simplePos x="0" y="0"/>
                <wp:positionH relativeFrom="margin">
                  <wp:align>center</wp:align>
                </wp:positionH>
                <wp:positionV relativeFrom="paragraph">
                  <wp:posOffset>3873417</wp:posOffset>
                </wp:positionV>
                <wp:extent cx="3585845" cy="468630"/>
                <wp:effectExtent l="0" t="0" r="0" b="7620"/>
                <wp:wrapTopAndBottom/>
                <wp:docPr id="53" name="Text Box 53"/>
                <wp:cNvGraphicFramePr/>
                <a:graphic xmlns:a="http://schemas.openxmlformats.org/drawingml/2006/main">
                  <a:graphicData uri="http://schemas.microsoft.com/office/word/2010/wordprocessingShape">
                    <wps:wsp>
                      <wps:cNvSpPr txBox="1"/>
                      <wps:spPr>
                        <a:xfrm>
                          <a:off x="0" y="0"/>
                          <a:ext cx="3585845" cy="468630"/>
                        </a:xfrm>
                        <a:prstGeom prst="rect">
                          <a:avLst/>
                        </a:prstGeom>
                        <a:solidFill>
                          <a:prstClr val="white"/>
                        </a:solidFill>
                        <a:ln>
                          <a:noFill/>
                        </a:ln>
                      </wps:spPr>
                      <wps:txbx>
                        <w:txbxContent>
                          <w:p w14:paraId="32C14871" w14:textId="6071CA22" w:rsidR="004E5911" w:rsidRPr="00035C15" w:rsidRDefault="004E5911" w:rsidP="00313841">
                            <w:pPr>
                              <w:pStyle w:val="Caption"/>
                              <w:jc w:val="both"/>
                              <w:rPr>
                                <w:noProof/>
                                <w:color w:val="auto"/>
                                <w:sz w:val="20"/>
                                <w:szCs w:val="20"/>
                              </w:rPr>
                            </w:pPr>
                            <w:r w:rsidRPr="00035C15">
                              <w:rPr>
                                <w:color w:val="auto"/>
                                <w:sz w:val="20"/>
                                <w:szCs w:val="20"/>
                              </w:rPr>
                              <w:t>Figure 7. Event study of parental separation’s upper-bound impact on GPA when conditioning on Student,</w:t>
                            </w:r>
                            <w:r w:rsidR="00313841">
                              <w:rPr>
                                <w:color w:val="auto"/>
                                <w:sz w:val="20"/>
                                <w:szCs w:val="20"/>
                              </w:rPr>
                              <w:t xml:space="preserve"> SES,</w:t>
                            </w:r>
                            <w:r w:rsidRPr="00035C15">
                              <w:rPr>
                                <w:color w:val="auto"/>
                                <w:sz w:val="20"/>
                                <w:szCs w:val="20"/>
                              </w:rPr>
                              <w:t xml:space="preserve"> Home, School, PSI, and Residential Mobility covariates.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A1EB7" id="Text Box 53" o:spid="_x0000_s1033" type="#_x0000_t202" style="position:absolute;left:0;text-align:left;margin-left:0;margin-top:305pt;width:282.35pt;height:36.9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" stroked="f">
                <v:textbox inset="0,0,0,0">
                  <w:txbxContent>
                    <w:p w14:paraId="32C14871" w14:textId="6071CA22" w:rsidR="004E5911" w:rsidRPr="00035C15" w:rsidRDefault="004E5911" w:rsidP="00313841">
                      <w:pPr>
                        <w:pStyle w:val="Caption"/>
                        <w:jc w:val="both"/>
                        <w:rPr>
                          <w:noProof/>
                          <w:color w:val="auto"/>
                          <w:sz w:val="20"/>
                          <w:szCs w:val="20"/>
                        </w:rPr>
                      </w:pPr>
                      <w:r w:rsidRPr="00035C15">
                        <w:rPr>
                          <w:color w:val="auto"/>
                          <w:sz w:val="20"/>
                          <w:szCs w:val="20"/>
                        </w:rPr>
                        <w:t>Figure 7. Event study of parental separation’s upper-bound impact on GPA when conditioning on Student,</w:t>
                      </w:r>
                      <w:r w:rsidR="00313841">
                        <w:rPr>
                          <w:color w:val="auto"/>
                          <w:sz w:val="20"/>
                          <w:szCs w:val="20"/>
                        </w:rPr>
                        <w:t xml:space="preserve"> SES,</w:t>
                      </w:r>
                      <w:r w:rsidRPr="00035C15">
                        <w:rPr>
                          <w:color w:val="auto"/>
                          <w:sz w:val="20"/>
                          <w:szCs w:val="20"/>
                        </w:rPr>
                        <w:t xml:space="preserve"> Home, School, PSI, and Residential Mobility covariates.</w:t>
                      </w:r>
                    </w:p>
                  </w:txbxContent>
                </v:textbox>
                <w10:wrap type="topAndBottom" anchorx="margin"/>
              </v:shape>
            </w:pict>
          </mc:Fallback>
        </mc:AlternateContent>
      </w:r>
      <w:r w:rsidR="00813A9C">
        <w:rPr>
          <w:sz w:val="24"/>
          <w:szCs w:val="24"/>
        </w:rPr>
        <w:t>According to Table 11.,</w:t>
      </w:r>
      <w:r w:rsidR="00C0280E">
        <w:rPr>
          <w:sz w:val="24"/>
          <w:szCs w:val="24"/>
        </w:rPr>
        <w:t xml:space="preserve"> and Figure </w:t>
      </w:r>
      <w:r>
        <w:rPr>
          <w:sz w:val="24"/>
          <w:szCs w:val="24"/>
        </w:rPr>
        <w:t>8</w:t>
      </w:r>
      <w:r w:rsidR="00C0280E">
        <w:rPr>
          <w:sz w:val="24"/>
          <w:szCs w:val="24"/>
        </w:rPr>
        <w:t>.,</w:t>
      </w:r>
      <w:r w:rsidR="00813A9C">
        <w:rPr>
          <w:sz w:val="24"/>
          <w:szCs w:val="24"/>
        </w:rPr>
        <w:t xml:space="preserve"> the average effects are nearly identical to that of the former model</w:t>
      </w:r>
      <w:r w:rsidR="00C0280E">
        <w:rPr>
          <w:sz w:val="24"/>
          <w:szCs w:val="24"/>
        </w:rPr>
        <w:t>, which can be attributed to the lack of variance in the number of school changes.</w:t>
      </w:r>
      <w:r w:rsidR="00813A9C">
        <w:rPr>
          <w:sz w:val="24"/>
          <w:szCs w:val="24"/>
        </w:rPr>
        <w:t xml:space="preserve"> </w:t>
      </w:r>
      <w:proofErr w:type="gramStart"/>
      <w:r w:rsidR="00813A9C">
        <w:rPr>
          <w:sz w:val="24"/>
          <w:szCs w:val="24"/>
        </w:rPr>
        <w:t>That being said, the</w:t>
      </w:r>
      <w:proofErr w:type="gramEnd"/>
      <w:r w:rsidR="00813A9C">
        <w:rPr>
          <w:sz w:val="24"/>
          <w:szCs w:val="24"/>
        </w:rPr>
        <w:t xml:space="preserve"> p-value of the pre-test of the conditional PTA assumption decreased, but there is still no evidence against it at a 5% level (p &gt; 0.</w:t>
      </w:r>
      <w:r w:rsidR="0036596B">
        <w:rPr>
          <w:sz w:val="24"/>
          <w:szCs w:val="24"/>
        </w:rPr>
        <w:t>0</w:t>
      </w:r>
      <w:r w:rsidR="00813A9C">
        <w:rPr>
          <w:sz w:val="24"/>
          <w:szCs w:val="24"/>
        </w:rPr>
        <w:t>6</w:t>
      </w:r>
      <w:r w:rsidR="0065380A">
        <w:rPr>
          <w:sz w:val="24"/>
          <w:szCs w:val="24"/>
        </w:rPr>
        <w:t>2</w:t>
      </w:r>
      <w:r w:rsidR="00813A9C">
        <w:rPr>
          <w:sz w:val="24"/>
          <w:szCs w:val="24"/>
        </w:rPr>
        <w:t xml:space="preserve">).  </w:t>
      </w:r>
    </w:p>
    <w:p w14:paraId="4CE591F5" w14:textId="68E758D9" w:rsidR="00771927" w:rsidRPr="00771927" w:rsidRDefault="00771927" w:rsidP="00771927">
      <w:pPr>
        <w:pStyle w:val="Heading4"/>
        <w:spacing w:before="120" w:after="120" w:line="360" w:lineRule="auto"/>
        <w:rPr>
          <w:rFonts w:asciiTheme="minorHAnsi" w:hAnsiTheme="minorHAnsi" w:cstheme="minorHAnsi"/>
          <w:color w:val="auto"/>
          <w:sz w:val="24"/>
          <w:szCs w:val="24"/>
        </w:rPr>
      </w:pPr>
      <w:r>
        <w:rPr>
          <w:rFonts w:asciiTheme="minorHAnsi" w:hAnsiTheme="minorHAnsi" w:cstheme="minorHAnsi"/>
          <w:color w:val="auto"/>
          <w:sz w:val="24"/>
          <w:szCs w:val="24"/>
        </w:rPr>
        <w:lastRenderedPageBreak/>
        <w:t>4.2.1.</w:t>
      </w:r>
      <w:r w:rsidR="00B10D23">
        <w:rPr>
          <w:rFonts w:asciiTheme="minorHAnsi" w:hAnsiTheme="minorHAnsi" w:cstheme="minorHAnsi"/>
          <w:color w:val="auto"/>
          <w:sz w:val="24"/>
          <w:szCs w:val="24"/>
        </w:rPr>
        <w:t>8</w:t>
      </w:r>
      <w:r>
        <w:rPr>
          <w:rFonts w:asciiTheme="minorHAnsi" w:hAnsiTheme="minorHAnsi" w:cstheme="minorHAnsi"/>
          <w:color w:val="auto"/>
          <w:sz w:val="24"/>
          <w:szCs w:val="24"/>
        </w:rPr>
        <w:t xml:space="preserve">. </w:t>
      </w:r>
      <w:r w:rsidR="00155C8A">
        <w:rPr>
          <w:rFonts w:asciiTheme="minorHAnsi" w:hAnsiTheme="minorHAnsi" w:cstheme="minorHAnsi"/>
          <w:color w:val="auto"/>
          <w:sz w:val="24"/>
          <w:szCs w:val="24"/>
        </w:rPr>
        <w:t>Discussion of the U</w:t>
      </w:r>
      <w:r w:rsidR="00B10D23">
        <w:rPr>
          <w:rFonts w:asciiTheme="minorHAnsi" w:hAnsiTheme="minorHAnsi" w:cstheme="minorHAnsi"/>
          <w:color w:val="auto"/>
          <w:sz w:val="24"/>
          <w:szCs w:val="24"/>
        </w:rPr>
        <w:t>pper-bound</w:t>
      </w:r>
      <w:r w:rsidR="00155C8A">
        <w:rPr>
          <w:rFonts w:asciiTheme="minorHAnsi" w:hAnsiTheme="minorHAnsi" w:cstheme="minorHAnsi"/>
          <w:color w:val="auto"/>
          <w:sz w:val="24"/>
          <w:szCs w:val="24"/>
        </w:rPr>
        <w:t xml:space="preserve"> Estimates</w:t>
      </w:r>
    </w:p>
    <w:p w14:paraId="2D699E1F" w14:textId="57C3C9B6" w:rsidR="009C320B" w:rsidRDefault="001F70CA" w:rsidP="00A25203">
      <w:pPr>
        <w:spacing w:line="360" w:lineRule="auto"/>
        <w:ind w:firstLine="397"/>
        <w:jc w:val="both"/>
        <w:rPr>
          <w:rFonts w:eastAsiaTheme="minorEastAsia"/>
          <w:sz w:val="24"/>
          <w:szCs w:val="24"/>
        </w:rPr>
      </w:pPr>
      <w:r>
        <w:rPr>
          <w:noProof/>
        </w:rPr>
        <w:drawing>
          <wp:anchor distT="0" distB="0" distL="114300" distR="114300" simplePos="0" relativeHeight="251815936" behindDoc="0" locked="0" layoutInCell="1" allowOverlap="1" wp14:anchorId="73B1FD37" wp14:editId="4CCF2737">
            <wp:simplePos x="0" y="0"/>
            <wp:positionH relativeFrom="margin">
              <wp:posOffset>694690</wp:posOffset>
            </wp:positionH>
            <wp:positionV relativeFrom="paragraph">
              <wp:posOffset>4349446</wp:posOffset>
            </wp:positionV>
            <wp:extent cx="4370705" cy="164592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70705" cy="1645920"/>
                    </a:xfrm>
                    <a:prstGeom prst="rect">
                      <a:avLst/>
                    </a:prstGeom>
                  </pic:spPr>
                </pic:pic>
              </a:graphicData>
            </a:graphic>
            <wp14:sizeRelH relativeFrom="margin">
              <wp14:pctWidth>0</wp14:pctWidth>
            </wp14:sizeRelH>
            <wp14:sizeRelV relativeFrom="margin">
              <wp14:pctHeight>0</wp14:pctHeight>
            </wp14:sizeRelV>
          </wp:anchor>
        </w:drawing>
      </w:r>
      <w:r w:rsidR="00771927">
        <w:rPr>
          <w:sz w:val="24"/>
          <w:szCs w:val="24"/>
        </w:rPr>
        <w:t xml:space="preserve">Finally, we can aggregate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771927">
        <w:rPr>
          <w:rFonts w:eastAsiaTheme="minorEastAsia"/>
          <w:sz w:val="24"/>
          <w:szCs w:val="24"/>
        </w:rPr>
        <w:t xml:space="preserve">s for each model to gain </w:t>
      </w:r>
      <w:r w:rsidR="003C2CF4">
        <w:rPr>
          <w:rFonts w:eastAsiaTheme="minorEastAsia"/>
          <w:sz w:val="24"/>
          <w:szCs w:val="24"/>
        </w:rPr>
        <w:t xml:space="preserve">one-metric estimates. For the sake of simplicity, we can compare our aggregated coefficients and summarize </w:t>
      </w:r>
      <w:r w:rsidR="002923E4">
        <w:rPr>
          <w:rFonts w:eastAsiaTheme="minorEastAsia"/>
          <w:sz w:val="24"/>
          <w:szCs w:val="24"/>
        </w:rPr>
        <w:t>the</w:t>
      </w:r>
      <w:r w:rsidR="003C2CF4">
        <w:rPr>
          <w:rFonts w:eastAsiaTheme="minorEastAsia"/>
          <w:sz w:val="24"/>
          <w:szCs w:val="24"/>
        </w:rPr>
        <w:t xml:space="preserve"> findings of our forward selection. Table </w:t>
      </w:r>
      <w:r w:rsidR="00767F8A">
        <w:rPr>
          <w:rFonts w:eastAsiaTheme="minorEastAsia"/>
          <w:sz w:val="24"/>
          <w:szCs w:val="24"/>
        </w:rPr>
        <w:t>12</w:t>
      </w:r>
      <w:r w:rsidR="003C2CF4">
        <w:rPr>
          <w:rFonts w:eastAsiaTheme="minorEastAsia"/>
          <w:sz w:val="24"/>
          <w:szCs w:val="24"/>
        </w:rPr>
        <w:t>. illustrates the specification</w:t>
      </w:r>
      <w:r w:rsidR="008E172E">
        <w:rPr>
          <w:rFonts w:eastAsiaTheme="minorEastAsia"/>
          <w:sz w:val="24"/>
          <w:szCs w:val="24"/>
        </w:rPr>
        <w:t>s</w:t>
      </w:r>
      <w:r w:rsidR="003C2CF4">
        <w:rPr>
          <w:rFonts w:eastAsiaTheme="minorEastAsia"/>
          <w:sz w:val="24"/>
          <w:szCs w:val="24"/>
        </w:rPr>
        <w:t xml:space="preserve">, the aggregated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8E172E">
        <w:rPr>
          <w:rFonts w:eastAsiaTheme="minorEastAsia"/>
          <w:sz w:val="24"/>
          <w:szCs w:val="24"/>
        </w:rPr>
        <w:t>s</w:t>
      </w:r>
      <w:r w:rsidR="003C2CF4">
        <w:rPr>
          <w:rFonts w:eastAsiaTheme="minorEastAsia"/>
          <w:sz w:val="24"/>
          <w:szCs w:val="24"/>
        </w:rPr>
        <w:t xml:space="preserve">, the standard </w:t>
      </w:r>
      <w:r w:rsidR="00EC1B87">
        <w:rPr>
          <w:rFonts w:eastAsiaTheme="minorEastAsia"/>
          <w:sz w:val="24"/>
          <w:szCs w:val="24"/>
        </w:rPr>
        <w:t>errors,</w:t>
      </w:r>
      <w:r w:rsidR="003C2CF4">
        <w:rPr>
          <w:rFonts w:eastAsiaTheme="minorEastAsia"/>
          <w:sz w:val="24"/>
          <w:szCs w:val="24"/>
        </w:rPr>
        <w:t xml:space="preserve"> </w:t>
      </w:r>
      <w:r w:rsidR="00767F8A">
        <w:rPr>
          <w:rFonts w:eastAsiaTheme="minorEastAsia"/>
          <w:sz w:val="24"/>
          <w:szCs w:val="24"/>
        </w:rPr>
        <w:t>and the p-values of pre-testing the (un)conditional PTA for all the seven upper-bound specifications</w:t>
      </w:r>
      <w:r w:rsidR="003C2CF4">
        <w:rPr>
          <w:rFonts w:eastAsiaTheme="minorEastAsia"/>
          <w:sz w:val="24"/>
          <w:szCs w:val="24"/>
        </w:rPr>
        <w:t xml:space="preserve">. When there were no covariates whatsoever, </w:t>
      </w:r>
      <w:r w:rsidR="00CA2A4D">
        <w:rPr>
          <w:rFonts w:eastAsiaTheme="minorEastAsia"/>
          <w:sz w:val="24"/>
          <w:szCs w:val="24"/>
        </w:rPr>
        <w:t xml:space="preserve">separation is associated with </w:t>
      </w:r>
      <w:r w:rsidR="00D86833">
        <w:rPr>
          <w:rFonts w:eastAsiaTheme="minorEastAsia"/>
          <w:sz w:val="24"/>
          <w:szCs w:val="24"/>
        </w:rPr>
        <w:t xml:space="preserve">slightly </w:t>
      </w:r>
      <w:r w:rsidR="00CA2A4D">
        <w:rPr>
          <w:rFonts w:eastAsiaTheme="minorEastAsia"/>
          <w:sz w:val="24"/>
          <w:szCs w:val="24"/>
        </w:rPr>
        <w:t xml:space="preserve">higher grades, </w:t>
      </w:r>
      <w:r w:rsidR="00D86833">
        <w:rPr>
          <w:rFonts w:eastAsiaTheme="minorEastAsia"/>
          <w:sz w:val="24"/>
          <w:szCs w:val="24"/>
        </w:rPr>
        <w:t>but the effect was likely to be biased due to the lack of covariates</w:t>
      </w:r>
      <w:r w:rsidR="00D9246A">
        <w:rPr>
          <w:rFonts w:eastAsiaTheme="minorEastAsia"/>
          <w:sz w:val="24"/>
          <w:szCs w:val="24"/>
        </w:rPr>
        <w:t xml:space="preserve">. </w:t>
      </w:r>
      <w:r w:rsidR="00D86833">
        <w:rPr>
          <w:rFonts w:eastAsiaTheme="minorEastAsia"/>
          <w:sz w:val="24"/>
          <w:szCs w:val="24"/>
        </w:rPr>
        <w:t xml:space="preserve">As I started to include different sets of covariates, the likelihood of PTA </w:t>
      </w:r>
      <w:r w:rsidR="00BE5AE7">
        <w:rPr>
          <w:rFonts w:eastAsiaTheme="minorEastAsia"/>
          <w:sz w:val="24"/>
          <w:szCs w:val="24"/>
        </w:rPr>
        <w:t xml:space="preserve">holding </w:t>
      </w:r>
      <w:r w:rsidR="00D86833">
        <w:rPr>
          <w:rFonts w:eastAsiaTheme="minorEastAsia"/>
          <w:sz w:val="24"/>
          <w:szCs w:val="24"/>
        </w:rPr>
        <w:t xml:space="preserve">decreased but the more accurate coefficient estimates took up greater negative values </w:t>
      </w:r>
      <w:r w:rsidR="00BE5AE7">
        <w:rPr>
          <w:rFonts w:eastAsiaTheme="minorEastAsia"/>
          <w:sz w:val="24"/>
          <w:szCs w:val="24"/>
        </w:rPr>
        <w:t xml:space="preserve">then </w:t>
      </w:r>
      <w:r w:rsidR="00D86833">
        <w:rPr>
          <w:rFonts w:eastAsiaTheme="minorEastAsia"/>
          <w:sz w:val="24"/>
          <w:szCs w:val="24"/>
        </w:rPr>
        <w:t xml:space="preserve">recovered to the level of </w:t>
      </w:r>
      <w:r w:rsidR="00452CEA">
        <w:rPr>
          <w:rFonts w:eastAsiaTheme="minorEastAsia"/>
          <w:sz w:val="24"/>
          <w:szCs w:val="24"/>
        </w:rPr>
        <w:t>-0.011</w:t>
      </w:r>
      <w:r w:rsidR="00D86833">
        <w:rPr>
          <w:rFonts w:eastAsiaTheme="minorEastAsia"/>
          <w:sz w:val="24"/>
          <w:szCs w:val="24"/>
        </w:rPr>
        <w:t xml:space="preserve"> average treatment effect when student, home, school, SES, PSI</w:t>
      </w:r>
      <w:r w:rsidR="00D14832">
        <w:rPr>
          <w:rFonts w:eastAsiaTheme="minorEastAsia"/>
          <w:sz w:val="24"/>
          <w:szCs w:val="24"/>
        </w:rPr>
        <w:t>,</w:t>
      </w:r>
      <w:r w:rsidR="00D86833">
        <w:rPr>
          <w:rFonts w:eastAsiaTheme="minorEastAsia"/>
          <w:sz w:val="24"/>
          <w:szCs w:val="24"/>
        </w:rPr>
        <w:t xml:space="preserve"> and residential mobility controls were held constant</w:t>
      </w:r>
      <w:r w:rsidR="00A9647A">
        <w:rPr>
          <w:rFonts w:eastAsiaTheme="minorEastAsia"/>
          <w:sz w:val="24"/>
          <w:szCs w:val="24"/>
        </w:rPr>
        <w:t xml:space="preserve"> (7)</w:t>
      </w:r>
      <w:r w:rsidR="00D86833">
        <w:rPr>
          <w:rFonts w:eastAsiaTheme="minorEastAsia"/>
          <w:sz w:val="24"/>
          <w:szCs w:val="24"/>
        </w:rPr>
        <w:t>.</w:t>
      </w:r>
      <w:r w:rsidR="00A25203">
        <w:rPr>
          <w:rFonts w:eastAsiaTheme="minorEastAsia"/>
          <w:sz w:val="24"/>
          <w:szCs w:val="24"/>
        </w:rPr>
        <w:t xml:space="preserve"> </w:t>
      </w:r>
      <w:r w:rsidR="00D868C6">
        <w:rPr>
          <w:rFonts w:eastAsiaTheme="minorEastAsia"/>
          <w:sz w:val="24"/>
          <w:szCs w:val="24"/>
        </w:rPr>
        <w:t xml:space="preserve">There is clearly a tradeoff between accuracy and credibility in our models, but we can conclude that we fail to reject the PTA on a </w:t>
      </w:r>
      <w:r w:rsidR="00EC41B7">
        <w:rPr>
          <w:rFonts w:eastAsiaTheme="minorEastAsia"/>
          <w:sz w:val="24"/>
          <w:szCs w:val="24"/>
        </w:rPr>
        <w:t>5</w:t>
      </w:r>
      <w:r w:rsidR="00D868C6">
        <w:rPr>
          <w:rFonts w:eastAsiaTheme="minorEastAsia"/>
          <w:sz w:val="24"/>
          <w:szCs w:val="24"/>
        </w:rPr>
        <w:t xml:space="preserve">% level in our most complicated design, implying that parental separation does </w:t>
      </w:r>
      <w:r w:rsidR="00452CEA">
        <w:rPr>
          <w:rFonts w:eastAsiaTheme="minorEastAsia"/>
          <w:sz w:val="24"/>
          <w:szCs w:val="24"/>
        </w:rPr>
        <w:t>have a minor negative</w:t>
      </w:r>
      <w:r w:rsidR="00D868C6">
        <w:rPr>
          <w:rFonts w:eastAsiaTheme="minorEastAsia"/>
          <w:sz w:val="24"/>
          <w:szCs w:val="24"/>
        </w:rPr>
        <w:t xml:space="preserve"> effect </w:t>
      </w:r>
      <w:r w:rsidR="00EC1B87">
        <w:rPr>
          <w:rFonts w:eastAsiaTheme="minorEastAsia"/>
          <w:sz w:val="24"/>
          <w:szCs w:val="24"/>
        </w:rPr>
        <w:t xml:space="preserve">by </w:t>
      </w:r>
      <w:r w:rsidR="00D868C6">
        <w:rPr>
          <w:rFonts w:eastAsiaTheme="minorEastAsia"/>
          <w:sz w:val="24"/>
          <w:szCs w:val="24"/>
        </w:rPr>
        <w:t xml:space="preserve">itself on GPA, </w:t>
      </w:r>
      <w:r w:rsidR="00452CEA">
        <w:rPr>
          <w:rFonts w:eastAsiaTheme="minorEastAsia"/>
          <w:sz w:val="24"/>
          <w:szCs w:val="24"/>
        </w:rPr>
        <w:t>even though the</w:t>
      </w:r>
      <w:r w:rsidR="00D868C6">
        <w:rPr>
          <w:rFonts w:eastAsiaTheme="minorEastAsia"/>
          <w:sz w:val="24"/>
          <w:szCs w:val="24"/>
        </w:rPr>
        <w:t xml:space="preserve"> included </w:t>
      </w:r>
      <w:proofErr w:type="spellStart"/>
      <w:r w:rsidR="00452CEA">
        <w:rPr>
          <w:rFonts w:eastAsiaTheme="minorEastAsia"/>
          <w:sz w:val="24"/>
          <w:szCs w:val="24"/>
        </w:rPr>
        <w:t>exo</w:t>
      </w:r>
      <w:proofErr w:type="spellEnd"/>
      <w:r w:rsidR="00452CEA">
        <w:rPr>
          <w:rFonts w:eastAsiaTheme="minorEastAsia"/>
          <w:sz w:val="24"/>
          <w:szCs w:val="24"/>
        </w:rPr>
        <w:t>-and-</w:t>
      </w:r>
      <w:proofErr w:type="spellStart"/>
      <w:r w:rsidR="00452CEA">
        <w:rPr>
          <w:rFonts w:eastAsiaTheme="minorEastAsia"/>
          <w:sz w:val="24"/>
          <w:szCs w:val="24"/>
        </w:rPr>
        <w:t>endogeneous</w:t>
      </w:r>
      <w:proofErr w:type="spellEnd"/>
      <w:r w:rsidR="00D868C6">
        <w:rPr>
          <w:rFonts w:eastAsiaTheme="minorEastAsia"/>
          <w:sz w:val="24"/>
          <w:szCs w:val="24"/>
        </w:rPr>
        <w:t xml:space="preserve"> variables are responsible for the </w:t>
      </w:r>
      <w:r w:rsidR="00452CEA">
        <w:rPr>
          <w:rFonts w:eastAsiaTheme="minorEastAsia"/>
          <w:sz w:val="24"/>
          <w:szCs w:val="24"/>
        </w:rPr>
        <w:t xml:space="preserve">lion’s share of </w:t>
      </w:r>
      <w:r w:rsidR="003D1C99">
        <w:rPr>
          <w:rFonts w:eastAsiaTheme="minorEastAsia"/>
          <w:sz w:val="24"/>
          <w:szCs w:val="24"/>
        </w:rPr>
        <w:t xml:space="preserve">the </w:t>
      </w:r>
      <w:r w:rsidR="00452CEA">
        <w:rPr>
          <w:rFonts w:eastAsiaTheme="minorEastAsia"/>
          <w:sz w:val="24"/>
          <w:szCs w:val="24"/>
        </w:rPr>
        <w:t>drop</w:t>
      </w:r>
      <w:r w:rsidR="00D868C6">
        <w:rPr>
          <w:rFonts w:eastAsiaTheme="minorEastAsia"/>
          <w:sz w:val="24"/>
          <w:szCs w:val="24"/>
        </w:rPr>
        <w:t xml:space="preserve"> in academic performance.</w:t>
      </w:r>
      <w:r>
        <w:rPr>
          <w:rFonts w:eastAsiaTheme="minorEastAsia"/>
          <w:sz w:val="24"/>
          <w:szCs w:val="24"/>
        </w:rPr>
        <w:t xml:space="preserve"> Also, </w:t>
      </w:r>
      <w:r>
        <w:rPr>
          <w:rFonts w:eastAsiaTheme="minorEastAsia"/>
          <w:sz w:val="24"/>
          <w:szCs w:val="24"/>
        </w:rPr>
        <w:t>Figure 7.</w:t>
      </w:r>
      <w:r>
        <w:rPr>
          <w:rFonts w:eastAsiaTheme="minorEastAsia"/>
          <w:sz w:val="24"/>
          <w:szCs w:val="24"/>
        </w:rPr>
        <w:t xml:space="preserve"> implies that the negative effects are marginally stronger over the years of exposure. </w:t>
      </w:r>
    </w:p>
    <w:p w14:paraId="1209223D" w14:textId="6BF2AC2A" w:rsidR="000E0A56" w:rsidRDefault="000E0A56">
      <w:pPr>
        <w:rPr>
          <w:rFonts w:asciiTheme="majorHAnsi" w:eastAsiaTheme="majorEastAsia" w:hAnsiTheme="majorHAnsi" w:cstheme="majorBidi"/>
          <w:sz w:val="24"/>
          <w:szCs w:val="24"/>
        </w:rPr>
      </w:pPr>
    </w:p>
    <w:p w14:paraId="649AF750" w14:textId="3B5BF20E" w:rsidR="002779DD" w:rsidRDefault="00C930E4" w:rsidP="008504B8">
      <w:pPr>
        <w:pStyle w:val="Heading3"/>
        <w:jc w:val="center"/>
      </w:pPr>
      <w:bookmarkStart w:id="39" w:name="_Toc64591281"/>
      <w:r>
        <w:t xml:space="preserve">4.2.2. </w:t>
      </w:r>
      <w:r w:rsidR="00E34A69">
        <w:t>Lower</w:t>
      </w:r>
      <w:r w:rsidR="00AA4EC2">
        <w:t>-</w:t>
      </w:r>
      <w:r w:rsidR="00E34A69">
        <w:t>bound Estimat</w:t>
      </w:r>
      <w:r w:rsidR="00AA4EC2">
        <w:t>es</w:t>
      </w:r>
      <w:bookmarkEnd w:id="39"/>
    </w:p>
    <w:p w14:paraId="2BED12FD" w14:textId="5E85321F" w:rsidR="003E2EF9" w:rsidRPr="00630DF4" w:rsidRDefault="00775218" w:rsidP="003E2EF9">
      <w:pPr>
        <w:spacing w:line="360" w:lineRule="auto"/>
        <w:ind w:firstLine="397"/>
        <w:jc w:val="both"/>
        <w:rPr>
          <w:sz w:val="24"/>
          <w:szCs w:val="24"/>
        </w:rPr>
      </w:pPr>
      <w:r w:rsidRPr="00630DF4">
        <w:rPr>
          <w:sz w:val="24"/>
          <w:szCs w:val="24"/>
        </w:rPr>
        <w:t>Having estimated the</w:t>
      </w:r>
      <w:r w:rsidR="00AE0761">
        <w:rPr>
          <w:sz w:val="24"/>
          <w:szCs w:val="24"/>
        </w:rPr>
        <w:t xml:space="preserve"> </w:t>
      </w:r>
      <w:r w:rsidR="008F2B1C">
        <w:rPr>
          <w:sz w:val="24"/>
          <w:szCs w:val="24"/>
        </w:rPr>
        <w:t>negative</w:t>
      </w:r>
      <w:r w:rsidRPr="00630DF4">
        <w:rPr>
          <w:sz w:val="24"/>
          <w:szCs w:val="24"/>
        </w:rPr>
        <w:t xml:space="preserve"> effect of transitioning from a two-parent biological family from any kind of disrupted family where at least one original parent is missing, we can turn to the conservative approach where </w:t>
      </w:r>
      <w:r w:rsidR="000D3F4D" w:rsidRPr="00630DF4">
        <w:rPr>
          <w:sz w:val="24"/>
          <w:szCs w:val="24"/>
        </w:rPr>
        <w:t xml:space="preserve">I will </w:t>
      </w:r>
      <w:r w:rsidR="009A0095" w:rsidRPr="00630DF4">
        <w:rPr>
          <w:sz w:val="24"/>
          <w:szCs w:val="24"/>
        </w:rPr>
        <w:t>discuss</w:t>
      </w:r>
      <w:r w:rsidR="000D3F4D" w:rsidRPr="00630DF4">
        <w:rPr>
          <w:sz w:val="24"/>
          <w:szCs w:val="24"/>
        </w:rPr>
        <w:t xml:space="preserve"> the impact on the academic performance of children who were separated from only one of their biological parents. Let us invoke the </w:t>
      </w:r>
      <w:r w:rsidR="00D7790F">
        <w:rPr>
          <w:sz w:val="24"/>
          <w:szCs w:val="24"/>
        </w:rPr>
        <w:t>full</w:t>
      </w:r>
      <w:r w:rsidR="00D14832">
        <w:rPr>
          <w:sz w:val="24"/>
          <w:szCs w:val="24"/>
        </w:rPr>
        <w:t>y</w:t>
      </w:r>
      <w:r w:rsidR="00D7790F">
        <w:rPr>
          <w:sz w:val="24"/>
          <w:szCs w:val="24"/>
        </w:rPr>
        <w:t xml:space="preserve"> equipped </w:t>
      </w:r>
      <w:r w:rsidR="000D3F4D" w:rsidRPr="00630DF4">
        <w:rPr>
          <w:sz w:val="24"/>
          <w:szCs w:val="24"/>
        </w:rPr>
        <w:t>Staggered DID specification which consist</w:t>
      </w:r>
      <w:r w:rsidR="00241D38">
        <w:rPr>
          <w:sz w:val="24"/>
          <w:szCs w:val="24"/>
        </w:rPr>
        <w:t>s</w:t>
      </w:r>
      <w:r w:rsidR="000D3F4D" w:rsidRPr="00630DF4">
        <w:rPr>
          <w:sz w:val="24"/>
          <w:szCs w:val="24"/>
        </w:rPr>
        <w:t xml:space="preserve"> of the set of </w:t>
      </w:r>
      <w:r w:rsidR="00D7790F">
        <w:rPr>
          <w:sz w:val="24"/>
          <w:szCs w:val="24"/>
        </w:rPr>
        <w:t>student, home, school, SES</w:t>
      </w:r>
      <w:r w:rsidR="000D3F4D" w:rsidRPr="00630DF4">
        <w:rPr>
          <w:sz w:val="24"/>
          <w:szCs w:val="24"/>
        </w:rPr>
        <w:t>,</w:t>
      </w:r>
      <w:r w:rsidR="00D7790F">
        <w:rPr>
          <w:sz w:val="24"/>
          <w:szCs w:val="24"/>
        </w:rPr>
        <w:t xml:space="preserve"> PSI</w:t>
      </w:r>
      <w:r w:rsidR="00D14832">
        <w:rPr>
          <w:sz w:val="24"/>
          <w:szCs w:val="24"/>
        </w:rPr>
        <w:t>,</w:t>
      </w:r>
      <w:r w:rsidR="00D7790F">
        <w:rPr>
          <w:sz w:val="24"/>
          <w:szCs w:val="24"/>
        </w:rPr>
        <w:t xml:space="preserve"> and residential mobility covariates</w:t>
      </w:r>
      <w:r w:rsidR="000D3F4D" w:rsidRPr="00630DF4">
        <w:rPr>
          <w:sz w:val="24"/>
          <w:szCs w:val="24"/>
        </w:rPr>
        <w:t xml:space="preserve"> and apply it for the restricted set of family types</w:t>
      </w:r>
      <w:r w:rsidR="00377DA9" w:rsidRPr="00630DF4">
        <w:rPr>
          <w:sz w:val="24"/>
          <w:szCs w:val="24"/>
        </w:rPr>
        <w:t xml:space="preserve">, rather than non-intact families in a broader sense. </w:t>
      </w:r>
    </w:p>
    <w:p w14:paraId="1E54F8BA" w14:textId="3D240CF0" w:rsidR="009A0095" w:rsidRPr="00630DF4" w:rsidRDefault="00E06951" w:rsidP="000D3F4D">
      <w:pPr>
        <w:spacing w:line="360" w:lineRule="auto"/>
        <w:ind w:firstLine="397"/>
        <w:jc w:val="both"/>
        <w:rPr>
          <w:sz w:val="24"/>
          <w:szCs w:val="24"/>
        </w:rPr>
      </w:pPr>
      <w:r>
        <w:rPr>
          <w:noProof/>
        </w:rPr>
        <w:lastRenderedPageBreak/>
        <w:drawing>
          <wp:anchor distT="0" distB="0" distL="114300" distR="114300" simplePos="0" relativeHeight="251816960" behindDoc="0" locked="0" layoutInCell="1" allowOverlap="1" wp14:anchorId="2A0C8A38" wp14:editId="6AFCFDDE">
            <wp:simplePos x="0" y="0"/>
            <wp:positionH relativeFrom="margin">
              <wp:posOffset>856615</wp:posOffset>
            </wp:positionH>
            <wp:positionV relativeFrom="paragraph">
              <wp:posOffset>1747465</wp:posOffset>
            </wp:positionV>
            <wp:extent cx="4046855" cy="2475865"/>
            <wp:effectExtent l="0" t="0" r="0" b="63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46855" cy="2475865"/>
                    </a:xfrm>
                    <a:prstGeom prst="rect">
                      <a:avLst/>
                    </a:prstGeom>
                  </pic:spPr>
                </pic:pic>
              </a:graphicData>
            </a:graphic>
            <wp14:sizeRelH relativeFrom="margin">
              <wp14:pctWidth>0</wp14:pctWidth>
            </wp14:sizeRelH>
            <wp14:sizeRelV relativeFrom="margin">
              <wp14:pctHeight>0</wp14:pctHeight>
            </wp14:sizeRelV>
          </wp:anchor>
        </w:drawing>
      </w:r>
      <w:r w:rsidR="009A0095" w:rsidRPr="00630DF4">
        <w:rPr>
          <w:sz w:val="24"/>
          <w:szCs w:val="24"/>
        </w:rPr>
        <w:t xml:space="preserve">Table </w:t>
      </w:r>
      <w:r w:rsidR="003E2EF9">
        <w:rPr>
          <w:sz w:val="24"/>
          <w:szCs w:val="24"/>
        </w:rPr>
        <w:t>13</w:t>
      </w:r>
      <w:r w:rsidR="009A0095" w:rsidRPr="00630DF4">
        <w:rPr>
          <w:sz w:val="24"/>
          <w:szCs w:val="24"/>
        </w:rPr>
        <w:t xml:space="preserve">. illustrates the results of the estimation with the full set of controls. Comparing its coefficients with that of Table </w:t>
      </w:r>
      <w:r w:rsidR="00AE27B7">
        <w:rPr>
          <w:sz w:val="24"/>
          <w:szCs w:val="24"/>
        </w:rPr>
        <w:t>11</w:t>
      </w:r>
      <w:r w:rsidR="009A0095" w:rsidRPr="00630DF4">
        <w:rPr>
          <w:sz w:val="24"/>
          <w:szCs w:val="24"/>
        </w:rPr>
        <w:t xml:space="preserve">., they suggest that the negative effects are enlarged while the positive effects are milder in the conservative </w:t>
      </w:r>
      <w:r w:rsidR="00241D38">
        <w:rPr>
          <w:sz w:val="24"/>
          <w:szCs w:val="24"/>
        </w:rPr>
        <w:t>definition of non-intact families</w:t>
      </w:r>
      <w:r w:rsidR="00AE27B7">
        <w:rPr>
          <w:sz w:val="24"/>
          <w:szCs w:val="24"/>
        </w:rPr>
        <w:t xml:space="preserve">, therefore </w:t>
      </w:r>
      <w:r w:rsidR="00D14832">
        <w:rPr>
          <w:sz w:val="24"/>
          <w:szCs w:val="24"/>
        </w:rPr>
        <w:t xml:space="preserve">the </w:t>
      </w:r>
      <w:r w:rsidR="00AE27B7">
        <w:rPr>
          <w:sz w:val="24"/>
          <w:szCs w:val="24"/>
        </w:rPr>
        <w:t>effects are worse</w:t>
      </w:r>
      <w:r w:rsidR="009A0095" w:rsidRPr="00630DF4">
        <w:rPr>
          <w:sz w:val="24"/>
          <w:szCs w:val="24"/>
        </w:rPr>
        <w:t xml:space="preserve">. </w:t>
      </w:r>
      <w:r w:rsidR="00944CED" w:rsidRPr="00630DF4">
        <w:rPr>
          <w:sz w:val="24"/>
          <w:szCs w:val="24"/>
        </w:rPr>
        <w:t xml:space="preserve">In the latter, the conditional PTA </w:t>
      </w:r>
      <w:r w:rsidR="00EE0AE3">
        <w:rPr>
          <w:sz w:val="24"/>
          <w:szCs w:val="24"/>
        </w:rPr>
        <w:t>does not hold</w:t>
      </w:r>
      <w:r w:rsidR="00944CED" w:rsidRPr="00630DF4">
        <w:rPr>
          <w:sz w:val="24"/>
          <w:szCs w:val="24"/>
        </w:rPr>
        <w:t xml:space="preserve"> </w:t>
      </w:r>
      <w:r w:rsidR="00EE0AE3">
        <w:rPr>
          <w:sz w:val="24"/>
          <w:szCs w:val="24"/>
        </w:rPr>
        <w:t xml:space="preserve">under </w:t>
      </w:r>
      <w:r w:rsidR="00944CED" w:rsidRPr="00630DF4">
        <w:rPr>
          <w:sz w:val="24"/>
          <w:szCs w:val="24"/>
        </w:rPr>
        <w:t>the 5% significance level (p &gt; 0.0</w:t>
      </w:r>
      <w:r w:rsidR="00EF3731">
        <w:rPr>
          <w:sz w:val="24"/>
          <w:szCs w:val="24"/>
        </w:rPr>
        <w:t>19</w:t>
      </w:r>
      <w:r w:rsidR="00944CED" w:rsidRPr="00630DF4">
        <w:rPr>
          <w:sz w:val="24"/>
          <w:szCs w:val="24"/>
        </w:rPr>
        <w:t xml:space="preserve">), therefore </w:t>
      </w:r>
      <w:r w:rsidR="00EE0AE3">
        <w:rPr>
          <w:sz w:val="24"/>
          <w:szCs w:val="24"/>
        </w:rPr>
        <w:t>the upper</w:t>
      </w:r>
      <w:r w:rsidR="007258C0">
        <w:rPr>
          <w:sz w:val="24"/>
          <w:szCs w:val="24"/>
        </w:rPr>
        <w:t>-</w:t>
      </w:r>
      <w:r w:rsidR="00EE0AE3">
        <w:rPr>
          <w:sz w:val="24"/>
          <w:szCs w:val="24"/>
        </w:rPr>
        <w:t>bound model is more feasible for interpretation</w:t>
      </w:r>
      <w:r w:rsidR="00FC2398" w:rsidRPr="00630DF4">
        <w:rPr>
          <w:sz w:val="24"/>
          <w:szCs w:val="24"/>
        </w:rPr>
        <w:t>.</w:t>
      </w:r>
      <w:r w:rsidR="00944CED" w:rsidRPr="00630DF4">
        <w:rPr>
          <w:sz w:val="24"/>
          <w:szCs w:val="24"/>
        </w:rPr>
        <w:t xml:space="preserve"> </w:t>
      </w:r>
    </w:p>
    <w:p w14:paraId="2683260E" w14:textId="0CAC75F3" w:rsidR="008B58CC" w:rsidRPr="00630DF4" w:rsidRDefault="008B58CC" w:rsidP="002779DD">
      <w:pPr>
        <w:rPr>
          <w:noProof/>
          <w:sz w:val="24"/>
          <w:szCs w:val="24"/>
        </w:rPr>
      </w:pPr>
    </w:p>
    <w:p w14:paraId="7378D9C3" w14:textId="76F93050" w:rsidR="00E06951" w:rsidRDefault="00E06951" w:rsidP="001641D9">
      <w:pPr>
        <w:spacing w:line="360" w:lineRule="auto"/>
        <w:ind w:firstLine="397"/>
        <w:jc w:val="both"/>
        <w:rPr>
          <w:sz w:val="24"/>
          <w:szCs w:val="24"/>
        </w:rPr>
      </w:pPr>
      <w:r>
        <w:rPr>
          <w:noProof/>
          <w:sz w:val="24"/>
          <w:szCs w:val="24"/>
        </w:rPr>
        <w:drawing>
          <wp:anchor distT="0" distB="0" distL="114300" distR="114300" simplePos="0" relativeHeight="251817984" behindDoc="0" locked="0" layoutInCell="1" allowOverlap="1" wp14:anchorId="7CE50114" wp14:editId="2A6EE514">
            <wp:simplePos x="0" y="0"/>
            <wp:positionH relativeFrom="margin">
              <wp:align>center</wp:align>
            </wp:positionH>
            <wp:positionV relativeFrom="paragraph">
              <wp:posOffset>1149985</wp:posOffset>
            </wp:positionV>
            <wp:extent cx="3042920" cy="2703195"/>
            <wp:effectExtent l="0" t="0" r="5080" b="1905"/>
            <wp:wrapTopAndBottom/>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42920" cy="27031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532F9F63" wp14:editId="4A39C5A8">
                <wp:simplePos x="0" y="0"/>
                <wp:positionH relativeFrom="margin">
                  <wp:align>center</wp:align>
                </wp:positionH>
                <wp:positionV relativeFrom="paragraph">
                  <wp:posOffset>3853677</wp:posOffset>
                </wp:positionV>
                <wp:extent cx="3331210" cy="500380"/>
                <wp:effectExtent l="0" t="0" r="2540" b="0"/>
                <wp:wrapTopAndBottom/>
                <wp:docPr id="57" name="Text Box 57"/>
                <wp:cNvGraphicFramePr/>
                <a:graphic xmlns:a="http://schemas.openxmlformats.org/drawingml/2006/main">
                  <a:graphicData uri="http://schemas.microsoft.com/office/word/2010/wordprocessingShape">
                    <wps:wsp>
                      <wps:cNvSpPr txBox="1"/>
                      <wps:spPr>
                        <a:xfrm>
                          <a:off x="0" y="0"/>
                          <a:ext cx="3331210" cy="500380"/>
                        </a:xfrm>
                        <a:prstGeom prst="rect">
                          <a:avLst/>
                        </a:prstGeom>
                        <a:solidFill>
                          <a:prstClr val="white"/>
                        </a:solidFill>
                        <a:ln>
                          <a:noFill/>
                        </a:ln>
                      </wps:spPr>
                      <wps:txbx>
                        <w:txbxContent>
                          <w:p w14:paraId="0BDB8E76" w14:textId="7E715EF0" w:rsidR="004E5911" w:rsidRPr="00035C15" w:rsidRDefault="004E5911" w:rsidP="00E06951">
                            <w:pPr>
                              <w:pStyle w:val="Caption"/>
                              <w:jc w:val="both"/>
                              <w:rPr>
                                <w:noProof/>
                                <w:color w:val="auto"/>
                                <w:sz w:val="20"/>
                                <w:szCs w:val="20"/>
                              </w:rPr>
                            </w:pPr>
                            <w:r w:rsidRPr="00035C15">
                              <w:rPr>
                                <w:color w:val="auto"/>
                                <w:sz w:val="20"/>
                                <w:szCs w:val="20"/>
                              </w:rPr>
                              <w:t xml:space="preserve">Figure </w:t>
                            </w:r>
                            <w:r w:rsidR="00956689">
                              <w:rPr>
                                <w:color w:val="auto"/>
                                <w:sz w:val="20"/>
                                <w:szCs w:val="20"/>
                              </w:rPr>
                              <w:t>8</w:t>
                            </w:r>
                            <w:r w:rsidRPr="00035C15">
                              <w:rPr>
                                <w:color w:val="auto"/>
                                <w:sz w:val="20"/>
                                <w:szCs w:val="20"/>
                              </w:rPr>
                              <w:t xml:space="preserve">. Event study of parental separation’s </w:t>
                            </w:r>
                            <w:r>
                              <w:rPr>
                                <w:color w:val="auto"/>
                                <w:sz w:val="20"/>
                                <w:szCs w:val="20"/>
                              </w:rPr>
                              <w:t>lower</w:t>
                            </w:r>
                            <w:r w:rsidRPr="00035C15">
                              <w:rPr>
                                <w:color w:val="auto"/>
                                <w:sz w:val="20"/>
                                <w:szCs w:val="20"/>
                              </w:rPr>
                              <w:t>-bound impact on GPA when conditioning on Student,</w:t>
                            </w:r>
                            <w:r w:rsidR="00E06951">
                              <w:rPr>
                                <w:color w:val="auto"/>
                                <w:sz w:val="20"/>
                                <w:szCs w:val="20"/>
                              </w:rPr>
                              <w:t xml:space="preserve"> SES,</w:t>
                            </w:r>
                            <w:r w:rsidRPr="00035C15">
                              <w:rPr>
                                <w:color w:val="auto"/>
                                <w:sz w:val="20"/>
                                <w:szCs w:val="20"/>
                              </w:rPr>
                              <w:t xml:space="preserve"> Home, School, PSI, and Residential Mobility covariates.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F9F63" id="Text Box 57" o:spid="_x0000_s1034" type="#_x0000_t202" style="position:absolute;left:0;text-align:left;margin-left:0;margin-top:303.45pt;width:262.3pt;height:39.4pt;z-index:25178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" stroked="f">
                <v:textbox inset="0,0,0,0">
                  <w:txbxContent>
                    <w:p w14:paraId="0BDB8E76" w14:textId="7E715EF0" w:rsidR="004E5911" w:rsidRPr="00035C15" w:rsidRDefault="004E5911" w:rsidP="00E06951">
                      <w:pPr>
                        <w:pStyle w:val="Caption"/>
                        <w:jc w:val="both"/>
                        <w:rPr>
                          <w:noProof/>
                          <w:color w:val="auto"/>
                          <w:sz w:val="20"/>
                          <w:szCs w:val="20"/>
                        </w:rPr>
                      </w:pPr>
                      <w:r w:rsidRPr="00035C15">
                        <w:rPr>
                          <w:color w:val="auto"/>
                          <w:sz w:val="20"/>
                          <w:szCs w:val="20"/>
                        </w:rPr>
                        <w:t xml:space="preserve">Figure </w:t>
                      </w:r>
                      <w:r w:rsidR="00956689">
                        <w:rPr>
                          <w:color w:val="auto"/>
                          <w:sz w:val="20"/>
                          <w:szCs w:val="20"/>
                        </w:rPr>
                        <w:t>8</w:t>
                      </w:r>
                      <w:r w:rsidRPr="00035C15">
                        <w:rPr>
                          <w:color w:val="auto"/>
                          <w:sz w:val="20"/>
                          <w:szCs w:val="20"/>
                        </w:rPr>
                        <w:t xml:space="preserve">. Event study of parental separation’s </w:t>
                      </w:r>
                      <w:r>
                        <w:rPr>
                          <w:color w:val="auto"/>
                          <w:sz w:val="20"/>
                          <w:szCs w:val="20"/>
                        </w:rPr>
                        <w:t>lower</w:t>
                      </w:r>
                      <w:r w:rsidRPr="00035C15">
                        <w:rPr>
                          <w:color w:val="auto"/>
                          <w:sz w:val="20"/>
                          <w:szCs w:val="20"/>
                        </w:rPr>
                        <w:t>-bound impact on GPA when conditioning on Student,</w:t>
                      </w:r>
                      <w:r w:rsidR="00E06951">
                        <w:rPr>
                          <w:color w:val="auto"/>
                          <w:sz w:val="20"/>
                          <w:szCs w:val="20"/>
                        </w:rPr>
                        <w:t xml:space="preserve"> SES,</w:t>
                      </w:r>
                      <w:r w:rsidRPr="00035C15">
                        <w:rPr>
                          <w:color w:val="auto"/>
                          <w:sz w:val="20"/>
                          <w:szCs w:val="20"/>
                        </w:rPr>
                        <w:t xml:space="preserve"> Home, School, PSI, and Residential Mobility covariates.</w:t>
                      </w:r>
                    </w:p>
                  </w:txbxContent>
                </v:textbox>
                <w10:wrap type="topAndBottom" anchorx="margin"/>
              </v:shape>
            </w:pict>
          </mc:Fallback>
        </mc:AlternateContent>
      </w:r>
      <w:r w:rsidR="00FC2398" w:rsidRPr="00630DF4">
        <w:rPr>
          <w:sz w:val="24"/>
          <w:szCs w:val="24"/>
        </w:rPr>
        <w:t>We can also plot the</w:t>
      </w:r>
      <w:r w:rsidR="00241D38">
        <w:rPr>
          <w:sz w:val="24"/>
          <w:szCs w:val="24"/>
        </w:rPr>
        <w:t xml:space="preserve"> event study of dynamic effects</w:t>
      </w:r>
      <w:r w:rsidR="00FC2398" w:rsidRPr="00630DF4">
        <w:rPr>
          <w:sz w:val="24"/>
          <w:szCs w:val="24"/>
        </w:rPr>
        <w:t xml:space="preserve"> </w:t>
      </w:r>
      <w:r w:rsidR="00241D38">
        <w:rPr>
          <w:sz w:val="24"/>
          <w:szCs w:val="24"/>
        </w:rPr>
        <w:t>i</w:t>
      </w:r>
      <w:r w:rsidR="00FC2398" w:rsidRPr="00630DF4">
        <w:rPr>
          <w:sz w:val="24"/>
          <w:szCs w:val="24"/>
        </w:rPr>
        <w:t xml:space="preserve">n Figure </w:t>
      </w:r>
      <w:r w:rsidR="00956689">
        <w:rPr>
          <w:sz w:val="24"/>
          <w:szCs w:val="24"/>
        </w:rPr>
        <w:t>8</w:t>
      </w:r>
      <w:r w:rsidR="000A7C88" w:rsidRPr="00630DF4">
        <w:rPr>
          <w:sz w:val="24"/>
          <w:szCs w:val="24"/>
        </w:rPr>
        <w:t>. and</w:t>
      </w:r>
      <w:r w:rsidR="00FC2398" w:rsidRPr="00630DF4">
        <w:rPr>
          <w:sz w:val="24"/>
          <w:szCs w:val="24"/>
        </w:rPr>
        <w:t xml:space="preserve"> compare it to the case of extreme non-intact interpretation. The patterns are very similar</w:t>
      </w:r>
      <w:r w:rsidR="00E12169">
        <w:rPr>
          <w:sz w:val="24"/>
          <w:szCs w:val="24"/>
        </w:rPr>
        <w:t xml:space="preserve"> to the full</w:t>
      </w:r>
      <w:r w:rsidR="00D14832">
        <w:rPr>
          <w:sz w:val="24"/>
          <w:szCs w:val="24"/>
        </w:rPr>
        <w:t xml:space="preserve">y </w:t>
      </w:r>
      <w:r w:rsidR="00E12169">
        <w:rPr>
          <w:sz w:val="24"/>
          <w:szCs w:val="24"/>
        </w:rPr>
        <w:t>equipped upper-bound estimation</w:t>
      </w:r>
      <w:r w:rsidR="00FC2398" w:rsidRPr="00630DF4">
        <w:rPr>
          <w:sz w:val="24"/>
          <w:szCs w:val="24"/>
        </w:rPr>
        <w:t xml:space="preserve"> but at the lower-bound,</w:t>
      </w:r>
      <w:r w:rsidR="009936DE">
        <w:rPr>
          <w:sz w:val="24"/>
          <w:szCs w:val="24"/>
        </w:rPr>
        <w:t xml:space="preserve"> </w:t>
      </w:r>
      <w:r w:rsidR="00257E92">
        <w:rPr>
          <w:sz w:val="24"/>
          <w:szCs w:val="24"/>
        </w:rPr>
        <w:t>the figure is shifted downward</w:t>
      </w:r>
      <w:r w:rsidR="00A11076">
        <w:rPr>
          <w:sz w:val="24"/>
          <w:szCs w:val="24"/>
        </w:rPr>
        <w:t>s verifying our interpretation at the group-time pair level</w:t>
      </w:r>
      <w:r w:rsidR="009936DE">
        <w:rPr>
          <w:sz w:val="24"/>
          <w:szCs w:val="24"/>
        </w:rPr>
        <w:t>.</w:t>
      </w:r>
      <w:r w:rsidR="00FC2398" w:rsidRPr="00630DF4">
        <w:rPr>
          <w:sz w:val="24"/>
          <w:szCs w:val="24"/>
        </w:rPr>
        <w:t xml:space="preserve"> </w:t>
      </w:r>
    </w:p>
    <w:p w14:paraId="7EDF299B" w14:textId="590B154F" w:rsidR="00241AEA" w:rsidRDefault="0034214B" w:rsidP="009171B6">
      <w:pPr>
        <w:spacing w:line="360" w:lineRule="auto"/>
        <w:ind w:firstLine="397"/>
        <w:jc w:val="both"/>
        <w:rPr>
          <w:rFonts w:eastAsiaTheme="minorEastAsia"/>
          <w:sz w:val="24"/>
          <w:szCs w:val="24"/>
        </w:rPr>
      </w:pPr>
      <w:r w:rsidRPr="0034214B">
        <w:rPr>
          <w:sz w:val="24"/>
          <w:szCs w:val="24"/>
        </w:rPr>
        <w:lastRenderedPageBreak/>
        <w:t>Although we omitted the unconditional and the steps of arriving at the full set DID</w:t>
      </w:r>
      <w:r w:rsidR="002D2E58">
        <w:rPr>
          <w:sz w:val="24"/>
          <w:szCs w:val="24"/>
        </w:rPr>
        <w:t xml:space="preserve"> due to efficiency</w:t>
      </w:r>
      <w:r w:rsidRPr="0034214B">
        <w:rPr>
          <w:sz w:val="24"/>
          <w:szCs w:val="24"/>
        </w:rPr>
        <w:t xml:space="preserve">, </w:t>
      </w:r>
      <w:r>
        <w:rPr>
          <w:sz w:val="24"/>
          <w:szCs w:val="24"/>
        </w:rPr>
        <w:t xml:space="preserve">their aggregated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Pr>
          <w:rFonts w:eastAsiaTheme="minorEastAsia"/>
          <w:sz w:val="24"/>
          <w:szCs w:val="24"/>
        </w:rPr>
        <w:t>s should be adequate to compare</w:t>
      </w:r>
      <w:r w:rsidR="00241D38">
        <w:rPr>
          <w:rFonts w:eastAsiaTheme="minorEastAsia"/>
          <w:sz w:val="24"/>
          <w:szCs w:val="24"/>
        </w:rPr>
        <w:t xml:space="preserve"> and conclude</w:t>
      </w:r>
      <w:r>
        <w:rPr>
          <w:rFonts w:eastAsiaTheme="minorEastAsia"/>
          <w:sz w:val="24"/>
          <w:szCs w:val="24"/>
        </w:rPr>
        <w:t xml:space="preserve"> the differences between the definitions of non-intact families.</w:t>
      </w:r>
      <w:r w:rsidR="00D439D6">
        <w:rPr>
          <w:rFonts w:eastAsiaTheme="minorEastAsia"/>
          <w:sz w:val="24"/>
          <w:szCs w:val="24"/>
        </w:rPr>
        <w:t xml:space="preserve"> Table </w:t>
      </w:r>
      <w:r w:rsidR="00633825">
        <w:rPr>
          <w:rFonts w:eastAsiaTheme="minorEastAsia"/>
          <w:sz w:val="24"/>
          <w:szCs w:val="24"/>
        </w:rPr>
        <w:t>14</w:t>
      </w:r>
      <w:r w:rsidR="00D439D6">
        <w:rPr>
          <w:rFonts w:eastAsiaTheme="minorEastAsia"/>
          <w:sz w:val="24"/>
          <w:szCs w:val="24"/>
        </w:rPr>
        <w:t xml:space="preserve">. summarizes the </w:t>
      </w:r>
      <w:r w:rsidR="00E74D19">
        <w:rPr>
          <w:rFonts w:eastAsiaTheme="minorEastAsia"/>
          <w:sz w:val="24"/>
          <w:szCs w:val="24"/>
        </w:rPr>
        <w:t>comparable metrics defined in Table 12.</w:t>
      </w:r>
      <w:r w:rsidR="00D439D6">
        <w:rPr>
          <w:rFonts w:eastAsiaTheme="minorEastAsia"/>
          <w:sz w:val="24"/>
          <w:szCs w:val="24"/>
        </w:rPr>
        <w:t xml:space="preserve">, where the same thoughts can be formed as in the group-time estimations for the full set, considering that </w:t>
      </w:r>
      <w:r w:rsidR="00EB5201">
        <w:rPr>
          <w:rFonts w:eastAsiaTheme="minorEastAsia"/>
          <w:sz w:val="24"/>
          <w:szCs w:val="24"/>
        </w:rPr>
        <w:t>separation affects more those children who are only separated from one of the biological parents</w:t>
      </w:r>
      <w:r w:rsidR="00EF3731">
        <w:rPr>
          <w:rFonts w:eastAsiaTheme="minorEastAsia"/>
          <w:sz w:val="24"/>
          <w:szCs w:val="24"/>
        </w:rPr>
        <w:t xml:space="preserve"> (effect more than doubles for the full model)</w:t>
      </w:r>
      <w:r w:rsidR="00D439D6">
        <w:rPr>
          <w:rFonts w:eastAsiaTheme="minorEastAsia"/>
          <w:sz w:val="24"/>
          <w:szCs w:val="24"/>
        </w:rPr>
        <w:t xml:space="preserve">. </w:t>
      </w:r>
      <w:r w:rsidR="0044061C">
        <w:rPr>
          <w:rFonts w:eastAsiaTheme="minorEastAsia"/>
          <w:sz w:val="24"/>
          <w:szCs w:val="24"/>
        </w:rPr>
        <w:t xml:space="preserve">As far as the hypothesis testing of PTA is concerned, these results are </w:t>
      </w:r>
      <w:r w:rsidR="00AC48C0">
        <w:rPr>
          <w:rFonts w:eastAsiaTheme="minorEastAsia"/>
          <w:sz w:val="24"/>
          <w:szCs w:val="24"/>
        </w:rPr>
        <w:t xml:space="preserve">less </w:t>
      </w:r>
      <w:r w:rsidR="0044061C">
        <w:rPr>
          <w:rFonts w:eastAsiaTheme="minorEastAsia"/>
          <w:sz w:val="24"/>
          <w:szCs w:val="24"/>
        </w:rPr>
        <w:t xml:space="preserve">significant than their </w:t>
      </w:r>
      <w:r w:rsidR="000A7C88">
        <w:rPr>
          <w:rFonts w:eastAsiaTheme="minorEastAsia"/>
          <w:sz w:val="24"/>
          <w:szCs w:val="24"/>
        </w:rPr>
        <w:t>comparable coefficients</w:t>
      </w:r>
      <w:r w:rsidR="0044061C">
        <w:rPr>
          <w:rFonts w:eastAsiaTheme="minorEastAsia"/>
          <w:sz w:val="24"/>
          <w:szCs w:val="24"/>
        </w:rPr>
        <w:t xml:space="preserve"> in the upper-bound case</w:t>
      </w:r>
      <w:r w:rsidR="00AC48C0">
        <w:rPr>
          <w:rFonts w:eastAsiaTheme="minorEastAsia"/>
          <w:sz w:val="24"/>
          <w:szCs w:val="24"/>
        </w:rPr>
        <w:t>, because</w:t>
      </w:r>
      <w:r w:rsidR="00D14832">
        <w:rPr>
          <w:rFonts w:eastAsiaTheme="minorEastAsia"/>
          <w:sz w:val="24"/>
          <w:szCs w:val="24"/>
        </w:rPr>
        <w:t>,</w:t>
      </w:r>
      <w:r w:rsidR="00AC48C0">
        <w:rPr>
          <w:rFonts w:eastAsiaTheme="minorEastAsia"/>
          <w:sz w:val="24"/>
          <w:szCs w:val="24"/>
        </w:rPr>
        <w:t xml:space="preserve"> in the last two models, the identical trend in the pre-treatment period can be rejected at the 5% level</w:t>
      </w:r>
      <w:r w:rsidR="0044061C">
        <w:rPr>
          <w:rFonts w:eastAsiaTheme="minorEastAsia"/>
          <w:sz w:val="24"/>
          <w:szCs w:val="24"/>
        </w:rPr>
        <w:t xml:space="preserve">. </w:t>
      </w:r>
    </w:p>
    <w:p w14:paraId="721AE970" w14:textId="14F84E6B" w:rsidR="00EE65E4" w:rsidRDefault="00281598" w:rsidP="009171B6">
      <w:pPr>
        <w:spacing w:line="360" w:lineRule="auto"/>
        <w:ind w:firstLine="397"/>
        <w:jc w:val="both"/>
        <w:rPr>
          <w:rFonts w:eastAsiaTheme="minorEastAsia"/>
          <w:sz w:val="24"/>
          <w:szCs w:val="24"/>
        </w:rPr>
      </w:pPr>
      <w:r>
        <w:rPr>
          <w:noProof/>
        </w:rPr>
        <w:drawing>
          <wp:anchor distT="0" distB="0" distL="114300" distR="114300" simplePos="0" relativeHeight="251819008" behindDoc="0" locked="0" layoutInCell="1" allowOverlap="1" wp14:anchorId="6A1EF15D" wp14:editId="3AFF0F71">
            <wp:simplePos x="0" y="0"/>
            <wp:positionH relativeFrom="margin">
              <wp:align>center</wp:align>
            </wp:positionH>
            <wp:positionV relativeFrom="paragraph">
              <wp:posOffset>224155</wp:posOffset>
            </wp:positionV>
            <wp:extent cx="3426460" cy="1791335"/>
            <wp:effectExtent l="0" t="0" r="254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26460" cy="1791335"/>
                    </a:xfrm>
                    <a:prstGeom prst="rect">
                      <a:avLst/>
                    </a:prstGeom>
                  </pic:spPr>
                </pic:pic>
              </a:graphicData>
            </a:graphic>
            <wp14:sizeRelH relativeFrom="margin">
              <wp14:pctWidth>0</wp14:pctWidth>
            </wp14:sizeRelH>
            <wp14:sizeRelV relativeFrom="margin">
              <wp14:pctHeight>0</wp14:pctHeight>
            </wp14:sizeRelV>
          </wp:anchor>
        </w:drawing>
      </w:r>
    </w:p>
    <w:p w14:paraId="4E508904" w14:textId="72C3D416" w:rsidR="009171B6" w:rsidRPr="009171B6" w:rsidRDefault="009171B6" w:rsidP="003D6C5B">
      <w:pPr>
        <w:spacing w:line="360" w:lineRule="auto"/>
        <w:jc w:val="both"/>
        <w:rPr>
          <w:rFonts w:eastAsiaTheme="minorEastAsia"/>
          <w:sz w:val="24"/>
          <w:szCs w:val="24"/>
        </w:rPr>
      </w:pPr>
    </w:p>
    <w:p w14:paraId="280EA83B" w14:textId="16C32D41" w:rsidR="002779DD" w:rsidRPr="00022959" w:rsidRDefault="00C930E4" w:rsidP="003D6C5B">
      <w:pPr>
        <w:pStyle w:val="Heading3"/>
        <w:jc w:val="center"/>
      </w:pPr>
      <w:bookmarkStart w:id="40" w:name="_Toc64591282"/>
      <w:r>
        <w:t xml:space="preserve">4.2.3. </w:t>
      </w:r>
      <w:r w:rsidR="003D6C5B">
        <w:t>Additional Results</w:t>
      </w:r>
      <w:bookmarkEnd w:id="40"/>
    </w:p>
    <w:p w14:paraId="3F2A914E" w14:textId="129537C7" w:rsidR="00881333" w:rsidRDefault="00A94ED7" w:rsidP="00881333">
      <w:pPr>
        <w:spacing w:line="360" w:lineRule="auto"/>
        <w:ind w:firstLine="397"/>
        <w:jc w:val="both"/>
        <w:rPr>
          <w:rFonts w:eastAsiaTheme="minorEastAsia"/>
          <w:sz w:val="24"/>
          <w:szCs w:val="24"/>
        </w:rPr>
      </w:pPr>
      <w:r w:rsidRPr="00A94ED7">
        <w:rPr>
          <w:sz w:val="24"/>
          <w:szCs w:val="24"/>
        </w:rPr>
        <w:t xml:space="preserve">For additional results, let us estimate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Pr="00A94ED7">
        <w:rPr>
          <w:rFonts w:eastAsiaTheme="minorEastAsia"/>
          <w:sz w:val="24"/>
          <w:szCs w:val="24"/>
        </w:rPr>
        <w:t>s for the math grades of the underlying cohort. The reason why I chose math grades particular</w:t>
      </w:r>
      <w:r w:rsidR="00241D38">
        <w:rPr>
          <w:rFonts w:eastAsiaTheme="minorEastAsia"/>
          <w:sz w:val="24"/>
          <w:szCs w:val="24"/>
        </w:rPr>
        <w:t>l</w:t>
      </w:r>
      <w:r w:rsidRPr="00A94ED7">
        <w:rPr>
          <w:rFonts w:eastAsiaTheme="minorEastAsia"/>
          <w:sz w:val="24"/>
          <w:szCs w:val="24"/>
        </w:rPr>
        <w:t>y, can be attribute</w:t>
      </w:r>
      <w:r w:rsidR="00241D38">
        <w:rPr>
          <w:rFonts w:eastAsiaTheme="minorEastAsia"/>
          <w:sz w:val="24"/>
          <w:szCs w:val="24"/>
        </w:rPr>
        <w:t>d</w:t>
      </w:r>
      <w:r w:rsidRPr="00A94ED7">
        <w:rPr>
          <w:rFonts w:eastAsiaTheme="minorEastAsia"/>
          <w:sz w:val="24"/>
          <w:szCs w:val="24"/>
        </w:rPr>
        <w:t xml:space="preserve"> to the fact that math is considered one of the most demanding subjects as it need</w:t>
      </w:r>
      <w:r w:rsidR="00241D38">
        <w:rPr>
          <w:rFonts w:eastAsiaTheme="minorEastAsia"/>
          <w:sz w:val="24"/>
          <w:szCs w:val="24"/>
        </w:rPr>
        <w:t>s</w:t>
      </w:r>
      <w:r w:rsidRPr="00A94ED7">
        <w:rPr>
          <w:rFonts w:eastAsiaTheme="minorEastAsia"/>
          <w:sz w:val="24"/>
          <w:szCs w:val="24"/>
        </w:rPr>
        <w:t xml:space="preserve"> a lot of effort and practice to understand the logic behind it. Also, it is an objective subject so there is not much room to rely on other skills other than calculus. Not many student</w:t>
      </w:r>
      <w:r w:rsidR="00241D38">
        <w:rPr>
          <w:rFonts w:eastAsiaTheme="minorEastAsia"/>
          <w:sz w:val="24"/>
          <w:szCs w:val="24"/>
        </w:rPr>
        <w:t>s</w:t>
      </w:r>
      <w:r w:rsidRPr="00A94ED7">
        <w:rPr>
          <w:rFonts w:eastAsiaTheme="minorEastAsia"/>
          <w:sz w:val="24"/>
          <w:szCs w:val="24"/>
        </w:rPr>
        <w:t xml:space="preserve"> have an analytical mindset, therefore we expect that the grades are the most volatile among all other subjects</w:t>
      </w:r>
      <w:r w:rsidR="005A0458" w:rsidRPr="005A0458">
        <w:rPr>
          <w:rFonts w:eastAsiaTheme="minorEastAsia"/>
          <w:sz w:val="24"/>
          <w:szCs w:val="24"/>
        </w:rPr>
        <w:t xml:space="preserve"> </w:t>
      </w:r>
      <w:r w:rsidR="005A0458">
        <w:rPr>
          <w:rFonts w:eastAsiaTheme="minorEastAsia"/>
          <w:sz w:val="24"/>
          <w:szCs w:val="24"/>
        </w:rPr>
        <w:t>due to their sensitivity to social status-related factors</w:t>
      </w:r>
      <w:r w:rsidRPr="00A94ED7">
        <w:rPr>
          <w:rFonts w:eastAsiaTheme="minorEastAsia"/>
          <w:sz w:val="24"/>
          <w:szCs w:val="24"/>
        </w:rPr>
        <w:t>.</w:t>
      </w:r>
      <w:r w:rsidR="000374CA">
        <w:rPr>
          <w:rFonts w:eastAsiaTheme="minorEastAsia"/>
          <w:sz w:val="24"/>
          <w:szCs w:val="24"/>
        </w:rPr>
        <w:t xml:space="preserve"> For th</w:t>
      </w:r>
      <w:r w:rsidR="00241D38">
        <w:rPr>
          <w:rFonts w:eastAsiaTheme="minorEastAsia"/>
          <w:sz w:val="24"/>
          <w:szCs w:val="24"/>
        </w:rPr>
        <w:t>is</w:t>
      </w:r>
      <w:r w:rsidR="000374CA">
        <w:rPr>
          <w:rFonts w:eastAsiaTheme="minorEastAsia"/>
          <w:sz w:val="24"/>
          <w:szCs w:val="24"/>
        </w:rPr>
        <w:t xml:space="preserve"> purpose</w:t>
      </w:r>
      <w:r w:rsidR="00241D38">
        <w:rPr>
          <w:rFonts w:eastAsiaTheme="minorEastAsia"/>
          <w:sz w:val="24"/>
          <w:szCs w:val="24"/>
        </w:rPr>
        <w:t>,</w:t>
      </w:r>
      <w:r w:rsidR="000374CA">
        <w:rPr>
          <w:rFonts w:eastAsiaTheme="minorEastAsia"/>
          <w:sz w:val="24"/>
          <w:szCs w:val="24"/>
        </w:rPr>
        <w:t xml:space="preserve"> I will denote non-intact families according to the </w:t>
      </w:r>
      <w:r w:rsidR="001C27F7">
        <w:rPr>
          <w:rFonts w:eastAsiaTheme="minorEastAsia"/>
          <w:sz w:val="24"/>
          <w:szCs w:val="24"/>
        </w:rPr>
        <w:t>upper</w:t>
      </w:r>
      <w:r w:rsidR="000374CA">
        <w:rPr>
          <w:rFonts w:eastAsiaTheme="minorEastAsia"/>
          <w:sz w:val="24"/>
          <w:szCs w:val="24"/>
        </w:rPr>
        <w:t xml:space="preserve">-bound approach, due to its statistical power in terms of PTA. </w:t>
      </w:r>
      <w:r w:rsidR="00DE30E4">
        <w:rPr>
          <w:sz w:val="24"/>
          <w:szCs w:val="24"/>
        </w:rPr>
        <w:t xml:space="preserve">Table 15. elaborates on the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DE30E4" w:rsidRPr="00A94ED7">
        <w:rPr>
          <w:rFonts w:eastAsiaTheme="minorEastAsia"/>
          <w:sz w:val="24"/>
          <w:szCs w:val="24"/>
        </w:rPr>
        <w:t>s</w:t>
      </w:r>
      <w:r w:rsidR="00DE30E4">
        <w:rPr>
          <w:rFonts w:eastAsiaTheme="minorEastAsia"/>
          <w:sz w:val="24"/>
          <w:szCs w:val="24"/>
        </w:rPr>
        <w:t xml:space="preserve">, from what we can derive that the aggregated </w:t>
      </w:r>
      <m:oMath>
        <m:r>
          <w:rPr>
            <w:rFonts w:ascii="Cambria Math" w:eastAsiaTheme="minorEastAsia" w:hAnsi="Cambria Math"/>
            <w:sz w:val="24"/>
            <w:szCs w:val="24"/>
          </w:rPr>
          <m:t>ATT</m:t>
        </m:r>
        <m:d>
          <m:dPr>
            <m:ctrlPr>
              <w:rPr>
                <w:rFonts w:ascii="Cambria Math" w:eastAsiaTheme="minorEastAsia" w:hAnsi="Cambria Math"/>
                <w:i/>
                <w:sz w:val="24"/>
                <w:szCs w:val="24"/>
              </w:rPr>
            </m:ctrlPr>
          </m:dPr>
          <m:e>
            <m:r>
              <w:rPr>
                <w:rFonts w:ascii="Cambria Math" w:eastAsiaTheme="minorEastAsia" w:hAnsi="Cambria Math"/>
                <w:sz w:val="24"/>
                <w:szCs w:val="24"/>
              </w:rPr>
              <m:t>g,t</m:t>
            </m:r>
          </m:e>
        </m:d>
      </m:oMath>
      <w:r w:rsidR="00DE30E4" w:rsidRPr="00A94ED7">
        <w:rPr>
          <w:rFonts w:eastAsiaTheme="minorEastAsia"/>
          <w:sz w:val="24"/>
          <w:szCs w:val="24"/>
        </w:rPr>
        <w:t>s</w:t>
      </w:r>
      <w:r w:rsidR="00DE30E4">
        <w:rPr>
          <w:rFonts w:eastAsiaTheme="minorEastAsia"/>
          <w:sz w:val="24"/>
          <w:szCs w:val="24"/>
        </w:rPr>
        <w:t xml:space="preserve"> are indeed substantially more volatile than it was on the GPA as both negative and positive group-time effects on math grades are more expressed.</w:t>
      </w:r>
      <w:r w:rsidR="004362B3">
        <w:rPr>
          <w:rFonts w:eastAsiaTheme="minorEastAsia"/>
          <w:sz w:val="24"/>
          <w:szCs w:val="24"/>
        </w:rPr>
        <w:t xml:space="preserve"> </w:t>
      </w:r>
      <w:r w:rsidR="00A87E86">
        <w:rPr>
          <w:rFonts w:eastAsiaTheme="minorEastAsia"/>
          <w:sz w:val="24"/>
          <w:szCs w:val="24"/>
        </w:rPr>
        <w:t xml:space="preserve">Comparing the PTA statistics with the previous residential mobility models, we can conclude that we can achieve the more robust </w:t>
      </w:r>
      <w:r w:rsidR="00A87E86">
        <w:rPr>
          <w:rFonts w:eastAsiaTheme="minorEastAsia"/>
          <w:sz w:val="24"/>
          <w:szCs w:val="24"/>
        </w:rPr>
        <w:lastRenderedPageBreak/>
        <w:t>estimates when replacing GPA with math grades</w:t>
      </w:r>
      <w:r w:rsidR="004D0754">
        <w:rPr>
          <w:rFonts w:eastAsiaTheme="minorEastAsia"/>
          <w:sz w:val="24"/>
          <w:szCs w:val="24"/>
        </w:rPr>
        <w:t xml:space="preserve"> (p &gt; 0.079)</w:t>
      </w:r>
      <w:r w:rsidR="0056308D">
        <w:rPr>
          <w:rFonts w:eastAsiaTheme="minorEastAsia"/>
          <w:sz w:val="24"/>
          <w:szCs w:val="24"/>
        </w:rPr>
        <w:t xml:space="preserve">, which is intuitive since GPA is an aggregated </w:t>
      </w:r>
      <w:r w:rsidR="004D0754">
        <w:rPr>
          <w:noProof/>
        </w:rPr>
        <w:drawing>
          <wp:anchor distT="0" distB="0" distL="114300" distR="114300" simplePos="0" relativeHeight="251820032" behindDoc="0" locked="0" layoutInCell="1" allowOverlap="1" wp14:anchorId="2EC7D94C" wp14:editId="54D6A219">
            <wp:simplePos x="0" y="0"/>
            <wp:positionH relativeFrom="margin">
              <wp:align>center</wp:align>
            </wp:positionH>
            <wp:positionV relativeFrom="paragraph">
              <wp:posOffset>755180</wp:posOffset>
            </wp:positionV>
            <wp:extent cx="4174490" cy="256032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174490" cy="2560320"/>
                    </a:xfrm>
                    <a:prstGeom prst="rect">
                      <a:avLst/>
                    </a:prstGeom>
                  </pic:spPr>
                </pic:pic>
              </a:graphicData>
            </a:graphic>
            <wp14:sizeRelH relativeFrom="margin">
              <wp14:pctWidth>0</wp14:pctWidth>
            </wp14:sizeRelH>
            <wp14:sizeRelV relativeFrom="margin">
              <wp14:pctHeight>0</wp14:pctHeight>
            </wp14:sizeRelV>
          </wp:anchor>
        </w:drawing>
      </w:r>
      <w:r w:rsidR="0056308D">
        <w:rPr>
          <w:rFonts w:eastAsiaTheme="minorEastAsia"/>
          <w:sz w:val="24"/>
          <w:szCs w:val="24"/>
        </w:rPr>
        <w:t>outcome variable summarizing different subjects in terms of sensitivity.</w:t>
      </w:r>
    </w:p>
    <w:p w14:paraId="07255BAF" w14:textId="5B9D3694" w:rsidR="00DE30E4" w:rsidRDefault="00DE30E4" w:rsidP="00881333">
      <w:pPr>
        <w:spacing w:line="360" w:lineRule="auto"/>
        <w:ind w:firstLine="397"/>
        <w:jc w:val="both"/>
        <w:rPr>
          <w:rFonts w:eastAsiaTheme="minorEastAsia"/>
          <w:sz w:val="24"/>
          <w:szCs w:val="24"/>
        </w:rPr>
      </w:pPr>
    </w:p>
    <w:p w14:paraId="5401ADA0" w14:textId="46140258" w:rsidR="006F2F0E" w:rsidRDefault="00A87E86" w:rsidP="004D0754">
      <w:pPr>
        <w:spacing w:line="360" w:lineRule="auto"/>
        <w:ind w:firstLine="397"/>
        <w:jc w:val="both"/>
        <w:rPr>
          <w:rFonts w:eastAsiaTheme="minorEastAsia"/>
          <w:sz w:val="24"/>
          <w:szCs w:val="24"/>
        </w:rPr>
      </w:pPr>
      <w:r>
        <w:rPr>
          <w:noProof/>
        </w:rPr>
        <mc:AlternateContent>
          <mc:Choice Requires="wps">
            <w:drawing>
              <wp:anchor distT="0" distB="0" distL="114300" distR="114300" simplePos="0" relativeHeight="251788288" behindDoc="0" locked="0" layoutInCell="1" allowOverlap="1" wp14:anchorId="50FB64FA" wp14:editId="65CE8CCC">
                <wp:simplePos x="0" y="0"/>
                <wp:positionH relativeFrom="margin">
                  <wp:align>center</wp:align>
                </wp:positionH>
                <wp:positionV relativeFrom="paragraph">
                  <wp:posOffset>4594860</wp:posOffset>
                </wp:positionV>
                <wp:extent cx="349186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491865" cy="635"/>
                        </a:xfrm>
                        <a:prstGeom prst="rect">
                          <a:avLst/>
                        </a:prstGeom>
                        <a:solidFill>
                          <a:prstClr val="white"/>
                        </a:solidFill>
                        <a:ln>
                          <a:noFill/>
                        </a:ln>
                      </wps:spPr>
                      <wps:txbx>
                        <w:txbxContent>
                          <w:p w14:paraId="6562497E" w14:textId="48495690" w:rsidR="004E5911" w:rsidRPr="00335402" w:rsidRDefault="004E5911" w:rsidP="00015D81">
                            <w:pPr>
                              <w:pStyle w:val="Caption"/>
                              <w:rPr>
                                <w:noProof/>
                                <w:color w:val="auto"/>
                                <w:sz w:val="20"/>
                                <w:szCs w:val="20"/>
                              </w:rPr>
                            </w:pPr>
                            <w:r w:rsidRPr="00335402">
                              <w:rPr>
                                <w:color w:val="auto"/>
                                <w:sz w:val="20"/>
                                <w:szCs w:val="20"/>
                              </w:rPr>
                              <w:t xml:space="preserve">Figure 9. Event study of parental separation’s lower-bound impact on </w:t>
                            </w:r>
                            <w:r>
                              <w:rPr>
                                <w:color w:val="auto"/>
                                <w:sz w:val="20"/>
                                <w:szCs w:val="20"/>
                              </w:rPr>
                              <w:t>Math Grade</w:t>
                            </w:r>
                            <w:r w:rsidRPr="00335402">
                              <w:rPr>
                                <w:color w:val="auto"/>
                                <w:sz w:val="20"/>
                                <w:szCs w:val="20"/>
                              </w:rPr>
                              <w:t xml:space="preserve"> when conditioning on Student, Home, School, SES, PSI, and Residential Mobility covariates.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B64FA" id="Text Box 26" o:spid="_x0000_s1035" type="#_x0000_t202" style="position:absolute;left:0;text-align:left;margin-left:0;margin-top:361.8pt;width:274.95pt;height:.05pt;z-index:251788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CdMAIAAGYEAAAOAAAAZHJzL2Uyb0RvYy54bWysVMFu2zAMvQ/YPwi6L07SNW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" stroked="f">
                <v:textbox style="mso-fit-shape-to-text:t" inset="0,0,0,0">
                  <w:txbxContent>
                    <w:p w14:paraId="6562497E" w14:textId="48495690" w:rsidR="004E5911" w:rsidRPr="00335402" w:rsidRDefault="004E5911" w:rsidP="00015D81">
                      <w:pPr>
                        <w:pStyle w:val="Caption"/>
                        <w:rPr>
                          <w:noProof/>
                          <w:color w:val="auto"/>
                          <w:sz w:val="20"/>
                          <w:szCs w:val="20"/>
                        </w:rPr>
                      </w:pPr>
                      <w:r w:rsidRPr="00335402">
                        <w:rPr>
                          <w:color w:val="auto"/>
                          <w:sz w:val="20"/>
                          <w:szCs w:val="20"/>
                        </w:rPr>
                        <w:t xml:space="preserve">Figure 9. Event study of parental separation’s lower-bound impact on </w:t>
                      </w:r>
                      <w:r>
                        <w:rPr>
                          <w:color w:val="auto"/>
                          <w:sz w:val="20"/>
                          <w:szCs w:val="20"/>
                        </w:rPr>
                        <w:t>Math Grade</w:t>
                      </w:r>
                      <w:r w:rsidRPr="00335402">
                        <w:rPr>
                          <w:color w:val="auto"/>
                          <w:sz w:val="20"/>
                          <w:szCs w:val="20"/>
                        </w:rPr>
                        <w:t xml:space="preserve"> when conditioning on Student, Home, School, SES, PSI, and Residential Mobility covariates.</w:t>
                      </w:r>
                    </w:p>
                  </w:txbxContent>
                </v:textbox>
                <w10:wrap type="topAndBottom" anchorx="margin"/>
              </v:shape>
            </w:pict>
          </mc:Fallback>
        </mc:AlternateContent>
      </w:r>
      <w:r>
        <w:rPr>
          <w:rFonts w:eastAsiaTheme="minorEastAsia"/>
          <w:noProof/>
          <w:sz w:val="24"/>
          <w:szCs w:val="24"/>
        </w:rPr>
        <w:drawing>
          <wp:anchor distT="0" distB="0" distL="114300" distR="114300" simplePos="0" relativeHeight="251821056" behindDoc="0" locked="0" layoutInCell="1" allowOverlap="1" wp14:anchorId="1DBC5DE7" wp14:editId="4C1EF655">
            <wp:simplePos x="0" y="0"/>
            <wp:positionH relativeFrom="margin">
              <wp:align>center</wp:align>
            </wp:positionH>
            <wp:positionV relativeFrom="paragraph">
              <wp:posOffset>1835730</wp:posOffset>
            </wp:positionV>
            <wp:extent cx="3005455" cy="2669540"/>
            <wp:effectExtent l="0" t="0" r="4445" b="0"/>
            <wp:wrapTopAndBottom/>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005455" cy="2669540"/>
                    </a:xfrm>
                    <a:prstGeom prst="rect">
                      <a:avLst/>
                    </a:prstGeom>
                  </pic:spPr>
                </pic:pic>
              </a:graphicData>
            </a:graphic>
            <wp14:sizeRelH relativeFrom="margin">
              <wp14:pctWidth>0</wp14:pctWidth>
            </wp14:sizeRelH>
            <wp14:sizeRelV relativeFrom="margin">
              <wp14:pctHeight>0</wp14:pctHeight>
            </wp14:sizeRelV>
          </wp:anchor>
        </w:drawing>
      </w:r>
      <w:r w:rsidR="00E57F82">
        <w:rPr>
          <w:rFonts w:eastAsiaTheme="minorEastAsia"/>
          <w:sz w:val="24"/>
          <w:szCs w:val="24"/>
        </w:rPr>
        <w:t xml:space="preserve">As for the dynamic aggregated effects, the pre-treatment periods have similar negative effects on the students, although the relief from the household conflict (referred to as a hump) is </w:t>
      </w:r>
      <w:r w:rsidR="00EF3731">
        <w:rPr>
          <w:rFonts w:eastAsiaTheme="minorEastAsia"/>
          <w:sz w:val="24"/>
          <w:szCs w:val="24"/>
        </w:rPr>
        <w:t xml:space="preserve">hardly </w:t>
      </w:r>
      <w:r>
        <w:rPr>
          <w:rFonts w:eastAsiaTheme="minorEastAsia"/>
          <w:sz w:val="24"/>
          <w:szCs w:val="24"/>
        </w:rPr>
        <w:t>noticeable</w:t>
      </w:r>
      <w:r w:rsidR="00E57F82">
        <w:rPr>
          <w:rFonts w:eastAsiaTheme="minorEastAsia"/>
          <w:sz w:val="24"/>
          <w:szCs w:val="24"/>
        </w:rPr>
        <w:t xml:space="preserve"> on the graph implying that within one year of the separation, they are still performing below par due to the absence of a parent.</w:t>
      </w:r>
      <w:r w:rsidR="004A5D7E">
        <w:rPr>
          <w:rFonts w:eastAsiaTheme="minorEastAsia"/>
          <w:sz w:val="24"/>
          <w:szCs w:val="24"/>
        </w:rPr>
        <w:t xml:space="preserve"> </w:t>
      </w:r>
      <w:r w:rsidR="000A4093">
        <w:rPr>
          <w:rFonts w:eastAsiaTheme="minorEastAsia"/>
          <w:sz w:val="24"/>
          <w:szCs w:val="24"/>
        </w:rPr>
        <w:t xml:space="preserve">Also, </w:t>
      </w:r>
      <w:r w:rsidR="004A5D7E">
        <w:rPr>
          <w:rFonts w:eastAsiaTheme="minorEastAsia"/>
          <w:sz w:val="24"/>
          <w:szCs w:val="24"/>
        </w:rPr>
        <w:t>there is a slower adjustment to the situation,</w:t>
      </w:r>
      <w:r w:rsidR="000A4093">
        <w:rPr>
          <w:rFonts w:eastAsiaTheme="minorEastAsia"/>
          <w:sz w:val="24"/>
          <w:szCs w:val="24"/>
        </w:rPr>
        <w:t xml:space="preserve"> </w:t>
      </w:r>
      <w:r>
        <w:rPr>
          <w:rFonts w:eastAsiaTheme="minorEastAsia"/>
          <w:sz w:val="24"/>
          <w:szCs w:val="24"/>
        </w:rPr>
        <w:t>and</w:t>
      </w:r>
      <w:r w:rsidR="00E57F82">
        <w:rPr>
          <w:rFonts w:eastAsiaTheme="minorEastAsia"/>
          <w:sz w:val="24"/>
          <w:szCs w:val="24"/>
        </w:rPr>
        <w:t xml:space="preserve"> </w:t>
      </w:r>
      <w:r>
        <w:rPr>
          <w:rFonts w:eastAsiaTheme="minorEastAsia"/>
          <w:sz w:val="24"/>
          <w:szCs w:val="24"/>
        </w:rPr>
        <w:t xml:space="preserve">we can observe a recovery effect unlike in the case of GPA where there was a negative trend in both post-treatment periods </w:t>
      </w:r>
      <w:r>
        <w:rPr>
          <w:rFonts w:eastAsiaTheme="minorEastAsia"/>
          <w:sz w:val="24"/>
          <w:szCs w:val="24"/>
        </w:rPr>
        <w:t>(Figure 9.)</w:t>
      </w:r>
      <w:r>
        <w:rPr>
          <w:rFonts w:eastAsiaTheme="minorEastAsia"/>
          <w:sz w:val="24"/>
          <w:szCs w:val="24"/>
        </w:rPr>
        <w:t>.</w:t>
      </w:r>
    </w:p>
    <w:p w14:paraId="5B422D1B" w14:textId="73566B39" w:rsidR="00BC337D" w:rsidRDefault="00A87E86" w:rsidP="00BC337D">
      <w:pPr>
        <w:spacing w:line="360" w:lineRule="auto"/>
        <w:ind w:firstLine="397"/>
        <w:jc w:val="both"/>
        <w:rPr>
          <w:rFonts w:eastAsiaTheme="minorEastAsia"/>
          <w:sz w:val="24"/>
          <w:szCs w:val="24"/>
        </w:rPr>
      </w:pPr>
      <w:r>
        <w:rPr>
          <w:noProof/>
        </w:rPr>
        <w:lastRenderedPageBreak/>
        <w:drawing>
          <wp:anchor distT="0" distB="0" distL="114300" distR="114300" simplePos="0" relativeHeight="251822080" behindDoc="0" locked="0" layoutInCell="1" allowOverlap="1" wp14:anchorId="5C6E2818" wp14:editId="27B00BDE">
            <wp:simplePos x="0" y="0"/>
            <wp:positionH relativeFrom="margin">
              <wp:posOffset>775335</wp:posOffset>
            </wp:positionH>
            <wp:positionV relativeFrom="paragraph">
              <wp:posOffset>1865823</wp:posOffset>
            </wp:positionV>
            <wp:extent cx="4204970" cy="1613535"/>
            <wp:effectExtent l="0" t="0" r="5080" b="5715"/>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04970" cy="1613535"/>
                    </a:xfrm>
                    <a:prstGeom prst="rect">
                      <a:avLst/>
                    </a:prstGeom>
                  </pic:spPr>
                </pic:pic>
              </a:graphicData>
            </a:graphic>
            <wp14:sizeRelH relativeFrom="margin">
              <wp14:pctWidth>0</wp14:pctWidth>
            </wp14:sizeRelH>
            <wp14:sizeRelV relativeFrom="margin">
              <wp14:pctHeight>0</wp14:pctHeight>
            </wp14:sizeRelV>
          </wp:anchor>
        </w:drawing>
      </w:r>
      <w:r w:rsidR="00DE30E4">
        <w:rPr>
          <w:rFonts w:eastAsiaTheme="minorEastAsia"/>
          <w:sz w:val="24"/>
          <w:szCs w:val="24"/>
        </w:rPr>
        <w:t xml:space="preserve">Table 15. below summarizes </w:t>
      </w:r>
      <w:r w:rsidR="001736FC">
        <w:rPr>
          <w:rFonts w:eastAsiaTheme="minorEastAsia"/>
          <w:sz w:val="24"/>
          <w:szCs w:val="24"/>
        </w:rPr>
        <w:t xml:space="preserve">the main three </w:t>
      </w:r>
      <w:r w:rsidR="00DE30E4">
        <w:rPr>
          <w:rFonts w:eastAsiaTheme="minorEastAsia"/>
          <w:sz w:val="24"/>
          <w:szCs w:val="24"/>
        </w:rPr>
        <w:t>attributes for each specification,</w:t>
      </w:r>
      <w:r w:rsidR="00A729C0">
        <w:rPr>
          <w:rFonts w:eastAsiaTheme="minorEastAsia"/>
          <w:sz w:val="24"/>
          <w:szCs w:val="24"/>
        </w:rPr>
        <w:t xml:space="preserve"> </w:t>
      </w:r>
      <w:r w:rsidR="001931B7">
        <w:rPr>
          <w:rFonts w:eastAsiaTheme="minorEastAsia"/>
          <w:sz w:val="24"/>
          <w:szCs w:val="24"/>
        </w:rPr>
        <w:t>w</w:t>
      </w:r>
      <w:r w:rsidR="00D14832">
        <w:rPr>
          <w:rFonts w:eastAsiaTheme="minorEastAsia"/>
          <w:sz w:val="24"/>
          <w:szCs w:val="24"/>
        </w:rPr>
        <w:t>h</w:t>
      </w:r>
      <w:r w:rsidR="001931B7">
        <w:rPr>
          <w:rFonts w:eastAsiaTheme="minorEastAsia"/>
          <w:sz w:val="24"/>
          <w:szCs w:val="24"/>
        </w:rPr>
        <w:t>ere the p-value</w:t>
      </w:r>
      <w:r w:rsidR="00E9355C">
        <w:rPr>
          <w:rFonts w:eastAsiaTheme="minorEastAsia"/>
          <w:sz w:val="24"/>
          <w:szCs w:val="24"/>
        </w:rPr>
        <w:t>s</w:t>
      </w:r>
      <w:r w:rsidR="001931B7">
        <w:rPr>
          <w:rFonts w:eastAsiaTheme="minorEastAsia"/>
          <w:sz w:val="24"/>
          <w:szCs w:val="24"/>
        </w:rPr>
        <w:t xml:space="preserve"> does not exceed the 0.05 threshold, so even in our ultimate model</w:t>
      </w:r>
      <w:r w:rsidR="00D14832">
        <w:rPr>
          <w:rFonts w:eastAsiaTheme="minorEastAsia"/>
          <w:sz w:val="24"/>
          <w:szCs w:val="24"/>
        </w:rPr>
        <w:t>,</w:t>
      </w:r>
      <w:r w:rsidR="001931B7">
        <w:rPr>
          <w:rFonts w:eastAsiaTheme="minorEastAsia"/>
          <w:sz w:val="24"/>
          <w:szCs w:val="24"/>
        </w:rPr>
        <w:t xml:space="preserve"> there is not enough evidence to reject the conditional PTA on a 5% level</w:t>
      </w:r>
      <w:r w:rsidR="00E9355C">
        <w:rPr>
          <w:rFonts w:eastAsiaTheme="minorEastAsia"/>
          <w:sz w:val="24"/>
          <w:szCs w:val="24"/>
        </w:rPr>
        <w:t xml:space="preserve"> </w:t>
      </w:r>
      <w:r w:rsidR="004756D3">
        <w:rPr>
          <w:rFonts w:eastAsiaTheme="minorEastAsia"/>
          <w:sz w:val="24"/>
          <w:szCs w:val="24"/>
        </w:rPr>
        <w:t xml:space="preserve">indicating that </w:t>
      </w:r>
      <w:r w:rsidR="00E9355C">
        <w:rPr>
          <w:rFonts w:eastAsiaTheme="minorEastAsia"/>
          <w:sz w:val="24"/>
          <w:szCs w:val="24"/>
        </w:rPr>
        <w:t>estimations perform better than that of the GPA (both UB and LB)</w:t>
      </w:r>
      <w:r w:rsidR="001931B7">
        <w:rPr>
          <w:rFonts w:eastAsiaTheme="minorEastAsia"/>
          <w:sz w:val="24"/>
          <w:szCs w:val="24"/>
        </w:rPr>
        <w:t xml:space="preserve">. </w:t>
      </w:r>
      <w:r w:rsidR="002F1CF4">
        <w:rPr>
          <w:rFonts w:eastAsiaTheme="minorEastAsia"/>
          <w:sz w:val="24"/>
          <w:szCs w:val="24"/>
        </w:rPr>
        <w:t xml:space="preserve">Regarding the aggregated coefficient sizes, </w:t>
      </w:r>
      <w:r w:rsidR="004756D3">
        <w:rPr>
          <w:rFonts w:eastAsiaTheme="minorEastAsia"/>
          <w:sz w:val="24"/>
          <w:szCs w:val="24"/>
        </w:rPr>
        <w:t xml:space="preserve">they are significantly different from zero </w:t>
      </w:r>
      <w:r w:rsidR="002F1CF4">
        <w:rPr>
          <w:rFonts w:eastAsiaTheme="minorEastAsia"/>
          <w:sz w:val="24"/>
          <w:szCs w:val="24"/>
        </w:rPr>
        <w:t xml:space="preserve">suggesting that </w:t>
      </w:r>
      <w:r w:rsidR="00004A83">
        <w:rPr>
          <w:rFonts w:eastAsiaTheme="minorEastAsia"/>
          <w:sz w:val="24"/>
          <w:szCs w:val="24"/>
        </w:rPr>
        <w:t xml:space="preserve">math grades are </w:t>
      </w:r>
      <w:r w:rsidR="004756D3">
        <w:rPr>
          <w:rFonts w:eastAsiaTheme="minorEastAsia"/>
          <w:sz w:val="24"/>
          <w:szCs w:val="24"/>
        </w:rPr>
        <w:t>more</w:t>
      </w:r>
      <w:r w:rsidR="00004A83">
        <w:rPr>
          <w:rFonts w:eastAsiaTheme="minorEastAsia"/>
          <w:sz w:val="24"/>
          <w:szCs w:val="24"/>
        </w:rPr>
        <w:t xml:space="preserve"> affected by family disruption </w:t>
      </w:r>
      <w:r w:rsidR="004756D3">
        <w:rPr>
          <w:rFonts w:eastAsiaTheme="minorEastAsia"/>
          <w:sz w:val="24"/>
          <w:szCs w:val="24"/>
        </w:rPr>
        <w:t>compared to</w:t>
      </w:r>
      <w:r w:rsidR="002F1CF4">
        <w:rPr>
          <w:rFonts w:eastAsiaTheme="minorEastAsia"/>
          <w:sz w:val="24"/>
          <w:szCs w:val="24"/>
        </w:rPr>
        <w:t xml:space="preserve"> GPA</w:t>
      </w:r>
      <w:r w:rsidR="00004A83">
        <w:rPr>
          <w:rFonts w:eastAsiaTheme="minorEastAsia"/>
          <w:sz w:val="24"/>
          <w:szCs w:val="24"/>
        </w:rPr>
        <w:t>s</w:t>
      </w:r>
      <w:r w:rsidR="00C1559B">
        <w:rPr>
          <w:rFonts w:eastAsiaTheme="minorEastAsia"/>
          <w:sz w:val="24"/>
          <w:szCs w:val="24"/>
        </w:rPr>
        <w:t xml:space="preserve"> (-0.09 versus [-0.</w:t>
      </w:r>
      <w:r w:rsidR="001C35E6">
        <w:rPr>
          <w:rFonts w:eastAsiaTheme="minorEastAsia"/>
          <w:sz w:val="24"/>
          <w:szCs w:val="24"/>
        </w:rPr>
        <w:t>011;</w:t>
      </w:r>
      <w:r w:rsidR="00C1559B">
        <w:rPr>
          <w:rFonts w:eastAsiaTheme="minorEastAsia"/>
          <w:sz w:val="24"/>
          <w:szCs w:val="24"/>
        </w:rPr>
        <w:t xml:space="preserve"> -0.026])</w:t>
      </w:r>
      <w:r w:rsidR="002F1CF4">
        <w:rPr>
          <w:rFonts w:eastAsiaTheme="minorEastAsia"/>
          <w:sz w:val="24"/>
          <w:szCs w:val="24"/>
        </w:rPr>
        <w:t>.</w:t>
      </w:r>
      <w:r w:rsidR="00004A83">
        <w:rPr>
          <w:rFonts w:eastAsiaTheme="minorEastAsia"/>
          <w:sz w:val="24"/>
          <w:szCs w:val="24"/>
        </w:rPr>
        <w:t xml:space="preserve"> </w:t>
      </w:r>
    </w:p>
    <w:p w14:paraId="2897F680" w14:textId="571E3901" w:rsidR="00335402" w:rsidRPr="00BC337D" w:rsidRDefault="00335402" w:rsidP="006F2F0E">
      <w:pPr>
        <w:spacing w:line="360" w:lineRule="auto"/>
        <w:jc w:val="both"/>
        <w:rPr>
          <w:rFonts w:eastAsiaTheme="minorEastAsia"/>
          <w:sz w:val="24"/>
          <w:szCs w:val="24"/>
        </w:rPr>
      </w:pPr>
    </w:p>
    <w:p w14:paraId="138C5AE5" w14:textId="5AD18616" w:rsidR="003D1F87" w:rsidRPr="000A76BB" w:rsidRDefault="000A76BB" w:rsidP="000A76BB">
      <w:pPr>
        <w:pStyle w:val="Heading1"/>
      </w:pPr>
      <w:bookmarkStart w:id="41" w:name="_Toc64591283"/>
      <w:r w:rsidRPr="000A76BB">
        <w:t>Chapter 5. Limitations</w:t>
      </w:r>
      <w:bookmarkEnd w:id="41"/>
    </w:p>
    <w:p w14:paraId="0C0B2655" w14:textId="0A607E2D" w:rsidR="008231A0" w:rsidRDefault="008231A0" w:rsidP="008231A0">
      <w:pPr>
        <w:spacing w:line="360" w:lineRule="auto"/>
        <w:ind w:firstLine="397"/>
        <w:jc w:val="both"/>
        <w:rPr>
          <w:sz w:val="24"/>
          <w:szCs w:val="24"/>
        </w:rPr>
      </w:pPr>
      <w:r w:rsidRPr="00971973">
        <w:rPr>
          <w:sz w:val="24"/>
          <w:szCs w:val="24"/>
        </w:rPr>
        <w:t>In the past, the model was heavily applied for test scores for a reason, as those much more capable of isolating the school fixed effect, given that the tests are similar for all</w:t>
      </w:r>
      <w:r>
        <w:rPr>
          <w:sz w:val="24"/>
          <w:szCs w:val="24"/>
        </w:rPr>
        <w:t xml:space="preserve"> </w:t>
      </w:r>
      <w:r>
        <w:rPr>
          <w:sz w:val="24"/>
          <w:szCs w:val="24"/>
        </w:rPr>
        <w:fldChar w:fldCharType="begin" w:fldLock="1"/>
      </w:r>
      <w:r>
        <w:rPr>
          <w:sz w:val="24"/>
          <w:szCs w:val="24"/>
        </w:rPr>
        <w:instrText>ADDIN CSL_CITATION {"citationItems":[{"id":"ITEM-1","itemData":{"DOI":"10.2139/ssrn.2697532","ISSN":"1556-5068","abstract":"There is fairly broad consensus among scholars that divorce damages pupils’ academic achievement. However, further clarification is necessary concerning the role of pupil characteristics immediately prior to this unpleasant event, and the extent to which the changing circumstances are reflected in the decline in school achievement. In this regard, more insight is provided into the social-status gradient of the test-score gap. The empirical analysis is based on a unique Hungarian administrative educational panel dataset covering three entire school cohorts. The sample contains 88,000 pupils who experienced biological family breakdown between the 6th and the 8th grade. Classroom fixed-effect regressions reveal that it is largely derived characteristics that account for the drop in test scores, rather than the changing material environment. Ruling out individual and classroom-level differences in test scores, the remaining test-score gap between those from intact and broken biological families is interpreted as a sign of damaged emotional stability. Emotional factors are known to have an effect on pupils’ academic achievement, but without some exogenous variance (like the breakdown of the biological family) it would be hard to demonstrate empirically its impact on academic achievement.","author":[{"dropping-particle":"","family":"Keller","given":"Tamás","non-dropping-particle":"","parse-names":false,"suffix":""}],"container-title":"SSRN Electronic Journal","id":"ITEM-1","issued":{"date-parts":[["2015"]]},"title":"The Power of Family? The Change in Academic Achievement after Breakdown of the Biological Family","type":"article-journal"},"uris":["http://www.mendeley.com/documents/?uuid=4adc5490-881d-4d33-ab36-9b0ac2b7c6df"]}],"mendeley":{"formattedCitation":"(Keller, 2015)","plainTextFormattedCitation":"(Keller, 2015)","previouslyFormattedCitation":"(Keller, 2015)"},"properties":{"noteIndex":0},"schema":"https://github.com/citation-style-language/schema/raw/master/csl-citation.json"}</w:instrText>
      </w:r>
      <w:r>
        <w:rPr>
          <w:sz w:val="24"/>
          <w:szCs w:val="24"/>
        </w:rPr>
        <w:fldChar w:fldCharType="separate"/>
      </w:r>
      <w:r w:rsidRPr="005D4A89">
        <w:rPr>
          <w:noProof/>
          <w:sz w:val="24"/>
          <w:szCs w:val="24"/>
        </w:rPr>
        <w:t>(Keller, 2015)</w:t>
      </w:r>
      <w:r>
        <w:rPr>
          <w:sz w:val="24"/>
          <w:szCs w:val="24"/>
        </w:rPr>
        <w:fldChar w:fldCharType="end"/>
      </w:r>
      <w:r w:rsidRPr="00971973">
        <w:rPr>
          <w:sz w:val="24"/>
          <w:szCs w:val="24"/>
        </w:rPr>
        <w:t xml:space="preserve">. As opposed to that, </w:t>
      </w:r>
      <w:r>
        <w:rPr>
          <w:sz w:val="24"/>
          <w:szCs w:val="24"/>
        </w:rPr>
        <w:t>GPA</w:t>
      </w:r>
      <w:r w:rsidRPr="00971973">
        <w:rPr>
          <w:sz w:val="24"/>
          <w:szCs w:val="24"/>
        </w:rPr>
        <w:t>s can bear large variances due to the difference in expectations, and level of education.</w:t>
      </w:r>
      <w:r>
        <w:rPr>
          <w:sz w:val="24"/>
          <w:szCs w:val="24"/>
        </w:rPr>
        <w:t xml:space="preserve"> In other words, they are normalized within a class to predetermined distribution, making them difficult to compare them within schools </w:t>
      </w:r>
      <w:r>
        <w:rPr>
          <w:sz w:val="24"/>
          <w:szCs w:val="24"/>
        </w:rPr>
        <w:fldChar w:fldCharType="begin" w:fldLock="1"/>
      </w:r>
      <w:r>
        <w:rPr>
          <w:sz w:val="24"/>
          <w:szCs w:val="24"/>
        </w:rPr>
        <w:instrText>ADDIN CSL_CITATION {"citationItems":[{"id":"ITEM-1","itemData":{"DOI":"10.1016/j.econedurev.2014.06.001","ISSN":"02727757","abstract":"This paper develops a general methodology for measuring the value added of institutions of higher education using commonly available administrative data. Our approach recognizes the data limitations and selection problems inherent in higher education, and highlights the challenges these issues pose for education policy. Combining information from different administrative sources in the state of Texas, we follow the universe of Texas college applicants from the time of application (pre-enrollment) through public college and into the labor market. In specifications that do not control for selection, we find large, significant differences across colleges in terms of persistence, graduation, and earnings; however, these differences decrease substantially when we control for selection. In light of the growing interest in using value-added measures in higher education for both funding and incentivizing purposes, our methodology offers unique evidence and lessons for policy makers. © 2014.","author":[{"dropping-particle":"","family":"Cunha","given":"Jesse M.","non-dropping-particle":"","parse-names":false,"suffix":""},{"dropping-particle":"","family":"Miller","given":"Trey","non-dropping-particle":"","parse-names":false,"suffix":""}],"container-title":"Economics of Education Review","id":"ITEM-1","issued":{"date-parts":[["2014"]]},"page":"64-77","publisher":"Elsevier Ltd","title":"Measuring value-added in higher education: Possibilities and limitations in the use of administrative data","type":"article-journal","volume":"42"},"uris":["http://www.mendeley.com/documents/?uuid=99095420-5894-4711-888f-312c63b58d4c"]}],"mendeley":{"formattedCitation":"(Cunha &amp; Miller, 2014)","plainTextFormattedCitation":"(Cunha &amp; Miller, 2014)","previouslyFormattedCitation":"(Cunha &amp; Miller, 2014)"},"properties":{"noteIndex":0},"schema":"https://github.com/citation-style-language/schema/raw/master/csl-citation.json"}</w:instrText>
      </w:r>
      <w:r>
        <w:rPr>
          <w:sz w:val="24"/>
          <w:szCs w:val="24"/>
        </w:rPr>
        <w:fldChar w:fldCharType="separate"/>
      </w:r>
      <w:r w:rsidRPr="002B76DF">
        <w:rPr>
          <w:noProof/>
          <w:sz w:val="24"/>
          <w:szCs w:val="24"/>
        </w:rPr>
        <w:t>(Cunha &amp; Miller, 2014)</w:t>
      </w:r>
      <w:r>
        <w:rPr>
          <w:sz w:val="24"/>
          <w:szCs w:val="24"/>
        </w:rPr>
        <w:fldChar w:fldCharType="end"/>
      </w:r>
      <w:r>
        <w:rPr>
          <w:sz w:val="24"/>
          <w:szCs w:val="24"/>
        </w:rPr>
        <w:t>.</w:t>
      </w:r>
      <w:r w:rsidRPr="00971973">
        <w:rPr>
          <w:sz w:val="24"/>
          <w:szCs w:val="24"/>
        </w:rPr>
        <w:t xml:space="preserve"> I used </w:t>
      </w:r>
      <w:r>
        <w:rPr>
          <w:sz w:val="24"/>
          <w:szCs w:val="24"/>
        </w:rPr>
        <w:t>GPA</w:t>
      </w:r>
      <w:r w:rsidRPr="00971973">
        <w:rPr>
          <w:sz w:val="24"/>
          <w:szCs w:val="24"/>
        </w:rPr>
        <w:t>s instead of “competence” math and reading scores simply because half of the students who took the test in 2006, did not have a matching ID in the 2008 test scores. In addition, in the restricted sample</w:t>
      </w:r>
      <w:r>
        <w:rPr>
          <w:sz w:val="24"/>
          <w:szCs w:val="24"/>
        </w:rPr>
        <w:t xml:space="preserve"> of test scores</w:t>
      </w:r>
      <w:r w:rsidRPr="00971973">
        <w:rPr>
          <w:sz w:val="24"/>
          <w:szCs w:val="24"/>
        </w:rPr>
        <w:t xml:space="preserve">, cases of separations </w:t>
      </w:r>
      <w:r>
        <w:rPr>
          <w:sz w:val="24"/>
          <w:szCs w:val="24"/>
        </w:rPr>
        <w:t>that</w:t>
      </w:r>
      <w:r w:rsidRPr="00971973">
        <w:rPr>
          <w:sz w:val="24"/>
          <w:szCs w:val="24"/>
        </w:rPr>
        <w:t xml:space="preserve"> occurred between 2006 and 2008 lacked in size, meaning that the results were not representative for out-of-sample inferences. </w:t>
      </w:r>
      <w:r>
        <w:rPr>
          <w:sz w:val="24"/>
          <w:szCs w:val="24"/>
        </w:rPr>
        <w:t xml:space="preserve">All in all, the </w:t>
      </w:r>
      <w:r w:rsidR="00D14832">
        <w:rPr>
          <w:sz w:val="24"/>
          <w:szCs w:val="24"/>
        </w:rPr>
        <w:t>GPAs and math grades</w:t>
      </w:r>
      <w:r>
        <w:rPr>
          <w:sz w:val="24"/>
          <w:szCs w:val="24"/>
        </w:rPr>
        <w:t xml:space="preserve"> rather than test scores, are likely to be biased even though I included school covariates.</w:t>
      </w:r>
    </w:p>
    <w:p w14:paraId="74B8BDBB" w14:textId="0B5F5C9E" w:rsidR="00B705E7" w:rsidRDefault="008231A0" w:rsidP="00B705E7">
      <w:pPr>
        <w:spacing w:line="360" w:lineRule="auto"/>
        <w:ind w:firstLine="397"/>
        <w:jc w:val="both"/>
        <w:rPr>
          <w:sz w:val="24"/>
          <w:szCs w:val="24"/>
        </w:rPr>
      </w:pPr>
      <w:r>
        <w:rPr>
          <w:sz w:val="24"/>
          <w:szCs w:val="24"/>
        </w:rPr>
        <w:t xml:space="preserve">Further, we can imagine other confounding variables such as the quality of the teachers, the size of the classroom, the educational aspiration within the classroom, etc., which were not available in the underlying data to offset the school fixed effect in GPAs. Besides, specifications are describing the ability of students such as whether they have disabilities, or </w:t>
      </w:r>
      <w:r>
        <w:rPr>
          <w:sz w:val="24"/>
          <w:szCs w:val="24"/>
        </w:rPr>
        <w:lastRenderedPageBreak/>
        <w:t>whether they need special educational needs are missing from the longitudinal dataset. By observing an aggregated score such as GPA</w:t>
      </w:r>
      <w:r w:rsidR="00D14832">
        <w:rPr>
          <w:sz w:val="24"/>
          <w:szCs w:val="24"/>
        </w:rPr>
        <w:t xml:space="preserve"> and math grades</w:t>
      </w:r>
      <w:r>
        <w:rPr>
          <w:sz w:val="24"/>
          <w:szCs w:val="24"/>
        </w:rPr>
        <w:t xml:space="preserve">, we do not account for the variances in-between the subjects, therefore a supplementary paper should include several additional terms to extend the general model to the joint distribution of multiple subject grades, given teacher, </w:t>
      </w:r>
      <w:r w:rsidR="00D14832">
        <w:rPr>
          <w:sz w:val="24"/>
          <w:szCs w:val="24"/>
        </w:rPr>
        <w:t xml:space="preserve">and </w:t>
      </w:r>
      <w:r>
        <w:rPr>
          <w:sz w:val="24"/>
          <w:szCs w:val="24"/>
        </w:rPr>
        <w:t>classroom</w:t>
      </w:r>
      <w:r w:rsidR="00D14832">
        <w:rPr>
          <w:sz w:val="24"/>
          <w:szCs w:val="24"/>
        </w:rPr>
        <w:t xml:space="preserve"> effects</w:t>
      </w:r>
      <w:r>
        <w:rPr>
          <w:sz w:val="24"/>
          <w:szCs w:val="24"/>
        </w:rPr>
        <w:t xml:space="preserve">. </w:t>
      </w:r>
      <w:r w:rsidR="002662CF" w:rsidRPr="002662CF">
        <w:rPr>
          <w:sz w:val="24"/>
          <w:szCs w:val="24"/>
        </w:rPr>
        <w:t xml:space="preserve">Due to </w:t>
      </w:r>
      <w:r w:rsidR="00D14832">
        <w:rPr>
          <w:sz w:val="24"/>
          <w:szCs w:val="24"/>
        </w:rPr>
        <w:t xml:space="preserve">the </w:t>
      </w:r>
      <w:r w:rsidR="002662CF" w:rsidRPr="002662CF">
        <w:rPr>
          <w:sz w:val="24"/>
          <w:szCs w:val="24"/>
        </w:rPr>
        <w:t xml:space="preserve">lack of extreme </w:t>
      </w:r>
      <w:r w:rsidR="00D14832">
        <w:rPr>
          <w:sz w:val="24"/>
          <w:szCs w:val="24"/>
        </w:rPr>
        <w:t>cases</w:t>
      </w:r>
      <w:r w:rsidR="002662CF" w:rsidRPr="002662CF">
        <w:rPr>
          <w:sz w:val="24"/>
          <w:szCs w:val="24"/>
        </w:rPr>
        <w:t xml:space="preserve"> of misbehavior, such as grade repeat, suspension</w:t>
      </w:r>
      <w:r w:rsidR="00D14832">
        <w:rPr>
          <w:sz w:val="24"/>
          <w:szCs w:val="24"/>
        </w:rPr>
        <w:t>,</w:t>
      </w:r>
      <w:r w:rsidR="002662CF" w:rsidRPr="002662CF">
        <w:rPr>
          <w:sz w:val="24"/>
          <w:szCs w:val="24"/>
        </w:rPr>
        <w:t xml:space="preserve"> or excel, my study does not empirically cover the effect of family disruption on the likelihood of academic failure.</w:t>
      </w:r>
      <w:r w:rsidR="00257B95">
        <w:rPr>
          <w:sz w:val="24"/>
          <w:szCs w:val="24"/>
        </w:rPr>
        <w:t xml:space="preserve"> </w:t>
      </w:r>
      <w:r w:rsidR="00257B95">
        <w:rPr>
          <w:sz w:val="23"/>
          <w:szCs w:val="23"/>
        </w:rPr>
        <w:t>Although HOME scores serve as a great proxy of cognitive and emotional abilities, it was only constructed in 2006, thus we assumed that it is a time-invariant (fixed-effect) variable.</w:t>
      </w:r>
    </w:p>
    <w:p w14:paraId="661891C0" w14:textId="26C26B6F" w:rsidR="004A125A" w:rsidRPr="002662CF" w:rsidRDefault="003E63B7" w:rsidP="00B705E7">
      <w:pPr>
        <w:spacing w:line="360" w:lineRule="auto"/>
        <w:ind w:firstLine="397"/>
        <w:jc w:val="both"/>
        <w:rPr>
          <w:sz w:val="24"/>
          <w:szCs w:val="24"/>
        </w:rPr>
      </w:pPr>
      <w:r>
        <w:rPr>
          <w:sz w:val="24"/>
          <w:szCs w:val="24"/>
        </w:rPr>
        <w:t>The simplified interpretation of parental separation aggregates all scenarios, let it be divorce, separation, moving abroad, decease, prison, etc.</w:t>
      </w:r>
      <w:r w:rsidR="00B705E7">
        <w:rPr>
          <w:sz w:val="24"/>
          <w:szCs w:val="24"/>
        </w:rPr>
        <w:t>, which allows for bias in the coefficients.</w:t>
      </w:r>
      <w:r>
        <w:rPr>
          <w:sz w:val="24"/>
          <w:szCs w:val="24"/>
        </w:rPr>
        <w:t xml:space="preserve"> </w:t>
      </w:r>
      <w:r w:rsidR="008B6C85">
        <w:rPr>
          <w:sz w:val="24"/>
          <w:szCs w:val="24"/>
        </w:rPr>
        <w:t xml:space="preserve">The exact separation of children who were separated from their parents is unknown from the provided data, only the year of separation which may underestimate the coefficients given </w:t>
      </w:r>
      <w:r w:rsidR="00C4327D">
        <w:rPr>
          <w:sz w:val="24"/>
          <w:szCs w:val="24"/>
        </w:rPr>
        <w:t>that the effect is presumably milder as time elapses</w:t>
      </w:r>
      <w:r w:rsidR="008B6C85">
        <w:rPr>
          <w:sz w:val="24"/>
          <w:szCs w:val="24"/>
        </w:rPr>
        <w:t xml:space="preserve">. </w:t>
      </w:r>
      <w:r w:rsidR="00E55DCC">
        <w:rPr>
          <w:sz w:val="24"/>
          <w:szCs w:val="24"/>
        </w:rPr>
        <w:t xml:space="preserve">Additionally, the data does not allow us to measure the conflict rate or behavior within the household, hence, without estimating the separation probabilities, the variance is incorporated in our results. </w:t>
      </w:r>
      <w:r w:rsidR="00257B95">
        <w:rPr>
          <w:sz w:val="23"/>
          <w:szCs w:val="23"/>
        </w:rPr>
        <w:t>Lastly, there may arise systemic errors when respondents were asked about sensitive (or subjective) information such as income, ethnical identity, effort, etc.</w:t>
      </w:r>
    </w:p>
    <w:p w14:paraId="3DFB4517" w14:textId="77ADB0F4" w:rsidR="00C31905" w:rsidRPr="00C86345" w:rsidRDefault="00257B95" w:rsidP="00C86345">
      <w:pPr>
        <w:spacing w:line="360" w:lineRule="auto"/>
        <w:ind w:firstLine="397"/>
        <w:jc w:val="both"/>
        <w:rPr>
          <w:sz w:val="24"/>
          <w:szCs w:val="24"/>
        </w:rPr>
      </w:pPr>
      <w:r>
        <w:rPr>
          <w:sz w:val="23"/>
          <w:szCs w:val="23"/>
        </w:rPr>
        <w:t>Even though the staggered adoption solves common issues of the DID, it also has its limitations. To name a few, firstly, our cross-sectional dataset at hand does not allow for more than two pre-treatment periods, thus the t-test on the validity of common trend assumption may have larger confidence intervals as it was seen on the event-study charts. Secondly, the set of used covariates covers most of the in-sample variation, nonetheless, not all explanatory</w:t>
      </w:r>
      <w:r w:rsidR="005A556D" w:rsidRPr="00C86345">
        <w:rPr>
          <w:sz w:val="24"/>
          <w:szCs w:val="24"/>
        </w:rPr>
        <w:t xml:space="preserve"> variables </w:t>
      </w:r>
      <w:r>
        <w:rPr>
          <w:sz w:val="23"/>
          <w:szCs w:val="23"/>
        </w:rPr>
        <w:t xml:space="preserve">mentioned in the literature review were implemented as it was supposed to be due to the lack of relevant cases, such as the recent school changes, and the types of separation (e.g., death, prison, etc.). Thirdly, undetected biases may drive the treatment effect, let it be the change in the law of divorce or an unexpected event that increases the chances of being exposed to treatment because in our estimation we assumed that children do not anticipate the occurrence of treatment. We did so because the short time interval did not allow us to implement such adjustments. Fourthly, we hypothesized that the treatment is irreversible after it had happened, but we can imagine scenarios where parents are separated from each other (divorce or temporary moving due to work) and later rejoin the household. Fifthly, the cohort assembled in the HLCS study is not fully </w:t>
      </w:r>
      <w:r>
        <w:rPr>
          <w:sz w:val="23"/>
          <w:szCs w:val="23"/>
        </w:rPr>
        <w:lastRenderedPageBreak/>
        <w:t>homogeneous, therefore, the conditional PTA only partially holds in all cross sections of my detailed estimations. Sixthly, our model consisted solely linear variables, therefore we assumed that the relationship between the variables does not take polynomial functions.</w:t>
      </w:r>
    </w:p>
    <w:p w14:paraId="73D0A62E" w14:textId="1B95E3D5" w:rsidR="000A76BB" w:rsidRPr="000A76BB" w:rsidRDefault="000A76BB" w:rsidP="000A76BB">
      <w:pPr>
        <w:pStyle w:val="Heading1"/>
      </w:pPr>
      <w:bookmarkStart w:id="42" w:name="_Toc64591284"/>
      <w:r w:rsidRPr="000A76BB">
        <w:t>Chapter 6. Conclusion</w:t>
      </w:r>
      <w:bookmarkEnd w:id="42"/>
    </w:p>
    <w:p w14:paraId="3895B30C" w14:textId="3EB9DE1B" w:rsidR="00915D4D" w:rsidRPr="001C713C" w:rsidRDefault="00915D4D" w:rsidP="00915D4D">
      <w:pPr>
        <w:rPr>
          <w:rFonts w:eastAsiaTheme="majorEastAsia" w:cstheme="minorHAnsi"/>
          <w:sz w:val="28"/>
          <w:szCs w:val="28"/>
        </w:rPr>
      </w:pPr>
      <w:r w:rsidRPr="001C713C">
        <w:rPr>
          <w:rFonts w:cstheme="minorHAnsi"/>
          <w:sz w:val="28"/>
          <w:szCs w:val="28"/>
        </w:rPr>
        <w:br w:type="page"/>
      </w:r>
    </w:p>
    <w:p w14:paraId="5418151E" w14:textId="05D7B596" w:rsidR="005A4368" w:rsidRPr="001C713C" w:rsidRDefault="00C875A8" w:rsidP="006E2B80">
      <w:pPr>
        <w:pStyle w:val="Heading1"/>
      </w:pPr>
      <w:bookmarkStart w:id="43" w:name="_Toc64591285"/>
      <w:r w:rsidRPr="001C713C">
        <w:lastRenderedPageBreak/>
        <w:t>References</w:t>
      </w:r>
      <w:bookmarkEnd w:id="43"/>
    </w:p>
    <w:p w14:paraId="10FA3A3A" w14:textId="27985913" w:rsidR="00A47631" w:rsidRPr="00A47631" w:rsidRDefault="005A4368" w:rsidP="00A47631">
      <w:pPr>
        <w:widowControl w:val="0"/>
        <w:autoSpaceDE w:val="0"/>
        <w:autoSpaceDN w:val="0"/>
        <w:adjustRightInd w:val="0"/>
        <w:spacing w:line="360" w:lineRule="auto"/>
        <w:ind w:left="480" w:hanging="480"/>
        <w:rPr>
          <w:rFonts w:ascii="Calibri" w:hAnsi="Calibri" w:cs="Calibri"/>
          <w:noProof/>
          <w:sz w:val="24"/>
          <w:szCs w:val="24"/>
        </w:rPr>
      </w:pPr>
      <w:r w:rsidRPr="001C713C">
        <w:rPr>
          <w:rFonts w:cstheme="minorHAnsi"/>
          <w:sz w:val="24"/>
          <w:szCs w:val="24"/>
        </w:rPr>
        <w:fldChar w:fldCharType="begin" w:fldLock="1"/>
      </w:r>
      <w:r w:rsidRPr="001C713C">
        <w:rPr>
          <w:rFonts w:cstheme="minorHAnsi"/>
          <w:sz w:val="24"/>
          <w:szCs w:val="24"/>
        </w:rPr>
        <w:instrText xml:space="preserve">ADDIN Mendeley Bibliography CSL_BIBLIOGRAPHY </w:instrText>
      </w:r>
      <w:r w:rsidRPr="001C713C">
        <w:rPr>
          <w:rFonts w:cstheme="minorHAnsi"/>
          <w:sz w:val="24"/>
          <w:szCs w:val="24"/>
        </w:rPr>
        <w:fldChar w:fldCharType="separate"/>
      </w:r>
      <w:r w:rsidR="00A47631" w:rsidRPr="00A47631">
        <w:rPr>
          <w:rFonts w:ascii="Calibri" w:hAnsi="Calibri" w:cs="Calibri"/>
          <w:noProof/>
          <w:sz w:val="24"/>
          <w:szCs w:val="24"/>
        </w:rPr>
        <w:t xml:space="preserve">Amato, P. R. (1987a). Children’s Reactions to Parental Separation and Divorce: The Views of Children and Custodial Mothers. </w:t>
      </w:r>
      <w:r w:rsidR="00A47631" w:rsidRPr="00A47631">
        <w:rPr>
          <w:rFonts w:ascii="Calibri" w:hAnsi="Calibri" w:cs="Calibri"/>
          <w:i/>
          <w:iCs/>
          <w:noProof/>
          <w:sz w:val="24"/>
          <w:szCs w:val="24"/>
        </w:rPr>
        <w:t>Australian Journal of Social Issues</w:t>
      </w:r>
      <w:r w:rsidR="00A47631" w:rsidRPr="00A47631">
        <w:rPr>
          <w:rFonts w:ascii="Calibri" w:hAnsi="Calibri" w:cs="Calibri"/>
          <w:noProof/>
          <w:sz w:val="24"/>
          <w:szCs w:val="24"/>
        </w:rPr>
        <w:t xml:space="preserve">, </w:t>
      </w:r>
      <w:r w:rsidR="00A47631" w:rsidRPr="00A47631">
        <w:rPr>
          <w:rFonts w:ascii="Calibri" w:hAnsi="Calibri" w:cs="Calibri"/>
          <w:i/>
          <w:iCs/>
          <w:noProof/>
          <w:sz w:val="24"/>
          <w:szCs w:val="24"/>
        </w:rPr>
        <w:t>22</w:t>
      </w:r>
      <w:r w:rsidR="00A47631" w:rsidRPr="00A47631">
        <w:rPr>
          <w:rFonts w:ascii="Calibri" w:hAnsi="Calibri" w:cs="Calibri"/>
          <w:noProof/>
          <w:sz w:val="24"/>
          <w:szCs w:val="24"/>
        </w:rPr>
        <w:t>(4), 610–623. https://doi.org/10.1002/j.1839-4655.1987.tb00847.x</w:t>
      </w:r>
    </w:p>
    <w:p w14:paraId="6A986CE1"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Amato, P. R. (1987b). Family Processes in One-Parent, Stepparent, and Intact Families: The Child’s Point of View. </w:t>
      </w:r>
      <w:r w:rsidRPr="00A47631">
        <w:rPr>
          <w:rFonts w:ascii="Calibri" w:hAnsi="Calibri" w:cs="Calibri"/>
          <w:i/>
          <w:iCs/>
          <w:noProof/>
          <w:sz w:val="24"/>
          <w:szCs w:val="24"/>
        </w:rPr>
        <w:t>Journal of Marriage and the Family</w:t>
      </w:r>
      <w:r w:rsidRPr="00A47631">
        <w:rPr>
          <w:rFonts w:ascii="Calibri" w:hAnsi="Calibri" w:cs="Calibri"/>
          <w:noProof/>
          <w:sz w:val="24"/>
          <w:szCs w:val="24"/>
        </w:rPr>
        <w:t xml:space="preserve">, </w:t>
      </w:r>
      <w:r w:rsidRPr="00A47631">
        <w:rPr>
          <w:rFonts w:ascii="Calibri" w:hAnsi="Calibri" w:cs="Calibri"/>
          <w:i/>
          <w:iCs/>
          <w:noProof/>
          <w:sz w:val="24"/>
          <w:szCs w:val="24"/>
        </w:rPr>
        <w:t>49</w:t>
      </w:r>
      <w:r w:rsidRPr="00A47631">
        <w:rPr>
          <w:rFonts w:ascii="Calibri" w:hAnsi="Calibri" w:cs="Calibri"/>
          <w:noProof/>
          <w:sz w:val="24"/>
          <w:szCs w:val="24"/>
        </w:rPr>
        <w:t>(2), 327. https://doi.org/10.2307/352303</w:t>
      </w:r>
    </w:p>
    <w:p w14:paraId="7495DB36"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Amato, P. R., &amp; Anthony, C. J. (2014). Estimating the effects of parental divorce and death with fixed effects models. </w:t>
      </w:r>
      <w:r w:rsidRPr="00A47631">
        <w:rPr>
          <w:rFonts w:ascii="Calibri" w:hAnsi="Calibri" w:cs="Calibri"/>
          <w:i/>
          <w:iCs/>
          <w:noProof/>
          <w:sz w:val="24"/>
          <w:szCs w:val="24"/>
        </w:rPr>
        <w:t>Journal of Marriage and Family</w:t>
      </w:r>
      <w:r w:rsidRPr="00A47631">
        <w:rPr>
          <w:rFonts w:ascii="Calibri" w:hAnsi="Calibri" w:cs="Calibri"/>
          <w:noProof/>
          <w:sz w:val="24"/>
          <w:szCs w:val="24"/>
        </w:rPr>
        <w:t xml:space="preserve">, </w:t>
      </w:r>
      <w:r w:rsidRPr="00A47631">
        <w:rPr>
          <w:rFonts w:ascii="Calibri" w:hAnsi="Calibri" w:cs="Calibri"/>
          <w:i/>
          <w:iCs/>
          <w:noProof/>
          <w:sz w:val="24"/>
          <w:szCs w:val="24"/>
        </w:rPr>
        <w:t>76</w:t>
      </w:r>
      <w:r w:rsidRPr="00A47631">
        <w:rPr>
          <w:rFonts w:ascii="Calibri" w:hAnsi="Calibri" w:cs="Calibri"/>
          <w:noProof/>
          <w:sz w:val="24"/>
          <w:szCs w:val="24"/>
        </w:rPr>
        <w:t>(2), 370–386. https://doi.org/10.1111/jomf.12100</w:t>
      </w:r>
    </w:p>
    <w:p w14:paraId="3407A0E7"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Amato, P. R., &amp; Keith, B. (1991). Parental Divorce and Adult Well-Being: A Meta-Analysis. </w:t>
      </w:r>
      <w:r w:rsidRPr="00A47631">
        <w:rPr>
          <w:rFonts w:ascii="Calibri" w:hAnsi="Calibri" w:cs="Calibri"/>
          <w:i/>
          <w:iCs/>
          <w:noProof/>
          <w:sz w:val="24"/>
          <w:szCs w:val="24"/>
        </w:rPr>
        <w:t>Journal of Marriage and the Family</w:t>
      </w:r>
      <w:r w:rsidRPr="00A47631">
        <w:rPr>
          <w:rFonts w:ascii="Calibri" w:hAnsi="Calibri" w:cs="Calibri"/>
          <w:noProof/>
          <w:sz w:val="24"/>
          <w:szCs w:val="24"/>
        </w:rPr>
        <w:t xml:space="preserve">, </w:t>
      </w:r>
      <w:r w:rsidRPr="00A47631">
        <w:rPr>
          <w:rFonts w:ascii="Calibri" w:hAnsi="Calibri" w:cs="Calibri"/>
          <w:i/>
          <w:iCs/>
          <w:noProof/>
          <w:sz w:val="24"/>
          <w:szCs w:val="24"/>
        </w:rPr>
        <w:t>53</w:t>
      </w:r>
      <w:r w:rsidRPr="00A47631">
        <w:rPr>
          <w:rFonts w:ascii="Calibri" w:hAnsi="Calibri" w:cs="Calibri"/>
          <w:noProof/>
          <w:sz w:val="24"/>
          <w:szCs w:val="24"/>
        </w:rPr>
        <w:t>(1), 43. https://doi.org/10.2307/353132</w:t>
      </w:r>
    </w:p>
    <w:p w14:paraId="23B4822E"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Astone, N. M., &amp; McLanahan, S. S. (1991). Family Structure, Parental Practices and High School Completion. </w:t>
      </w:r>
      <w:r w:rsidRPr="00A47631">
        <w:rPr>
          <w:rFonts w:ascii="Calibri" w:hAnsi="Calibri" w:cs="Calibri"/>
          <w:i/>
          <w:iCs/>
          <w:noProof/>
          <w:sz w:val="24"/>
          <w:szCs w:val="24"/>
        </w:rPr>
        <w:t>American Sociological Review</w:t>
      </w:r>
      <w:r w:rsidRPr="00A47631">
        <w:rPr>
          <w:rFonts w:ascii="Calibri" w:hAnsi="Calibri" w:cs="Calibri"/>
          <w:noProof/>
          <w:sz w:val="24"/>
          <w:szCs w:val="24"/>
        </w:rPr>
        <w:t xml:space="preserve">, </w:t>
      </w:r>
      <w:r w:rsidRPr="00A47631">
        <w:rPr>
          <w:rFonts w:ascii="Calibri" w:hAnsi="Calibri" w:cs="Calibri"/>
          <w:i/>
          <w:iCs/>
          <w:noProof/>
          <w:sz w:val="24"/>
          <w:szCs w:val="24"/>
        </w:rPr>
        <w:t>56</w:t>
      </w:r>
      <w:r w:rsidRPr="00A47631">
        <w:rPr>
          <w:rFonts w:ascii="Calibri" w:hAnsi="Calibri" w:cs="Calibri"/>
          <w:noProof/>
          <w:sz w:val="24"/>
          <w:szCs w:val="24"/>
        </w:rPr>
        <w:t>(3), 309. https://doi.org/10.2307/2096106</w:t>
      </w:r>
    </w:p>
    <w:p w14:paraId="5EF2E465"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Astone, N. M., &amp; McLanahan, S. S. (1994). Family structure, residential mobility, and school dropout: A research note. </w:t>
      </w:r>
      <w:r w:rsidRPr="00A47631">
        <w:rPr>
          <w:rFonts w:ascii="Calibri" w:hAnsi="Calibri" w:cs="Calibri"/>
          <w:i/>
          <w:iCs/>
          <w:noProof/>
          <w:sz w:val="24"/>
          <w:szCs w:val="24"/>
        </w:rPr>
        <w:t>Demography</w:t>
      </w:r>
      <w:r w:rsidRPr="00A47631">
        <w:rPr>
          <w:rFonts w:ascii="Calibri" w:hAnsi="Calibri" w:cs="Calibri"/>
          <w:noProof/>
          <w:sz w:val="24"/>
          <w:szCs w:val="24"/>
        </w:rPr>
        <w:t xml:space="preserve">, </w:t>
      </w:r>
      <w:r w:rsidRPr="00A47631">
        <w:rPr>
          <w:rFonts w:ascii="Calibri" w:hAnsi="Calibri" w:cs="Calibri"/>
          <w:i/>
          <w:iCs/>
          <w:noProof/>
          <w:sz w:val="24"/>
          <w:szCs w:val="24"/>
        </w:rPr>
        <w:t>31</w:t>
      </w:r>
      <w:r w:rsidRPr="00A47631">
        <w:rPr>
          <w:rFonts w:ascii="Calibri" w:hAnsi="Calibri" w:cs="Calibri"/>
          <w:noProof/>
          <w:sz w:val="24"/>
          <w:szCs w:val="24"/>
        </w:rPr>
        <w:t>(4), 575–584. https://doi.org/10.2307/2061791</w:t>
      </w:r>
    </w:p>
    <w:p w14:paraId="2730CDAF"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Behrman, J. R., &amp; Rosenzweig, M. R. (2004). Returns to birthweight. </w:t>
      </w:r>
      <w:r w:rsidRPr="00A47631">
        <w:rPr>
          <w:rFonts w:ascii="Calibri" w:hAnsi="Calibri" w:cs="Calibri"/>
          <w:i/>
          <w:iCs/>
          <w:noProof/>
          <w:sz w:val="24"/>
          <w:szCs w:val="24"/>
        </w:rPr>
        <w:t>Review of Economics and Statistics</w:t>
      </w:r>
      <w:r w:rsidRPr="00A47631">
        <w:rPr>
          <w:rFonts w:ascii="Calibri" w:hAnsi="Calibri" w:cs="Calibri"/>
          <w:noProof/>
          <w:sz w:val="24"/>
          <w:szCs w:val="24"/>
        </w:rPr>
        <w:t xml:space="preserve">, </w:t>
      </w:r>
      <w:r w:rsidRPr="00A47631">
        <w:rPr>
          <w:rFonts w:ascii="Calibri" w:hAnsi="Calibri" w:cs="Calibri"/>
          <w:i/>
          <w:iCs/>
          <w:noProof/>
          <w:sz w:val="24"/>
          <w:szCs w:val="24"/>
        </w:rPr>
        <w:t>86</w:t>
      </w:r>
      <w:r w:rsidRPr="00A47631">
        <w:rPr>
          <w:rFonts w:ascii="Calibri" w:hAnsi="Calibri" w:cs="Calibri"/>
          <w:noProof/>
          <w:sz w:val="24"/>
          <w:szCs w:val="24"/>
        </w:rPr>
        <w:t>(2), 586–601. https://doi.org/10.1162/003465304323031139</w:t>
      </w:r>
    </w:p>
    <w:p w14:paraId="164F87FF"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Bertrand, M., Duflo, E., &amp; Mullainathan, S. (2004). How Much Should We Trust Differences-In-Differences Estimates? </w:t>
      </w:r>
      <w:r w:rsidRPr="00A47631">
        <w:rPr>
          <w:rFonts w:ascii="Calibri" w:hAnsi="Calibri" w:cs="Calibri"/>
          <w:i/>
          <w:iCs/>
          <w:noProof/>
          <w:sz w:val="24"/>
          <w:szCs w:val="24"/>
        </w:rPr>
        <w:t>The Quarterly Journal of Economics</w:t>
      </w:r>
      <w:r w:rsidRPr="00A47631">
        <w:rPr>
          <w:rFonts w:ascii="Calibri" w:hAnsi="Calibri" w:cs="Calibri"/>
          <w:noProof/>
          <w:sz w:val="24"/>
          <w:szCs w:val="24"/>
        </w:rPr>
        <w:t xml:space="preserve">, </w:t>
      </w:r>
      <w:r w:rsidRPr="00A47631">
        <w:rPr>
          <w:rFonts w:ascii="Calibri" w:hAnsi="Calibri" w:cs="Calibri"/>
          <w:i/>
          <w:iCs/>
          <w:noProof/>
          <w:sz w:val="24"/>
          <w:szCs w:val="24"/>
        </w:rPr>
        <w:t>119</w:t>
      </w:r>
      <w:r w:rsidRPr="00A47631">
        <w:rPr>
          <w:rFonts w:ascii="Calibri" w:hAnsi="Calibri" w:cs="Calibri"/>
          <w:noProof/>
          <w:sz w:val="24"/>
          <w:szCs w:val="24"/>
        </w:rPr>
        <w:t>(1), 249–275. https://doi.org/10.1162/003355304772839588</w:t>
      </w:r>
    </w:p>
    <w:p w14:paraId="0420F7D0"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Biblarz, T. J., Gottainer, G., Journal, S., &amp; May, N. (2016). </w:t>
      </w:r>
      <w:r w:rsidRPr="00A47631">
        <w:rPr>
          <w:rFonts w:ascii="Calibri" w:hAnsi="Calibri" w:cs="Calibri"/>
          <w:i/>
          <w:iCs/>
          <w:noProof/>
          <w:sz w:val="24"/>
          <w:szCs w:val="24"/>
        </w:rPr>
        <w:t>Family Structure and Children ’ s Success : A Comparison of Widowed and Divorced Single- Mother Families Published by : National Council on Family Relations Stable URL : http://www.jstor.org/stable/1566757 Family Structure and Children ’ s Success : A Com</w:t>
      </w:r>
      <w:r w:rsidRPr="00A47631">
        <w:rPr>
          <w:rFonts w:ascii="Calibri" w:hAnsi="Calibri" w:cs="Calibri"/>
          <w:noProof/>
          <w:sz w:val="24"/>
          <w:szCs w:val="24"/>
        </w:rPr>
        <w:t xml:space="preserve">. </w:t>
      </w:r>
      <w:r w:rsidRPr="00A47631">
        <w:rPr>
          <w:rFonts w:ascii="Calibri" w:hAnsi="Calibri" w:cs="Calibri"/>
          <w:i/>
          <w:iCs/>
          <w:noProof/>
          <w:sz w:val="24"/>
          <w:szCs w:val="24"/>
        </w:rPr>
        <w:t>62</w:t>
      </w:r>
      <w:r w:rsidRPr="00A47631">
        <w:rPr>
          <w:rFonts w:ascii="Calibri" w:hAnsi="Calibri" w:cs="Calibri"/>
          <w:noProof/>
          <w:sz w:val="24"/>
          <w:szCs w:val="24"/>
        </w:rPr>
        <w:t>(2), 533–548.</w:t>
      </w:r>
    </w:p>
    <w:p w14:paraId="7FCFA68C"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lastRenderedPageBreak/>
        <w:t xml:space="preserve">Bierens, B. Y. H. J., &amp; Ploberger, W. (2016). </w:t>
      </w:r>
      <w:r w:rsidRPr="00A47631">
        <w:rPr>
          <w:rFonts w:ascii="Calibri" w:hAnsi="Calibri" w:cs="Calibri"/>
          <w:i/>
          <w:iCs/>
          <w:noProof/>
          <w:sz w:val="24"/>
          <w:szCs w:val="24"/>
        </w:rPr>
        <w:t xml:space="preserve">Asymptotic Theory of Integrated Conditional Moment Tests Author ( s ): Herman J . Bierens and Werner Ploberger Published by : The Econometric Society Stable URL : http://www.jstor.org/stable/2171881 Accessed : 04-06-2016 13 : 19 UTC Your use of the JSTOR </w:t>
      </w:r>
      <w:r w:rsidRPr="00A47631">
        <w:rPr>
          <w:rFonts w:ascii="Calibri" w:hAnsi="Calibri" w:cs="Calibri"/>
          <w:noProof/>
          <w:sz w:val="24"/>
          <w:szCs w:val="24"/>
        </w:rPr>
        <w:t xml:space="preserve">. </w:t>
      </w:r>
      <w:r w:rsidRPr="00A47631">
        <w:rPr>
          <w:rFonts w:ascii="Calibri" w:hAnsi="Calibri" w:cs="Calibri"/>
          <w:i/>
          <w:iCs/>
          <w:noProof/>
          <w:sz w:val="24"/>
          <w:szCs w:val="24"/>
        </w:rPr>
        <w:t>65</w:t>
      </w:r>
      <w:r w:rsidRPr="00A47631">
        <w:rPr>
          <w:rFonts w:ascii="Calibri" w:hAnsi="Calibri" w:cs="Calibri"/>
          <w:noProof/>
          <w:sz w:val="24"/>
          <w:szCs w:val="24"/>
        </w:rPr>
        <w:t>(5), 1129–1151.</w:t>
      </w:r>
    </w:p>
    <w:p w14:paraId="5C354DB5"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Bradley, R. H., Corwyn, R. F., Caldwell, B. M., Whiteside-Mansell, L., Wasserman, G. A., &amp; Mink, I. T. (2000). Measuring the Home Environments of Children in Early Adolescence. </w:t>
      </w:r>
      <w:r w:rsidRPr="00A47631">
        <w:rPr>
          <w:rFonts w:ascii="Calibri" w:hAnsi="Calibri" w:cs="Calibri"/>
          <w:i/>
          <w:iCs/>
          <w:noProof/>
          <w:sz w:val="24"/>
          <w:szCs w:val="24"/>
        </w:rPr>
        <w:t>Journal of Research on Adolescence</w:t>
      </w:r>
      <w:r w:rsidRPr="00A47631">
        <w:rPr>
          <w:rFonts w:ascii="Calibri" w:hAnsi="Calibri" w:cs="Calibri"/>
          <w:noProof/>
          <w:sz w:val="24"/>
          <w:szCs w:val="24"/>
        </w:rPr>
        <w:t xml:space="preserve">, </w:t>
      </w:r>
      <w:r w:rsidRPr="00A47631">
        <w:rPr>
          <w:rFonts w:ascii="Calibri" w:hAnsi="Calibri" w:cs="Calibri"/>
          <w:i/>
          <w:iCs/>
          <w:noProof/>
          <w:sz w:val="24"/>
          <w:szCs w:val="24"/>
        </w:rPr>
        <w:t>10</w:t>
      </w:r>
      <w:r w:rsidRPr="00A47631">
        <w:rPr>
          <w:rFonts w:ascii="Calibri" w:hAnsi="Calibri" w:cs="Calibri"/>
          <w:noProof/>
          <w:sz w:val="24"/>
          <w:szCs w:val="24"/>
        </w:rPr>
        <w:t>(3), 247–288. https://doi.org/10.1207/SJRA1003_1</w:t>
      </w:r>
    </w:p>
    <w:p w14:paraId="03F2F48C"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Callaway, B., &amp; Sant’anna, P. H. C. (2019). </w:t>
      </w:r>
      <w:r w:rsidRPr="00A47631">
        <w:rPr>
          <w:rFonts w:ascii="Calibri" w:hAnsi="Calibri" w:cs="Calibri"/>
          <w:i/>
          <w:iCs/>
          <w:noProof/>
          <w:sz w:val="24"/>
          <w:szCs w:val="24"/>
        </w:rPr>
        <w:t>Supplementary Appendix: Difference-in-Differences with Multiple Time Periods</w:t>
      </w:r>
      <w:r w:rsidRPr="00A47631">
        <w:rPr>
          <w:rFonts w:ascii="Calibri" w:hAnsi="Calibri" w:cs="Calibri"/>
          <w:noProof/>
          <w:sz w:val="24"/>
          <w:szCs w:val="24"/>
        </w:rPr>
        <w:t xml:space="preserve">. </w:t>
      </w:r>
      <w:r w:rsidRPr="00A47631">
        <w:rPr>
          <w:rFonts w:ascii="Calibri" w:hAnsi="Calibri" w:cs="Calibri"/>
          <w:i/>
          <w:iCs/>
          <w:noProof/>
          <w:sz w:val="24"/>
          <w:szCs w:val="24"/>
        </w:rPr>
        <w:t>1</w:t>
      </w:r>
      <w:r w:rsidRPr="00A47631">
        <w:rPr>
          <w:rFonts w:ascii="Calibri" w:hAnsi="Calibri" w:cs="Calibri"/>
          <w:noProof/>
          <w:sz w:val="24"/>
          <w:szCs w:val="24"/>
        </w:rPr>
        <w:t>(0). https://economics.uchicago.edu/sites/economics.uchicago.edu/files/uploads/PDF/Callaway_SantAnna_2019_Appendix.pdf</w:t>
      </w:r>
    </w:p>
    <w:p w14:paraId="1A9C3F88"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Callaway, B., &amp; Sant’Anna, P. H. C. (2018). </w:t>
      </w:r>
      <w:r w:rsidRPr="00A47631">
        <w:rPr>
          <w:rFonts w:ascii="Calibri" w:hAnsi="Calibri" w:cs="Calibri"/>
          <w:i/>
          <w:iCs/>
          <w:noProof/>
          <w:sz w:val="24"/>
          <w:szCs w:val="24"/>
        </w:rPr>
        <w:t>Difference-in-Differences with Multiple Time Periods</w:t>
      </w:r>
      <w:r w:rsidRPr="00A47631">
        <w:rPr>
          <w:rFonts w:ascii="Calibri" w:hAnsi="Calibri" w:cs="Calibri"/>
          <w:noProof/>
          <w:sz w:val="24"/>
          <w:szCs w:val="24"/>
        </w:rPr>
        <w:t>. 1–37. http://arxiv.org/abs/1803.09015</w:t>
      </w:r>
    </w:p>
    <w:p w14:paraId="773DFF5F"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Canon, M. E. (2012). Out-of-School Suspensions and Parental Involvement in Children’s Education. </w:t>
      </w:r>
      <w:r w:rsidRPr="00A47631">
        <w:rPr>
          <w:rFonts w:ascii="Calibri" w:hAnsi="Calibri" w:cs="Calibri"/>
          <w:i/>
          <w:iCs/>
          <w:noProof/>
          <w:sz w:val="24"/>
          <w:szCs w:val="24"/>
        </w:rPr>
        <w:t>SSRN Electronic Journal</w:t>
      </w:r>
      <w:r w:rsidRPr="00A47631">
        <w:rPr>
          <w:rFonts w:ascii="Calibri" w:hAnsi="Calibri" w:cs="Calibri"/>
          <w:noProof/>
          <w:sz w:val="24"/>
          <w:szCs w:val="24"/>
        </w:rPr>
        <w:t>. https://doi.org/10.2139/ssrn.2172022</w:t>
      </w:r>
    </w:p>
    <w:p w14:paraId="207ADDD8"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Cappellari, L. (2004). </w:t>
      </w:r>
      <w:r w:rsidRPr="00A47631">
        <w:rPr>
          <w:rFonts w:ascii="Calibri" w:hAnsi="Calibri" w:cs="Calibri"/>
          <w:i/>
          <w:iCs/>
          <w:noProof/>
          <w:sz w:val="24"/>
          <w:szCs w:val="24"/>
        </w:rPr>
        <w:t>High School Types , Academic Performance and Early Labour Market Outcomes</w:t>
      </w:r>
      <w:r w:rsidRPr="00A47631">
        <w:rPr>
          <w:rFonts w:ascii="Calibri" w:hAnsi="Calibri" w:cs="Calibri"/>
          <w:noProof/>
          <w:sz w:val="24"/>
          <w:szCs w:val="24"/>
        </w:rPr>
        <w:t xml:space="preserve">. </w:t>
      </w:r>
      <w:r w:rsidRPr="00A47631">
        <w:rPr>
          <w:rFonts w:ascii="Calibri" w:hAnsi="Calibri" w:cs="Calibri"/>
          <w:i/>
          <w:iCs/>
          <w:noProof/>
          <w:sz w:val="24"/>
          <w:szCs w:val="24"/>
        </w:rPr>
        <w:t>1048</w:t>
      </w:r>
      <w:r w:rsidRPr="00A47631">
        <w:rPr>
          <w:rFonts w:ascii="Calibri" w:hAnsi="Calibri" w:cs="Calibri"/>
          <w:noProof/>
          <w:sz w:val="24"/>
          <w:szCs w:val="24"/>
        </w:rPr>
        <w:t>.</w:t>
      </w:r>
    </w:p>
    <w:p w14:paraId="249D648A"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Case, A. C., Lubotsky, D. H., &amp; Paxson, C. H. (2005). Economic Status and Health in Childhood: The Origins of the Gradient. </w:t>
      </w:r>
      <w:r w:rsidRPr="00A47631">
        <w:rPr>
          <w:rFonts w:ascii="Calibri" w:hAnsi="Calibri" w:cs="Calibri"/>
          <w:i/>
          <w:iCs/>
          <w:noProof/>
          <w:sz w:val="24"/>
          <w:szCs w:val="24"/>
        </w:rPr>
        <w:t>SSRN Electronic Journal</w:t>
      </w:r>
      <w:r w:rsidRPr="00A47631">
        <w:rPr>
          <w:rFonts w:ascii="Calibri" w:hAnsi="Calibri" w:cs="Calibri"/>
          <w:noProof/>
          <w:sz w:val="24"/>
          <w:szCs w:val="24"/>
        </w:rPr>
        <w:t xml:space="preserve">, </w:t>
      </w:r>
      <w:r w:rsidRPr="00A47631">
        <w:rPr>
          <w:rFonts w:ascii="Calibri" w:hAnsi="Calibri" w:cs="Calibri"/>
          <w:i/>
          <w:iCs/>
          <w:noProof/>
          <w:sz w:val="24"/>
          <w:szCs w:val="24"/>
        </w:rPr>
        <w:t>March</w:t>
      </w:r>
      <w:r w:rsidRPr="00A47631">
        <w:rPr>
          <w:rFonts w:ascii="Calibri" w:hAnsi="Calibri" w:cs="Calibri"/>
          <w:noProof/>
          <w:sz w:val="24"/>
          <w:szCs w:val="24"/>
        </w:rPr>
        <w:t>. https://doi.org/10.2139/ssrn.275152</w:t>
      </w:r>
    </w:p>
    <w:p w14:paraId="4526B708"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Cross, C. J. (2020). Racial/Ethnic Differences in the Association Between Family Structure and Children’s Education. </w:t>
      </w:r>
      <w:r w:rsidRPr="00A47631">
        <w:rPr>
          <w:rFonts w:ascii="Calibri" w:hAnsi="Calibri" w:cs="Calibri"/>
          <w:i/>
          <w:iCs/>
          <w:noProof/>
          <w:sz w:val="24"/>
          <w:szCs w:val="24"/>
        </w:rPr>
        <w:t>Journal of Marriage and Family</w:t>
      </w:r>
      <w:r w:rsidRPr="00A47631">
        <w:rPr>
          <w:rFonts w:ascii="Calibri" w:hAnsi="Calibri" w:cs="Calibri"/>
          <w:noProof/>
          <w:sz w:val="24"/>
          <w:szCs w:val="24"/>
        </w:rPr>
        <w:t xml:space="preserve">, </w:t>
      </w:r>
      <w:r w:rsidRPr="00A47631">
        <w:rPr>
          <w:rFonts w:ascii="Calibri" w:hAnsi="Calibri" w:cs="Calibri"/>
          <w:i/>
          <w:iCs/>
          <w:noProof/>
          <w:sz w:val="24"/>
          <w:szCs w:val="24"/>
        </w:rPr>
        <w:t>82</w:t>
      </w:r>
      <w:r w:rsidRPr="00A47631">
        <w:rPr>
          <w:rFonts w:ascii="Calibri" w:hAnsi="Calibri" w:cs="Calibri"/>
          <w:noProof/>
          <w:sz w:val="24"/>
          <w:szCs w:val="24"/>
        </w:rPr>
        <w:t>(2), 691–712. https://doi.org/10.1111/jomf.12625</w:t>
      </w:r>
    </w:p>
    <w:p w14:paraId="794890E2"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Cunha, J. M., &amp; Miller, T. (2014). Measuring value-added in higher education: Possibilities and limitations in the use of administrative data. </w:t>
      </w:r>
      <w:r w:rsidRPr="00A47631">
        <w:rPr>
          <w:rFonts w:ascii="Calibri" w:hAnsi="Calibri" w:cs="Calibri"/>
          <w:i/>
          <w:iCs/>
          <w:noProof/>
          <w:sz w:val="24"/>
          <w:szCs w:val="24"/>
        </w:rPr>
        <w:t>Economics of Education Review</w:t>
      </w:r>
      <w:r w:rsidRPr="00A47631">
        <w:rPr>
          <w:rFonts w:ascii="Calibri" w:hAnsi="Calibri" w:cs="Calibri"/>
          <w:noProof/>
          <w:sz w:val="24"/>
          <w:szCs w:val="24"/>
        </w:rPr>
        <w:t xml:space="preserve">, </w:t>
      </w:r>
      <w:r w:rsidRPr="00A47631">
        <w:rPr>
          <w:rFonts w:ascii="Calibri" w:hAnsi="Calibri" w:cs="Calibri"/>
          <w:i/>
          <w:iCs/>
          <w:noProof/>
          <w:sz w:val="24"/>
          <w:szCs w:val="24"/>
        </w:rPr>
        <w:t>42</w:t>
      </w:r>
      <w:r w:rsidRPr="00A47631">
        <w:rPr>
          <w:rFonts w:ascii="Calibri" w:hAnsi="Calibri" w:cs="Calibri"/>
          <w:noProof/>
          <w:sz w:val="24"/>
          <w:szCs w:val="24"/>
        </w:rPr>
        <w:t>, 64–77. https://doi.org/10.1016/j.econedurev.2014.06.001</w:t>
      </w:r>
    </w:p>
    <w:p w14:paraId="6FEB2C47"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Downey, D. B. (1994). The School Performance of Children From Single-Mother and Single-</w:t>
      </w:r>
      <w:r w:rsidRPr="00A47631">
        <w:rPr>
          <w:rFonts w:ascii="Calibri" w:hAnsi="Calibri" w:cs="Calibri"/>
          <w:noProof/>
          <w:sz w:val="24"/>
          <w:szCs w:val="24"/>
        </w:rPr>
        <w:lastRenderedPageBreak/>
        <w:t xml:space="preserve">Father Families:: Economic or Interpersonal Deprivation? </w:t>
      </w:r>
      <w:r w:rsidRPr="00A47631">
        <w:rPr>
          <w:rFonts w:ascii="Calibri" w:hAnsi="Calibri" w:cs="Calibri"/>
          <w:i/>
          <w:iCs/>
          <w:noProof/>
          <w:sz w:val="24"/>
          <w:szCs w:val="24"/>
        </w:rPr>
        <w:t>Journal of Family Issues</w:t>
      </w:r>
      <w:r w:rsidRPr="00A47631">
        <w:rPr>
          <w:rFonts w:ascii="Calibri" w:hAnsi="Calibri" w:cs="Calibri"/>
          <w:noProof/>
          <w:sz w:val="24"/>
          <w:szCs w:val="24"/>
        </w:rPr>
        <w:t xml:space="preserve">, </w:t>
      </w:r>
      <w:r w:rsidRPr="00A47631">
        <w:rPr>
          <w:rFonts w:ascii="Calibri" w:hAnsi="Calibri" w:cs="Calibri"/>
          <w:i/>
          <w:iCs/>
          <w:noProof/>
          <w:sz w:val="24"/>
          <w:szCs w:val="24"/>
        </w:rPr>
        <w:t>15</w:t>
      </w:r>
      <w:r w:rsidRPr="00A47631">
        <w:rPr>
          <w:rFonts w:ascii="Calibri" w:hAnsi="Calibri" w:cs="Calibri"/>
          <w:noProof/>
          <w:sz w:val="24"/>
          <w:szCs w:val="24"/>
        </w:rPr>
        <w:t>(1), 129–147. https://doi.org/10.1177/019251394015001006</w:t>
      </w:r>
    </w:p>
    <w:p w14:paraId="2C0E9B80"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Featherman, D. L., &amp; Hauser, R. M. (1978). </w:t>
      </w:r>
      <w:r w:rsidRPr="00A47631">
        <w:rPr>
          <w:rFonts w:ascii="Calibri" w:hAnsi="Calibri" w:cs="Calibri"/>
          <w:i/>
          <w:iCs/>
          <w:noProof/>
          <w:sz w:val="24"/>
          <w:szCs w:val="24"/>
        </w:rPr>
        <w:t>Opportunity and change</w:t>
      </w:r>
      <w:r w:rsidRPr="00A47631">
        <w:rPr>
          <w:rFonts w:ascii="Calibri" w:hAnsi="Calibri" w:cs="Calibri"/>
          <w:noProof/>
          <w:sz w:val="24"/>
          <w:szCs w:val="24"/>
        </w:rPr>
        <w:t>. Academic Press.</w:t>
      </w:r>
    </w:p>
    <w:p w14:paraId="47705325"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Hargreaves, M. B. (1992). Learning Under Stress: Children of Single Parents and the Schools. In </w:t>
      </w:r>
      <w:r w:rsidRPr="00A47631">
        <w:rPr>
          <w:rFonts w:ascii="Calibri" w:hAnsi="Calibri" w:cs="Calibri"/>
          <w:i/>
          <w:iCs/>
          <w:noProof/>
          <w:sz w:val="24"/>
          <w:szCs w:val="24"/>
        </w:rPr>
        <w:t>Scarecrow Press (1992)</w:t>
      </w:r>
      <w:r w:rsidRPr="00A47631">
        <w:rPr>
          <w:rFonts w:ascii="Calibri" w:hAnsi="Calibri" w:cs="Calibri"/>
          <w:noProof/>
          <w:sz w:val="24"/>
          <w:szCs w:val="24"/>
        </w:rPr>
        <w:t>. https://philpapers.org/rec/HARLUS-2</w:t>
      </w:r>
    </w:p>
    <w:p w14:paraId="3B327D85"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Hoxby, C. M. (2004). </w:t>
      </w:r>
      <w:r w:rsidRPr="00A47631">
        <w:rPr>
          <w:rFonts w:ascii="Calibri" w:hAnsi="Calibri" w:cs="Calibri"/>
          <w:i/>
          <w:iCs/>
          <w:noProof/>
          <w:sz w:val="24"/>
          <w:szCs w:val="24"/>
        </w:rPr>
        <w:t>Achievement in Charter Schools and Regular Public Schools in the United States: Understanding the Differences.</w:t>
      </w:r>
      <w:r w:rsidRPr="00A47631">
        <w:rPr>
          <w:rFonts w:ascii="Calibri" w:hAnsi="Calibri" w:cs="Calibri"/>
          <w:noProof/>
          <w:sz w:val="24"/>
          <w:szCs w:val="24"/>
        </w:rPr>
        <w:t xml:space="preserve"> https://www.semanticscholar.org/paper/Achievement-in-Charter-Schools-and-Regular-Public-Schools-Hoxby/cfcea9b9fed7ee38f271ff28162e98977c0a4dd3</w:t>
      </w:r>
    </w:p>
    <w:p w14:paraId="1B06314F"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Ingersoll, G. M., Scamman, J. P., &amp; Eckerling, W. D. (1989). Geographic Mobility and Student Achievement in an Urban Setting. </w:t>
      </w:r>
      <w:r w:rsidRPr="00A47631">
        <w:rPr>
          <w:rFonts w:ascii="Calibri" w:hAnsi="Calibri" w:cs="Calibri"/>
          <w:i/>
          <w:iCs/>
          <w:noProof/>
          <w:sz w:val="24"/>
          <w:szCs w:val="24"/>
        </w:rPr>
        <w:t>Educational Evaluation and Policy Analysis</w:t>
      </w:r>
      <w:r w:rsidRPr="00A47631">
        <w:rPr>
          <w:rFonts w:ascii="Calibri" w:hAnsi="Calibri" w:cs="Calibri"/>
          <w:noProof/>
          <w:sz w:val="24"/>
          <w:szCs w:val="24"/>
        </w:rPr>
        <w:t xml:space="preserve">, </w:t>
      </w:r>
      <w:r w:rsidRPr="00A47631">
        <w:rPr>
          <w:rFonts w:ascii="Calibri" w:hAnsi="Calibri" w:cs="Calibri"/>
          <w:i/>
          <w:iCs/>
          <w:noProof/>
          <w:sz w:val="24"/>
          <w:szCs w:val="24"/>
        </w:rPr>
        <w:t>11</w:t>
      </w:r>
      <w:r w:rsidRPr="00A47631">
        <w:rPr>
          <w:rFonts w:ascii="Calibri" w:hAnsi="Calibri" w:cs="Calibri"/>
          <w:noProof/>
          <w:sz w:val="24"/>
          <w:szCs w:val="24"/>
        </w:rPr>
        <w:t>(2), 143–149. https://doi.org/10.3102/01623737011002143</w:t>
      </w:r>
    </w:p>
    <w:p w14:paraId="579E5CF1"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Jeynes, W. H. (1999). The Role of Family Residential Mobility in Explaining the Lower Academic Achievement of High School Children from Reconstituted Families. </w:t>
      </w:r>
      <w:r w:rsidRPr="00A47631">
        <w:rPr>
          <w:rFonts w:ascii="Calibri" w:hAnsi="Calibri" w:cs="Calibri"/>
          <w:i/>
          <w:iCs/>
          <w:noProof/>
          <w:sz w:val="24"/>
          <w:szCs w:val="24"/>
        </w:rPr>
        <w:t>Journal of Divorce &amp; Remarriage</w:t>
      </w:r>
      <w:r w:rsidRPr="00A47631">
        <w:rPr>
          <w:rFonts w:ascii="Calibri" w:hAnsi="Calibri" w:cs="Calibri"/>
          <w:noProof/>
          <w:sz w:val="24"/>
          <w:szCs w:val="24"/>
        </w:rPr>
        <w:t xml:space="preserve">, </w:t>
      </w:r>
      <w:r w:rsidRPr="00A47631">
        <w:rPr>
          <w:rFonts w:ascii="Calibri" w:hAnsi="Calibri" w:cs="Calibri"/>
          <w:i/>
          <w:iCs/>
          <w:noProof/>
          <w:sz w:val="24"/>
          <w:szCs w:val="24"/>
        </w:rPr>
        <w:t>32</w:t>
      </w:r>
      <w:r w:rsidRPr="00A47631">
        <w:rPr>
          <w:rFonts w:ascii="Calibri" w:hAnsi="Calibri" w:cs="Calibri"/>
          <w:noProof/>
          <w:sz w:val="24"/>
          <w:szCs w:val="24"/>
        </w:rPr>
        <w:t>(1–2), 123–143. https://doi.org/10.1300/J087v32n01_08</w:t>
      </w:r>
    </w:p>
    <w:p w14:paraId="7160810F"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Jeynes, W. H. (2000). The effects of several of the most common family structures on the academic achievement of eighth graders. </w:t>
      </w:r>
      <w:r w:rsidRPr="00A47631">
        <w:rPr>
          <w:rFonts w:ascii="Calibri" w:hAnsi="Calibri" w:cs="Calibri"/>
          <w:i/>
          <w:iCs/>
          <w:noProof/>
          <w:sz w:val="24"/>
          <w:szCs w:val="24"/>
        </w:rPr>
        <w:t>Marriage and Family Review</w:t>
      </w:r>
      <w:r w:rsidRPr="00A47631">
        <w:rPr>
          <w:rFonts w:ascii="Calibri" w:hAnsi="Calibri" w:cs="Calibri"/>
          <w:noProof/>
          <w:sz w:val="24"/>
          <w:szCs w:val="24"/>
        </w:rPr>
        <w:t xml:space="preserve">, </w:t>
      </w:r>
      <w:r w:rsidRPr="00A47631">
        <w:rPr>
          <w:rFonts w:ascii="Calibri" w:hAnsi="Calibri" w:cs="Calibri"/>
          <w:i/>
          <w:iCs/>
          <w:noProof/>
          <w:sz w:val="24"/>
          <w:szCs w:val="24"/>
        </w:rPr>
        <w:t>30</w:t>
      </w:r>
      <w:r w:rsidRPr="00A47631">
        <w:rPr>
          <w:rFonts w:ascii="Calibri" w:hAnsi="Calibri" w:cs="Calibri"/>
          <w:noProof/>
          <w:sz w:val="24"/>
          <w:szCs w:val="24"/>
        </w:rPr>
        <w:t>(1–2), 73–97. https://doi.org/10.1300/J002v30n01_06</w:t>
      </w:r>
    </w:p>
    <w:p w14:paraId="1E4411CA"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Jeynes, W. H. (2005). Effects of Parental Involvement and Family Structure on the Academic Achievement of Adolescents. </w:t>
      </w:r>
      <w:r w:rsidRPr="00A47631">
        <w:rPr>
          <w:rFonts w:ascii="Calibri" w:hAnsi="Calibri" w:cs="Calibri"/>
          <w:i/>
          <w:iCs/>
          <w:noProof/>
          <w:sz w:val="24"/>
          <w:szCs w:val="24"/>
        </w:rPr>
        <w:t>Marriage &amp; Family Review</w:t>
      </w:r>
      <w:r w:rsidRPr="00A47631">
        <w:rPr>
          <w:rFonts w:ascii="Calibri" w:hAnsi="Calibri" w:cs="Calibri"/>
          <w:noProof/>
          <w:sz w:val="24"/>
          <w:szCs w:val="24"/>
        </w:rPr>
        <w:t xml:space="preserve">, </w:t>
      </w:r>
      <w:r w:rsidRPr="00A47631">
        <w:rPr>
          <w:rFonts w:ascii="Calibri" w:hAnsi="Calibri" w:cs="Calibri"/>
          <w:i/>
          <w:iCs/>
          <w:noProof/>
          <w:sz w:val="24"/>
          <w:szCs w:val="24"/>
        </w:rPr>
        <w:t>37</w:t>
      </w:r>
      <w:r w:rsidRPr="00A47631">
        <w:rPr>
          <w:rFonts w:ascii="Calibri" w:hAnsi="Calibri" w:cs="Calibri"/>
          <w:noProof/>
          <w:sz w:val="24"/>
          <w:szCs w:val="24"/>
        </w:rPr>
        <w:t>(3), 99–116. https://doi.org/10.1300/J002v37n03_06</w:t>
      </w:r>
    </w:p>
    <w:p w14:paraId="346B373E"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Judit, M., &amp; Lívia, M. (2015). </w:t>
      </w:r>
      <w:r w:rsidRPr="00A47631">
        <w:rPr>
          <w:rFonts w:ascii="Calibri" w:hAnsi="Calibri" w:cs="Calibri"/>
          <w:i/>
          <w:iCs/>
          <w:noProof/>
          <w:sz w:val="24"/>
          <w:szCs w:val="24"/>
        </w:rPr>
        <w:t>Család- és háztartásszerkezet</w:t>
      </w:r>
      <w:r w:rsidRPr="00A47631">
        <w:rPr>
          <w:rFonts w:ascii="Calibri" w:hAnsi="Calibri" w:cs="Calibri"/>
          <w:noProof/>
          <w:sz w:val="24"/>
          <w:szCs w:val="24"/>
        </w:rPr>
        <w:t>. 153–170.</w:t>
      </w:r>
    </w:p>
    <w:p w14:paraId="10331C98"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Keller, T. (2015). The Power of Family? The Change in Academic Achievement after Breakdown of the Biological Family. </w:t>
      </w:r>
      <w:r w:rsidRPr="00A47631">
        <w:rPr>
          <w:rFonts w:ascii="Calibri" w:hAnsi="Calibri" w:cs="Calibri"/>
          <w:i/>
          <w:iCs/>
          <w:noProof/>
          <w:sz w:val="24"/>
          <w:szCs w:val="24"/>
        </w:rPr>
        <w:t>SSRN Electronic Journal</w:t>
      </w:r>
      <w:r w:rsidRPr="00A47631">
        <w:rPr>
          <w:rFonts w:ascii="Calibri" w:hAnsi="Calibri" w:cs="Calibri"/>
          <w:noProof/>
          <w:sz w:val="24"/>
          <w:szCs w:val="24"/>
        </w:rPr>
        <w:t>. https://doi.org/10.2139/ssrn.2697532</w:t>
      </w:r>
    </w:p>
    <w:p w14:paraId="13DCA93F"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Kertesi, G., &amp; Kézdi, G. (2011). The Roma/non-Roma test score gap in Hungary. </w:t>
      </w:r>
      <w:r w:rsidRPr="00A47631">
        <w:rPr>
          <w:rFonts w:ascii="Calibri" w:hAnsi="Calibri" w:cs="Calibri"/>
          <w:i/>
          <w:iCs/>
          <w:noProof/>
          <w:sz w:val="24"/>
          <w:szCs w:val="24"/>
        </w:rPr>
        <w:t>American Economic Review</w:t>
      </w:r>
      <w:r w:rsidRPr="00A47631">
        <w:rPr>
          <w:rFonts w:ascii="Calibri" w:hAnsi="Calibri" w:cs="Calibri"/>
          <w:noProof/>
          <w:sz w:val="24"/>
          <w:szCs w:val="24"/>
        </w:rPr>
        <w:t xml:space="preserve">, </w:t>
      </w:r>
      <w:r w:rsidRPr="00A47631">
        <w:rPr>
          <w:rFonts w:ascii="Calibri" w:hAnsi="Calibri" w:cs="Calibri"/>
          <w:i/>
          <w:iCs/>
          <w:noProof/>
          <w:sz w:val="24"/>
          <w:szCs w:val="24"/>
        </w:rPr>
        <w:t>101</w:t>
      </w:r>
      <w:r w:rsidRPr="00A47631">
        <w:rPr>
          <w:rFonts w:ascii="Calibri" w:hAnsi="Calibri" w:cs="Calibri"/>
          <w:noProof/>
          <w:sz w:val="24"/>
          <w:szCs w:val="24"/>
        </w:rPr>
        <w:t>(3), 519–525. https://doi.org/10.1257/aer.101.3.519</w:t>
      </w:r>
    </w:p>
    <w:p w14:paraId="135587F1"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Kim, H. J. (2004). Family resources and children’s academic performance. </w:t>
      </w:r>
      <w:r w:rsidRPr="00A47631">
        <w:rPr>
          <w:rFonts w:ascii="Calibri" w:hAnsi="Calibri" w:cs="Calibri"/>
          <w:i/>
          <w:iCs/>
          <w:noProof/>
          <w:sz w:val="24"/>
          <w:szCs w:val="24"/>
        </w:rPr>
        <w:t xml:space="preserve">Children and Youth </w:t>
      </w:r>
      <w:r w:rsidRPr="00A47631">
        <w:rPr>
          <w:rFonts w:ascii="Calibri" w:hAnsi="Calibri" w:cs="Calibri"/>
          <w:i/>
          <w:iCs/>
          <w:noProof/>
          <w:sz w:val="24"/>
          <w:szCs w:val="24"/>
        </w:rPr>
        <w:lastRenderedPageBreak/>
        <w:t>Services Review</w:t>
      </w:r>
      <w:r w:rsidRPr="00A47631">
        <w:rPr>
          <w:rFonts w:ascii="Calibri" w:hAnsi="Calibri" w:cs="Calibri"/>
          <w:noProof/>
          <w:sz w:val="24"/>
          <w:szCs w:val="24"/>
        </w:rPr>
        <w:t xml:space="preserve">, </w:t>
      </w:r>
      <w:r w:rsidRPr="00A47631">
        <w:rPr>
          <w:rFonts w:ascii="Calibri" w:hAnsi="Calibri" w:cs="Calibri"/>
          <w:i/>
          <w:iCs/>
          <w:noProof/>
          <w:sz w:val="24"/>
          <w:szCs w:val="24"/>
        </w:rPr>
        <w:t>26</w:t>
      </w:r>
      <w:r w:rsidRPr="00A47631">
        <w:rPr>
          <w:rFonts w:ascii="Calibri" w:hAnsi="Calibri" w:cs="Calibri"/>
          <w:noProof/>
          <w:sz w:val="24"/>
          <w:szCs w:val="24"/>
        </w:rPr>
        <w:t>(6), 529–536. https://doi.org/10.1016/j.childyouth.2004.02.008</w:t>
      </w:r>
    </w:p>
    <w:p w14:paraId="534CE8EA"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Központi Statisztikai Hivatal. (2018). </w:t>
      </w:r>
      <w:r w:rsidRPr="00A47631">
        <w:rPr>
          <w:rFonts w:ascii="Calibri" w:hAnsi="Calibri" w:cs="Calibri"/>
          <w:i/>
          <w:iCs/>
          <w:noProof/>
          <w:sz w:val="24"/>
          <w:szCs w:val="24"/>
        </w:rPr>
        <w:t>6. A háztartások és a családok adatai</w:t>
      </w:r>
      <w:r w:rsidRPr="00A47631">
        <w:rPr>
          <w:rFonts w:ascii="Calibri" w:hAnsi="Calibri" w:cs="Calibri"/>
          <w:noProof/>
          <w:sz w:val="24"/>
          <w:szCs w:val="24"/>
        </w:rPr>
        <w:t>. https://www.ksh.hu/docs/hun/xftp/idoszaki/mikrocenzus2016/mikrocenzus_2016_6.pdf</w:t>
      </w:r>
    </w:p>
    <w:p w14:paraId="489033F8"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Központi Statisztikai Hivatal. (2019). A válás demográfiai jellemzői. </w:t>
      </w:r>
      <w:r w:rsidRPr="00A47631">
        <w:rPr>
          <w:rFonts w:ascii="Calibri" w:hAnsi="Calibri" w:cs="Calibri"/>
          <w:i/>
          <w:iCs/>
          <w:noProof/>
          <w:sz w:val="24"/>
          <w:szCs w:val="24"/>
        </w:rPr>
        <w:t>Statisztikai Tükör</w:t>
      </w:r>
      <w:r w:rsidRPr="00A47631">
        <w:rPr>
          <w:rFonts w:ascii="Calibri" w:hAnsi="Calibri" w:cs="Calibri"/>
          <w:noProof/>
          <w:sz w:val="24"/>
          <w:szCs w:val="24"/>
        </w:rPr>
        <w:t>.</w:t>
      </w:r>
    </w:p>
    <w:p w14:paraId="5F269E90"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Krein, S. F., &amp; Beller, A. H. (1988). Educational attainment of children from single-parent families: Differences by exposure, gender, and race. </w:t>
      </w:r>
      <w:r w:rsidRPr="00A47631">
        <w:rPr>
          <w:rFonts w:ascii="Calibri" w:hAnsi="Calibri" w:cs="Calibri"/>
          <w:i/>
          <w:iCs/>
          <w:noProof/>
          <w:sz w:val="24"/>
          <w:szCs w:val="24"/>
        </w:rPr>
        <w:t>Demography</w:t>
      </w:r>
      <w:r w:rsidRPr="00A47631">
        <w:rPr>
          <w:rFonts w:ascii="Calibri" w:hAnsi="Calibri" w:cs="Calibri"/>
          <w:noProof/>
          <w:sz w:val="24"/>
          <w:szCs w:val="24"/>
        </w:rPr>
        <w:t xml:space="preserve">, </w:t>
      </w:r>
      <w:r w:rsidRPr="00A47631">
        <w:rPr>
          <w:rFonts w:ascii="Calibri" w:hAnsi="Calibri" w:cs="Calibri"/>
          <w:i/>
          <w:iCs/>
          <w:noProof/>
          <w:sz w:val="24"/>
          <w:szCs w:val="24"/>
        </w:rPr>
        <w:t>25</w:t>
      </w:r>
      <w:r w:rsidRPr="00A47631">
        <w:rPr>
          <w:rFonts w:ascii="Calibri" w:hAnsi="Calibri" w:cs="Calibri"/>
          <w:noProof/>
          <w:sz w:val="24"/>
          <w:szCs w:val="24"/>
        </w:rPr>
        <w:t>(2), 221–234. https://doi.org/10.2307/2061290</w:t>
      </w:r>
    </w:p>
    <w:p w14:paraId="679DE29C"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Kurtz, L. (1994). Teacher Assessments of Coping Styles in Children of Divorce. </w:t>
      </w:r>
      <w:r w:rsidRPr="00A47631">
        <w:rPr>
          <w:rFonts w:ascii="Calibri" w:hAnsi="Calibri" w:cs="Calibri"/>
          <w:i/>
          <w:iCs/>
          <w:noProof/>
          <w:sz w:val="24"/>
          <w:szCs w:val="24"/>
        </w:rPr>
        <w:t>American Educational Research Association</w:t>
      </w:r>
      <w:r w:rsidRPr="00A47631">
        <w:rPr>
          <w:rFonts w:ascii="Calibri" w:hAnsi="Calibri" w:cs="Calibri"/>
          <w:noProof/>
          <w:sz w:val="24"/>
          <w:szCs w:val="24"/>
        </w:rPr>
        <w:t>.</w:t>
      </w:r>
    </w:p>
    <w:p w14:paraId="2F0B74E2"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Lubienski, S. T., &amp; Lubienski, C. (2006). Mathematics Data. </w:t>
      </w:r>
      <w:r w:rsidRPr="00A47631">
        <w:rPr>
          <w:rFonts w:ascii="Calibri" w:hAnsi="Calibri" w:cs="Calibri"/>
          <w:i/>
          <w:iCs/>
          <w:noProof/>
          <w:sz w:val="24"/>
          <w:szCs w:val="24"/>
        </w:rPr>
        <w:t>American Educational Research Journal</w:t>
      </w:r>
      <w:r w:rsidRPr="00A47631">
        <w:rPr>
          <w:rFonts w:ascii="Calibri" w:hAnsi="Calibri" w:cs="Calibri"/>
          <w:noProof/>
          <w:sz w:val="24"/>
          <w:szCs w:val="24"/>
        </w:rPr>
        <w:t xml:space="preserve">, </w:t>
      </w:r>
      <w:r w:rsidRPr="00A47631">
        <w:rPr>
          <w:rFonts w:ascii="Calibri" w:hAnsi="Calibri" w:cs="Calibri"/>
          <w:i/>
          <w:iCs/>
          <w:noProof/>
          <w:sz w:val="24"/>
          <w:szCs w:val="24"/>
        </w:rPr>
        <w:t>43</w:t>
      </w:r>
      <w:r w:rsidRPr="00A47631">
        <w:rPr>
          <w:rFonts w:ascii="Calibri" w:hAnsi="Calibri" w:cs="Calibri"/>
          <w:noProof/>
          <w:sz w:val="24"/>
          <w:szCs w:val="24"/>
        </w:rPr>
        <w:t>(4), 651–698.</w:t>
      </w:r>
    </w:p>
    <w:p w14:paraId="658FBF64"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Madden-Derdich, D. A., &amp; Leonard, S. A. (2000). Parental role identity and fathers’ involvement in coparental interaction after divorce: Fathers’ perspectives. </w:t>
      </w:r>
      <w:r w:rsidRPr="00A47631">
        <w:rPr>
          <w:rFonts w:ascii="Calibri" w:hAnsi="Calibri" w:cs="Calibri"/>
          <w:i/>
          <w:iCs/>
          <w:noProof/>
          <w:sz w:val="24"/>
          <w:szCs w:val="24"/>
        </w:rPr>
        <w:t>Family Relations</w:t>
      </w:r>
      <w:r w:rsidRPr="00A47631">
        <w:rPr>
          <w:rFonts w:ascii="Calibri" w:hAnsi="Calibri" w:cs="Calibri"/>
          <w:noProof/>
          <w:sz w:val="24"/>
          <w:szCs w:val="24"/>
        </w:rPr>
        <w:t xml:space="preserve">, </w:t>
      </w:r>
      <w:r w:rsidRPr="00A47631">
        <w:rPr>
          <w:rFonts w:ascii="Calibri" w:hAnsi="Calibri" w:cs="Calibri"/>
          <w:i/>
          <w:iCs/>
          <w:noProof/>
          <w:sz w:val="24"/>
          <w:szCs w:val="24"/>
        </w:rPr>
        <w:t>49</w:t>
      </w:r>
      <w:r w:rsidRPr="00A47631">
        <w:rPr>
          <w:rFonts w:ascii="Calibri" w:hAnsi="Calibri" w:cs="Calibri"/>
          <w:noProof/>
          <w:sz w:val="24"/>
          <w:szCs w:val="24"/>
        </w:rPr>
        <w:t>(3), 311–318. https://doi.org/10.1111/j.1741-3729.2000.00311.x</w:t>
      </w:r>
    </w:p>
    <w:p w14:paraId="56AE4F7F"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Manning, W. D., &amp; Lamb, K. A. (2003). Adolescent Well-Being in Cohabiting, Married, and Single-Parent Families. </w:t>
      </w:r>
      <w:r w:rsidRPr="00A47631">
        <w:rPr>
          <w:rFonts w:ascii="Calibri" w:hAnsi="Calibri" w:cs="Calibri"/>
          <w:i/>
          <w:iCs/>
          <w:noProof/>
          <w:sz w:val="24"/>
          <w:szCs w:val="24"/>
        </w:rPr>
        <w:t>Journal of Marriage and Family</w:t>
      </w:r>
      <w:r w:rsidRPr="00A47631">
        <w:rPr>
          <w:rFonts w:ascii="Calibri" w:hAnsi="Calibri" w:cs="Calibri"/>
          <w:noProof/>
          <w:sz w:val="24"/>
          <w:szCs w:val="24"/>
        </w:rPr>
        <w:t xml:space="preserve">, </w:t>
      </w:r>
      <w:r w:rsidRPr="00A47631">
        <w:rPr>
          <w:rFonts w:ascii="Calibri" w:hAnsi="Calibri" w:cs="Calibri"/>
          <w:i/>
          <w:iCs/>
          <w:noProof/>
          <w:sz w:val="24"/>
          <w:szCs w:val="24"/>
        </w:rPr>
        <w:t>65</w:t>
      </w:r>
      <w:r w:rsidRPr="00A47631">
        <w:rPr>
          <w:rFonts w:ascii="Calibri" w:hAnsi="Calibri" w:cs="Calibri"/>
          <w:noProof/>
          <w:sz w:val="24"/>
          <w:szCs w:val="24"/>
        </w:rPr>
        <w:t>(4), 876–893. https://doi.org/10.1111/j.1741-3737.2003.00876.x</w:t>
      </w:r>
    </w:p>
    <w:p w14:paraId="782C91C0"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Mechanic, D., &amp; Hansell, S. (1989). Divorce, family conflict, and adolescents’ well-being. </w:t>
      </w:r>
      <w:r w:rsidRPr="00A47631">
        <w:rPr>
          <w:rFonts w:ascii="Calibri" w:hAnsi="Calibri" w:cs="Calibri"/>
          <w:i/>
          <w:iCs/>
          <w:noProof/>
          <w:sz w:val="24"/>
          <w:szCs w:val="24"/>
        </w:rPr>
        <w:t>Journal of Health and Social Behavior</w:t>
      </w:r>
      <w:r w:rsidRPr="00A47631">
        <w:rPr>
          <w:rFonts w:ascii="Calibri" w:hAnsi="Calibri" w:cs="Calibri"/>
          <w:noProof/>
          <w:sz w:val="24"/>
          <w:szCs w:val="24"/>
        </w:rPr>
        <w:t xml:space="preserve">, </w:t>
      </w:r>
      <w:r w:rsidRPr="00A47631">
        <w:rPr>
          <w:rFonts w:ascii="Calibri" w:hAnsi="Calibri" w:cs="Calibri"/>
          <w:i/>
          <w:iCs/>
          <w:noProof/>
          <w:sz w:val="24"/>
          <w:szCs w:val="24"/>
        </w:rPr>
        <w:t>30</w:t>
      </w:r>
      <w:r w:rsidRPr="00A47631">
        <w:rPr>
          <w:rFonts w:ascii="Calibri" w:hAnsi="Calibri" w:cs="Calibri"/>
          <w:noProof/>
          <w:sz w:val="24"/>
          <w:szCs w:val="24"/>
        </w:rPr>
        <w:t>(1), 105–116. https://doi.org/10.2307/2136916</w:t>
      </w:r>
    </w:p>
    <w:p w14:paraId="60E0720D"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Monostori, J. (2019). Egyszülős családok és politikák Magyarországon és Európában. </w:t>
      </w:r>
      <w:r w:rsidRPr="00A47631">
        <w:rPr>
          <w:rFonts w:ascii="Calibri" w:hAnsi="Calibri" w:cs="Calibri"/>
          <w:i/>
          <w:iCs/>
          <w:noProof/>
          <w:sz w:val="24"/>
          <w:szCs w:val="24"/>
        </w:rPr>
        <w:t>Demográfia</w:t>
      </w:r>
      <w:r w:rsidRPr="00A47631">
        <w:rPr>
          <w:rFonts w:ascii="Calibri" w:hAnsi="Calibri" w:cs="Calibri"/>
          <w:noProof/>
          <w:sz w:val="24"/>
          <w:szCs w:val="24"/>
        </w:rPr>
        <w:t xml:space="preserve">, </w:t>
      </w:r>
      <w:r w:rsidRPr="00A47631">
        <w:rPr>
          <w:rFonts w:ascii="Calibri" w:hAnsi="Calibri" w:cs="Calibri"/>
          <w:i/>
          <w:iCs/>
          <w:noProof/>
          <w:sz w:val="24"/>
          <w:szCs w:val="24"/>
        </w:rPr>
        <w:t>62</w:t>
      </w:r>
      <w:r w:rsidRPr="00A47631">
        <w:rPr>
          <w:rFonts w:ascii="Calibri" w:hAnsi="Calibri" w:cs="Calibri"/>
          <w:noProof/>
          <w:sz w:val="24"/>
          <w:szCs w:val="24"/>
        </w:rPr>
        <w:t>(1), 5–41. https://doi.org/10.21543/dem.62.1.1</w:t>
      </w:r>
    </w:p>
    <w:p w14:paraId="1D844DF1"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Monostori, J., &amp; Murinkó, L. (2015). Family and Household Structure. </w:t>
      </w:r>
      <w:r w:rsidRPr="00A47631">
        <w:rPr>
          <w:rFonts w:ascii="Calibri" w:hAnsi="Calibri" w:cs="Calibri"/>
          <w:i/>
          <w:iCs/>
          <w:noProof/>
          <w:sz w:val="24"/>
          <w:szCs w:val="24"/>
        </w:rPr>
        <w:t>Encyclopedia of Sociology. Volume 2</w:t>
      </w:r>
      <w:r w:rsidRPr="00A47631">
        <w:rPr>
          <w:rFonts w:ascii="Calibri" w:hAnsi="Calibri" w:cs="Calibri"/>
          <w:noProof/>
          <w:sz w:val="24"/>
          <w:szCs w:val="24"/>
        </w:rPr>
        <w:t>, 151–168.</w:t>
      </w:r>
    </w:p>
    <w:p w14:paraId="77AEDBA2"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Myers, D. E., Milne, A. M., Baker, K., &amp; Ginsburg, A. (1987). Student Discipline and High School Performance. </w:t>
      </w:r>
      <w:r w:rsidRPr="00A47631">
        <w:rPr>
          <w:rFonts w:ascii="Calibri" w:hAnsi="Calibri" w:cs="Calibri"/>
          <w:i/>
          <w:iCs/>
          <w:noProof/>
          <w:sz w:val="24"/>
          <w:szCs w:val="24"/>
        </w:rPr>
        <w:t>Sociology of Education</w:t>
      </w:r>
      <w:r w:rsidRPr="00A47631">
        <w:rPr>
          <w:rFonts w:ascii="Calibri" w:hAnsi="Calibri" w:cs="Calibri"/>
          <w:noProof/>
          <w:sz w:val="24"/>
          <w:szCs w:val="24"/>
        </w:rPr>
        <w:t xml:space="preserve">, </w:t>
      </w:r>
      <w:r w:rsidRPr="00A47631">
        <w:rPr>
          <w:rFonts w:ascii="Calibri" w:hAnsi="Calibri" w:cs="Calibri"/>
          <w:i/>
          <w:iCs/>
          <w:noProof/>
          <w:sz w:val="24"/>
          <w:szCs w:val="24"/>
        </w:rPr>
        <w:t>60</w:t>
      </w:r>
      <w:r w:rsidRPr="00A47631">
        <w:rPr>
          <w:rFonts w:ascii="Calibri" w:hAnsi="Calibri" w:cs="Calibri"/>
          <w:noProof/>
          <w:sz w:val="24"/>
          <w:szCs w:val="24"/>
        </w:rPr>
        <w:t>(1), 18. https://doi.org/10.2307/2112616</w:t>
      </w:r>
    </w:p>
    <w:p w14:paraId="0A2CC1D4"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lastRenderedPageBreak/>
        <w:t xml:space="preserve">Newhouse, D. L., &amp; Beegle, K. (2011). The Effect of School Type on Academic Achievement: Evidence from Indonesia. </w:t>
      </w:r>
      <w:r w:rsidRPr="00A47631">
        <w:rPr>
          <w:rFonts w:ascii="Calibri" w:hAnsi="Calibri" w:cs="Calibri"/>
          <w:i/>
          <w:iCs/>
          <w:noProof/>
          <w:sz w:val="24"/>
          <w:szCs w:val="24"/>
        </w:rPr>
        <w:t>SSRN Electronic Journal</w:t>
      </w:r>
      <w:r w:rsidRPr="00A47631">
        <w:rPr>
          <w:rFonts w:ascii="Calibri" w:hAnsi="Calibri" w:cs="Calibri"/>
          <w:noProof/>
          <w:sz w:val="24"/>
          <w:szCs w:val="24"/>
        </w:rPr>
        <w:t>. https://doi.org/10.2139/ssrn.753544</w:t>
      </w:r>
    </w:p>
    <w:p w14:paraId="72148BBF"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Nilsen, S. A., Breivik, K., Wold, B., Askeland, K. G., Sivertsen, B., Hysing, M., &amp; Bøe, T. (2020). Divorce and adolescent academic achievement: Heterogeneity in the associations by parental education. </w:t>
      </w:r>
      <w:r w:rsidRPr="00A47631">
        <w:rPr>
          <w:rFonts w:ascii="Calibri" w:hAnsi="Calibri" w:cs="Calibri"/>
          <w:i/>
          <w:iCs/>
          <w:noProof/>
          <w:sz w:val="24"/>
          <w:szCs w:val="24"/>
        </w:rPr>
        <w:t>PLoS ONE</w:t>
      </w:r>
      <w:r w:rsidRPr="00A47631">
        <w:rPr>
          <w:rFonts w:ascii="Calibri" w:hAnsi="Calibri" w:cs="Calibri"/>
          <w:noProof/>
          <w:sz w:val="24"/>
          <w:szCs w:val="24"/>
        </w:rPr>
        <w:t xml:space="preserve">, </w:t>
      </w:r>
      <w:r w:rsidRPr="00A47631">
        <w:rPr>
          <w:rFonts w:ascii="Calibri" w:hAnsi="Calibri" w:cs="Calibri"/>
          <w:i/>
          <w:iCs/>
          <w:noProof/>
          <w:sz w:val="24"/>
          <w:szCs w:val="24"/>
        </w:rPr>
        <w:t>15</w:t>
      </w:r>
      <w:r w:rsidRPr="00A47631">
        <w:rPr>
          <w:rFonts w:ascii="Calibri" w:hAnsi="Calibri" w:cs="Calibri"/>
          <w:noProof/>
          <w:sz w:val="24"/>
          <w:szCs w:val="24"/>
        </w:rPr>
        <w:t>(3), 1–22. https://doi.org/10.1371/journal.pone.0229183</w:t>
      </w:r>
    </w:p>
    <w:p w14:paraId="19422543"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i/>
          <w:iCs/>
          <w:noProof/>
          <w:sz w:val="24"/>
          <w:szCs w:val="24"/>
        </w:rPr>
        <w:t>NLSY79 Child and Young Adult Data User’s Guide 2002 Appendix A.</w:t>
      </w:r>
      <w:r w:rsidRPr="00A47631">
        <w:rPr>
          <w:rFonts w:ascii="Calibri" w:hAnsi="Calibri" w:cs="Calibri"/>
          <w:noProof/>
          <w:sz w:val="24"/>
          <w:szCs w:val="24"/>
        </w:rPr>
        <w:t xml:space="preserve"> (2004). Centre for Human Resource Research. The Ohio State University. https://www.nlsinfo.org/pub/usersvc/Child-Young-Adult/2006ChildYA-DataUsersGuide.pdf</w:t>
      </w:r>
    </w:p>
    <w:p w14:paraId="199C2D05"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OECD. (2016). Family Size and Composition. </w:t>
      </w:r>
      <w:r w:rsidRPr="00A47631">
        <w:rPr>
          <w:rFonts w:ascii="Calibri" w:hAnsi="Calibri" w:cs="Calibri"/>
          <w:i/>
          <w:iCs/>
          <w:noProof/>
          <w:sz w:val="24"/>
          <w:szCs w:val="24"/>
        </w:rPr>
        <w:t>OECD Family Database</w:t>
      </w:r>
      <w:r w:rsidRPr="00A47631">
        <w:rPr>
          <w:rFonts w:ascii="Calibri" w:hAnsi="Calibri" w:cs="Calibri"/>
          <w:noProof/>
          <w:sz w:val="24"/>
          <w:szCs w:val="24"/>
        </w:rPr>
        <w:t>, 6–12. http://www.oecd.org/els/family/SF_1_1_Family_size_and_composition.pdf</w:t>
      </w:r>
    </w:p>
    <w:p w14:paraId="1777DCB4"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OECD. (2017). </w:t>
      </w:r>
      <w:r w:rsidRPr="00A47631">
        <w:rPr>
          <w:rFonts w:ascii="Calibri" w:hAnsi="Calibri" w:cs="Calibri"/>
          <w:i/>
          <w:iCs/>
          <w:noProof/>
          <w:sz w:val="24"/>
          <w:szCs w:val="24"/>
        </w:rPr>
        <w:t>SF3 . 2 . Family dissolution and children</w:t>
      </w:r>
      <w:r w:rsidRPr="00A47631">
        <w:rPr>
          <w:rFonts w:ascii="Calibri" w:hAnsi="Calibri" w:cs="Calibri"/>
          <w:noProof/>
          <w:sz w:val="24"/>
          <w:szCs w:val="24"/>
        </w:rPr>
        <w:t xml:space="preserve">. </w:t>
      </w:r>
      <w:r w:rsidRPr="00A47631">
        <w:rPr>
          <w:rFonts w:ascii="Calibri" w:hAnsi="Calibri" w:cs="Calibri"/>
          <w:i/>
          <w:iCs/>
          <w:noProof/>
          <w:sz w:val="24"/>
          <w:szCs w:val="24"/>
        </w:rPr>
        <w:t>December</w:t>
      </w:r>
      <w:r w:rsidRPr="00A47631">
        <w:rPr>
          <w:rFonts w:ascii="Calibri" w:hAnsi="Calibri" w:cs="Calibri"/>
          <w:noProof/>
          <w:sz w:val="24"/>
          <w:szCs w:val="24"/>
        </w:rPr>
        <w:t>, 1–5. http://www.oecd.org/els/family/SF_3_2_Family_dissolution_children.pdf</w:t>
      </w:r>
    </w:p>
    <w:p w14:paraId="6C5AAE98"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Pong, S.-L., &amp; Ju, D.-B. (2000). The Effects of Change in Family Structure and Income on Dropping Out of Middle and High School. </w:t>
      </w:r>
      <w:r w:rsidRPr="00A47631">
        <w:rPr>
          <w:rFonts w:ascii="Calibri" w:hAnsi="Calibri" w:cs="Calibri"/>
          <w:i/>
          <w:iCs/>
          <w:noProof/>
          <w:sz w:val="24"/>
          <w:szCs w:val="24"/>
        </w:rPr>
        <w:t>Journal of Family Issues</w:t>
      </w:r>
      <w:r w:rsidRPr="00A47631">
        <w:rPr>
          <w:rFonts w:ascii="Calibri" w:hAnsi="Calibri" w:cs="Calibri"/>
          <w:noProof/>
          <w:sz w:val="24"/>
          <w:szCs w:val="24"/>
        </w:rPr>
        <w:t xml:space="preserve">, </w:t>
      </w:r>
      <w:r w:rsidRPr="00A47631">
        <w:rPr>
          <w:rFonts w:ascii="Calibri" w:hAnsi="Calibri" w:cs="Calibri"/>
          <w:i/>
          <w:iCs/>
          <w:noProof/>
          <w:sz w:val="24"/>
          <w:szCs w:val="24"/>
        </w:rPr>
        <w:t>21</w:t>
      </w:r>
      <w:r w:rsidRPr="00A47631">
        <w:rPr>
          <w:rFonts w:ascii="Calibri" w:hAnsi="Calibri" w:cs="Calibri"/>
          <w:noProof/>
          <w:sz w:val="24"/>
          <w:szCs w:val="24"/>
        </w:rPr>
        <w:t>(2), 147–169. https://doi.org/10.1177/019251300021002001</w:t>
      </w:r>
    </w:p>
    <w:p w14:paraId="6DE8E8D0"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Shinoda, K. S. (2011). </w:t>
      </w:r>
      <w:r w:rsidRPr="00A47631">
        <w:rPr>
          <w:rFonts w:ascii="Calibri" w:hAnsi="Calibri" w:cs="Calibri"/>
          <w:i/>
          <w:iCs/>
          <w:noProof/>
          <w:sz w:val="24"/>
          <w:szCs w:val="24"/>
        </w:rPr>
        <w:t>Children of Divorce: The Impact on Classroom Behavior</w:t>
      </w:r>
      <w:r w:rsidRPr="00A47631">
        <w:rPr>
          <w:rFonts w:ascii="Calibri" w:hAnsi="Calibri" w:cs="Calibri"/>
          <w:noProof/>
          <w:sz w:val="24"/>
          <w:szCs w:val="24"/>
        </w:rPr>
        <w:t>.</w:t>
      </w:r>
    </w:p>
    <w:p w14:paraId="1B386D79"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South, S. J., Crowder, K. D., &amp; Trent, K. (1998). Children’s residential mobility and neighborhood environment following parental divorce and remarriage. </w:t>
      </w:r>
      <w:r w:rsidRPr="00A47631">
        <w:rPr>
          <w:rFonts w:ascii="Calibri" w:hAnsi="Calibri" w:cs="Calibri"/>
          <w:i/>
          <w:iCs/>
          <w:noProof/>
          <w:sz w:val="24"/>
          <w:szCs w:val="24"/>
        </w:rPr>
        <w:t>Social Forces</w:t>
      </w:r>
      <w:r w:rsidRPr="00A47631">
        <w:rPr>
          <w:rFonts w:ascii="Calibri" w:hAnsi="Calibri" w:cs="Calibri"/>
          <w:noProof/>
          <w:sz w:val="24"/>
          <w:szCs w:val="24"/>
        </w:rPr>
        <w:t xml:space="preserve">, </w:t>
      </w:r>
      <w:r w:rsidRPr="00A47631">
        <w:rPr>
          <w:rFonts w:ascii="Calibri" w:hAnsi="Calibri" w:cs="Calibri"/>
          <w:i/>
          <w:iCs/>
          <w:noProof/>
          <w:sz w:val="24"/>
          <w:szCs w:val="24"/>
        </w:rPr>
        <w:t>77</w:t>
      </w:r>
      <w:r w:rsidRPr="00A47631">
        <w:rPr>
          <w:rFonts w:ascii="Calibri" w:hAnsi="Calibri" w:cs="Calibri"/>
          <w:noProof/>
          <w:sz w:val="24"/>
          <w:szCs w:val="24"/>
        </w:rPr>
        <w:t>(2), 667–693. https://doi.org/10.1093/sf/77.2.667</w:t>
      </w:r>
    </w:p>
    <w:p w14:paraId="5ECC82D0"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Teachman, J. D. (1987). Family Background, Educational Resources, and Educational Attainment. </w:t>
      </w:r>
      <w:r w:rsidRPr="00A47631">
        <w:rPr>
          <w:rFonts w:ascii="Calibri" w:hAnsi="Calibri" w:cs="Calibri"/>
          <w:i/>
          <w:iCs/>
          <w:noProof/>
          <w:sz w:val="24"/>
          <w:szCs w:val="24"/>
        </w:rPr>
        <w:t>American Sociological Review</w:t>
      </w:r>
      <w:r w:rsidRPr="00A47631">
        <w:rPr>
          <w:rFonts w:ascii="Calibri" w:hAnsi="Calibri" w:cs="Calibri"/>
          <w:noProof/>
          <w:sz w:val="24"/>
          <w:szCs w:val="24"/>
        </w:rPr>
        <w:t xml:space="preserve">, </w:t>
      </w:r>
      <w:r w:rsidRPr="00A47631">
        <w:rPr>
          <w:rFonts w:ascii="Calibri" w:hAnsi="Calibri" w:cs="Calibri"/>
          <w:i/>
          <w:iCs/>
          <w:noProof/>
          <w:sz w:val="24"/>
          <w:szCs w:val="24"/>
        </w:rPr>
        <w:t>52</w:t>
      </w:r>
      <w:r w:rsidRPr="00A47631">
        <w:rPr>
          <w:rFonts w:ascii="Calibri" w:hAnsi="Calibri" w:cs="Calibri"/>
          <w:noProof/>
          <w:sz w:val="24"/>
          <w:szCs w:val="24"/>
        </w:rPr>
        <w:t>(4), 548. https://doi.org/10.2307/2095300</w:t>
      </w:r>
    </w:p>
    <w:p w14:paraId="66C346D1"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Teyber, E. (2001). </w:t>
      </w:r>
      <w:r w:rsidRPr="00A47631">
        <w:rPr>
          <w:rFonts w:ascii="Calibri" w:hAnsi="Calibri" w:cs="Calibri"/>
          <w:i/>
          <w:iCs/>
          <w:noProof/>
          <w:sz w:val="24"/>
          <w:szCs w:val="24"/>
        </w:rPr>
        <w:t>Helping Children Cope With Divorce</w:t>
      </w:r>
      <w:r w:rsidRPr="00A47631">
        <w:rPr>
          <w:rFonts w:ascii="Calibri" w:hAnsi="Calibri" w:cs="Calibri"/>
          <w:noProof/>
          <w:sz w:val="24"/>
          <w:szCs w:val="24"/>
        </w:rPr>
        <w:t>. John Wiley &amp; Sons, Inc. (US).</w:t>
      </w:r>
    </w:p>
    <w:p w14:paraId="6C80B749"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Thomson, E., Hanson, T. L., &amp; Mc Lanahan, S. S. (1994). Family structure and child well-being: Economic resources vs.parental behaviors. </w:t>
      </w:r>
      <w:r w:rsidRPr="00A47631">
        <w:rPr>
          <w:rFonts w:ascii="Calibri" w:hAnsi="Calibri" w:cs="Calibri"/>
          <w:i/>
          <w:iCs/>
          <w:noProof/>
          <w:sz w:val="24"/>
          <w:szCs w:val="24"/>
        </w:rPr>
        <w:t>Social Forces</w:t>
      </w:r>
      <w:r w:rsidRPr="00A47631">
        <w:rPr>
          <w:rFonts w:ascii="Calibri" w:hAnsi="Calibri" w:cs="Calibri"/>
          <w:noProof/>
          <w:sz w:val="24"/>
          <w:szCs w:val="24"/>
        </w:rPr>
        <w:t xml:space="preserve">, </w:t>
      </w:r>
      <w:r w:rsidRPr="00A47631">
        <w:rPr>
          <w:rFonts w:ascii="Calibri" w:hAnsi="Calibri" w:cs="Calibri"/>
          <w:i/>
          <w:iCs/>
          <w:noProof/>
          <w:sz w:val="24"/>
          <w:szCs w:val="24"/>
        </w:rPr>
        <w:t>73</w:t>
      </w:r>
      <w:r w:rsidRPr="00A47631">
        <w:rPr>
          <w:rFonts w:ascii="Calibri" w:hAnsi="Calibri" w:cs="Calibri"/>
          <w:noProof/>
          <w:sz w:val="24"/>
          <w:szCs w:val="24"/>
        </w:rPr>
        <w:t>(1), 221–242. https://doi.org/10.1093/sf/73.1.221</w:t>
      </w:r>
    </w:p>
    <w:p w14:paraId="210452EC"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lastRenderedPageBreak/>
        <w:t xml:space="preserve">Tucker, C. J., &amp; Long, L. (2018). </w:t>
      </w:r>
      <w:r w:rsidRPr="00A47631">
        <w:rPr>
          <w:rFonts w:ascii="Calibri" w:hAnsi="Calibri" w:cs="Calibri"/>
          <w:i/>
          <w:iCs/>
          <w:noProof/>
          <w:sz w:val="24"/>
          <w:szCs w:val="24"/>
        </w:rPr>
        <w:t>" Moving On ": Residential Mobility and Children ’ s School Lives Author ( s ): C . Jack Tucker , Jonathan Marx and Larry Long Published by : American Sociological Association Stable URL : https://www.jstor.org/stable/2673244 American Sociological Associa</w:t>
      </w:r>
      <w:r w:rsidRPr="00A47631">
        <w:rPr>
          <w:rFonts w:ascii="Calibri" w:hAnsi="Calibri" w:cs="Calibri"/>
          <w:noProof/>
          <w:sz w:val="24"/>
          <w:szCs w:val="24"/>
        </w:rPr>
        <w:t xml:space="preserve">. </w:t>
      </w:r>
      <w:r w:rsidRPr="00A47631">
        <w:rPr>
          <w:rFonts w:ascii="Calibri" w:hAnsi="Calibri" w:cs="Calibri"/>
          <w:i/>
          <w:iCs/>
          <w:noProof/>
          <w:sz w:val="24"/>
          <w:szCs w:val="24"/>
        </w:rPr>
        <w:t>71</w:t>
      </w:r>
      <w:r w:rsidRPr="00A47631">
        <w:rPr>
          <w:rFonts w:ascii="Calibri" w:hAnsi="Calibri" w:cs="Calibri"/>
          <w:noProof/>
          <w:sz w:val="24"/>
          <w:szCs w:val="24"/>
        </w:rPr>
        <w:t>(2), 111–129.</w:t>
      </w:r>
    </w:p>
    <w:p w14:paraId="3DEDF4B0"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Wallerstein, J. S., &amp; Corbin, S. B. (1989). Daughters of divorce: Report from a ten-year follow-up. </w:t>
      </w:r>
      <w:r w:rsidRPr="00A47631">
        <w:rPr>
          <w:rFonts w:ascii="Calibri" w:hAnsi="Calibri" w:cs="Calibri"/>
          <w:i/>
          <w:iCs/>
          <w:noProof/>
          <w:sz w:val="24"/>
          <w:szCs w:val="24"/>
        </w:rPr>
        <w:t>American Journal of Orthopsychiatry</w:t>
      </w:r>
      <w:r w:rsidRPr="00A47631">
        <w:rPr>
          <w:rFonts w:ascii="Calibri" w:hAnsi="Calibri" w:cs="Calibri"/>
          <w:noProof/>
          <w:sz w:val="24"/>
          <w:szCs w:val="24"/>
        </w:rPr>
        <w:t xml:space="preserve">, </w:t>
      </w:r>
      <w:r w:rsidRPr="00A47631">
        <w:rPr>
          <w:rFonts w:ascii="Calibri" w:hAnsi="Calibri" w:cs="Calibri"/>
          <w:i/>
          <w:iCs/>
          <w:noProof/>
          <w:sz w:val="24"/>
          <w:szCs w:val="24"/>
        </w:rPr>
        <w:t>59</w:t>
      </w:r>
      <w:r w:rsidRPr="00A47631">
        <w:rPr>
          <w:rFonts w:ascii="Calibri" w:hAnsi="Calibri" w:cs="Calibri"/>
          <w:noProof/>
          <w:sz w:val="24"/>
          <w:szCs w:val="24"/>
        </w:rPr>
        <w:t>(4), 593–604. https://doi.org/10.1111/j.1939-0025.1989.tb02749.x</w:t>
      </w:r>
    </w:p>
    <w:p w14:paraId="6CD0CC51"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Wallerstein, J. S., &amp; Kelly, J. (1980). Surviving the Breakup: How Children and Parents Cope with Divorce. In </w:t>
      </w:r>
      <w:r w:rsidRPr="00A47631">
        <w:rPr>
          <w:rFonts w:ascii="Calibri" w:hAnsi="Calibri" w:cs="Calibri"/>
          <w:i/>
          <w:iCs/>
          <w:noProof/>
          <w:sz w:val="24"/>
          <w:szCs w:val="24"/>
        </w:rPr>
        <w:t>New York: Basic Books</w:t>
      </w:r>
      <w:r w:rsidRPr="00A47631">
        <w:rPr>
          <w:rFonts w:ascii="Calibri" w:hAnsi="Calibri" w:cs="Calibri"/>
          <w:noProof/>
          <w:sz w:val="24"/>
          <w:szCs w:val="24"/>
        </w:rPr>
        <w:t>.</w:t>
      </w:r>
    </w:p>
    <w:p w14:paraId="213B2B1A"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Wing, C., Simon, K., &amp; Bello-gomez, R. A. (2018). </w:t>
      </w:r>
      <w:r w:rsidRPr="00A47631">
        <w:rPr>
          <w:rFonts w:ascii="Calibri" w:hAnsi="Calibri" w:cs="Calibri"/>
          <w:i/>
          <w:iCs/>
          <w:noProof/>
          <w:sz w:val="24"/>
          <w:szCs w:val="24"/>
        </w:rPr>
        <w:t>Designing Difference in Difference Studies : Best Practices for Public Health Policy Research</w:t>
      </w:r>
      <w:r w:rsidRPr="00A47631">
        <w:rPr>
          <w:rFonts w:ascii="Calibri" w:hAnsi="Calibri" w:cs="Calibri"/>
          <w:noProof/>
          <w:sz w:val="24"/>
          <w:szCs w:val="24"/>
        </w:rPr>
        <w:t>.</w:t>
      </w:r>
    </w:p>
    <w:p w14:paraId="75F138AB"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szCs w:val="24"/>
        </w:rPr>
      </w:pPr>
      <w:r w:rsidRPr="00A47631">
        <w:rPr>
          <w:rFonts w:ascii="Calibri" w:hAnsi="Calibri" w:cs="Calibri"/>
          <w:noProof/>
          <w:sz w:val="24"/>
          <w:szCs w:val="24"/>
        </w:rPr>
        <w:t xml:space="preserve">Wright, S. P., Horn, S. P., &amp; Sanders, W. L. (1997). Teacher and classroom context effects on student achievement: Implications for teacher evaluation. </w:t>
      </w:r>
      <w:r w:rsidRPr="00A47631">
        <w:rPr>
          <w:rFonts w:ascii="Calibri" w:hAnsi="Calibri" w:cs="Calibri"/>
          <w:i/>
          <w:iCs/>
          <w:noProof/>
          <w:sz w:val="24"/>
          <w:szCs w:val="24"/>
        </w:rPr>
        <w:t>Journal of Personnel Evaluation in Education</w:t>
      </w:r>
      <w:r w:rsidRPr="00A47631">
        <w:rPr>
          <w:rFonts w:ascii="Calibri" w:hAnsi="Calibri" w:cs="Calibri"/>
          <w:noProof/>
          <w:sz w:val="24"/>
          <w:szCs w:val="24"/>
        </w:rPr>
        <w:t xml:space="preserve">, </w:t>
      </w:r>
      <w:r w:rsidRPr="00A47631">
        <w:rPr>
          <w:rFonts w:ascii="Calibri" w:hAnsi="Calibri" w:cs="Calibri"/>
          <w:i/>
          <w:iCs/>
          <w:noProof/>
          <w:sz w:val="24"/>
          <w:szCs w:val="24"/>
        </w:rPr>
        <w:t>11</w:t>
      </w:r>
      <w:r w:rsidRPr="00A47631">
        <w:rPr>
          <w:rFonts w:ascii="Calibri" w:hAnsi="Calibri" w:cs="Calibri"/>
          <w:noProof/>
          <w:sz w:val="24"/>
          <w:szCs w:val="24"/>
        </w:rPr>
        <w:t>(1), 57–67. https://doi.org/10.1023/a:1007999204543</w:t>
      </w:r>
    </w:p>
    <w:p w14:paraId="4217E91D" w14:textId="77777777" w:rsidR="00A47631" w:rsidRPr="00A47631" w:rsidRDefault="00A47631" w:rsidP="00A47631">
      <w:pPr>
        <w:widowControl w:val="0"/>
        <w:autoSpaceDE w:val="0"/>
        <w:autoSpaceDN w:val="0"/>
        <w:adjustRightInd w:val="0"/>
        <w:spacing w:line="360" w:lineRule="auto"/>
        <w:ind w:left="480" w:hanging="480"/>
        <w:rPr>
          <w:rFonts w:ascii="Calibri" w:hAnsi="Calibri" w:cs="Calibri"/>
          <w:noProof/>
          <w:sz w:val="24"/>
        </w:rPr>
      </w:pPr>
      <w:r w:rsidRPr="00A47631">
        <w:rPr>
          <w:rFonts w:ascii="Calibri" w:hAnsi="Calibri" w:cs="Calibri"/>
          <w:noProof/>
          <w:sz w:val="24"/>
          <w:szCs w:val="24"/>
        </w:rPr>
        <w:t xml:space="preserve">Yongmin Sun, &amp; Yuanzhang Li. (2009). Postdivorce Family Stability and Changes in Adolescents’ Academic Performance. </w:t>
      </w:r>
      <w:r w:rsidRPr="00A47631">
        <w:rPr>
          <w:rFonts w:ascii="Calibri" w:hAnsi="Calibri" w:cs="Calibri"/>
          <w:i/>
          <w:iCs/>
          <w:noProof/>
          <w:sz w:val="24"/>
          <w:szCs w:val="24"/>
        </w:rPr>
        <w:t>Journal of Family Issues</w:t>
      </w:r>
      <w:r w:rsidRPr="00A47631">
        <w:rPr>
          <w:rFonts w:ascii="Calibri" w:hAnsi="Calibri" w:cs="Calibri"/>
          <w:noProof/>
          <w:sz w:val="24"/>
          <w:szCs w:val="24"/>
        </w:rPr>
        <w:t xml:space="preserve">, </w:t>
      </w:r>
      <w:r w:rsidRPr="00A47631">
        <w:rPr>
          <w:rFonts w:ascii="Calibri" w:hAnsi="Calibri" w:cs="Calibri"/>
          <w:i/>
          <w:iCs/>
          <w:noProof/>
          <w:sz w:val="24"/>
          <w:szCs w:val="24"/>
        </w:rPr>
        <w:t>30</w:t>
      </w:r>
      <w:r w:rsidRPr="00A47631">
        <w:rPr>
          <w:rFonts w:ascii="Calibri" w:hAnsi="Calibri" w:cs="Calibri"/>
          <w:noProof/>
          <w:sz w:val="24"/>
          <w:szCs w:val="24"/>
        </w:rPr>
        <w:t>(11), 1527–1555. https://doi.org/10.1177/0192513X09339022</w:t>
      </w:r>
    </w:p>
    <w:p w14:paraId="6728F9C3" w14:textId="6FE866A4" w:rsidR="003E1CB6" w:rsidRDefault="005A4368" w:rsidP="00C50F2D">
      <w:pPr>
        <w:spacing w:line="360" w:lineRule="auto"/>
        <w:jc w:val="both"/>
        <w:rPr>
          <w:rFonts w:cstheme="minorHAnsi"/>
          <w:sz w:val="24"/>
          <w:szCs w:val="24"/>
        </w:rPr>
      </w:pPr>
      <w:r w:rsidRPr="001C713C">
        <w:rPr>
          <w:rFonts w:cstheme="minorHAnsi"/>
          <w:sz w:val="24"/>
          <w:szCs w:val="24"/>
        </w:rPr>
        <w:fldChar w:fldCharType="end"/>
      </w:r>
    </w:p>
    <w:p w14:paraId="41B690C6" w14:textId="77777777" w:rsidR="003E1CB6" w:rsidRDefault="003E1CB6">
      <w:pPr>
        <w:rPr>
          <w:rFonts w:cstheme="minorHAnsi"/>
          <w:sz w:val="24"/>
          <w:szCs w:val="24"/>
        </w:rPr>
      </w:pPr>
      <w:r>
        <w:rPr>
          <w:rFonts w:cstheme="minorHAnsi"/>
          <w:sz w:val="24"/>
          <w:szCs w:val="24"/>
        </w:rPr>
        <w:br w:type="page"/>
      </w:r>
    </w:p>
    <w:p w14:paraId="2FD49E9F" w14:textId="77777777" w:rsidR="003E1CB6" w:rsidRPr="006363AB" w:rsidRDefault="003E1CB6" w:rsidP="003E1CB6">
      <w:pPr>
        <w:pStyle w:val="Heading1"/>
        <w:rPr>
          <w:b/>
          <w:bCs/>
          <w:sz w:val="28"/>
          <w:szCs w:val="28"/>
        </w:rPr>
      </w:pPr>
      <w:bookmarkStart w:id="44" w:name="_Toc64591286"/>
      <w:r w:rsidRPr="00D43F99">
        <w:lastRenderedPageBreak/>
        <w:t>Appendix</w:t>
      </w:r>
      <w:bookmarkEnd w:id="44"/>
    </w:p>
    <w:tbl>
      <w:tblPr>
        <w:tblpPr w:leftFromText="180" w:rightFromText="180" w:vertAnchor="text" w:horzAnchor="margin" w:tblpXSpec="center" w:tblpY="1115"/>
        <w:tblW w:w="6098" w:type="dxa"/>
        <w:tblLook w:val="04A0" w:firstRow="1" w:lastRow="0" w:firstColumn="1" w:lastColumn="0" w:noHBand="0" w:noVBand="1"/>
      </w:tblPr>
      <w:tblGrid>
        <w:gridCol w:w="1607"/>
        <w:gridCol w:w="1497"/>
        <w:gridCol w:w="1497"/>
        <w:gridCol w:w="1497"/>
      </w:tblGrid>
      <w:tr w:rsidR="003E1CB6" w:rsidRPr="00F909A5" w14:paraId="2F8F984E" w14:textId="77777777" w:rsidTr="007A638E">
        <w:trPr>
          <w:trHeight w:val="555"/>
        </w:trPr>
        <w:tc>
          <w:tcPr>
            <w:tcW w:w="1607" w:type="dxa"/>
            <w:tcBorders>
              <w:bottom w:val="single" w:sz="8" w:space="0" w:color="auto"/>
              <w:right w:val="single" w:sz="8" w:space="0" w:color="auto"/>
            </w:tcBorders>
            <w:shd w:val="clear" w:color="auto" w:fill="auto"/>
            <w:noWrap/>
            <w:vAlign w:val="center"/>
            <w:hideMark/>
          </w:tcPr>
          <w:p w14:paraId="0AD616AD" w14:textId="77777777" w:rsidR="003E1CB6" w:rsidRPr="00F909A5" w:rsidRDefault="003E1CB6" w:rsidP="00F00D37">
            <w:pPr>
              <w:spacing w:after="0" w:line="360" w:lineRule="auto"/>
              <w:jc w:val="center"/>
              <w:rPr>
                <w:rFonts w:eastAsia="Times New Roman" w:cstheme="minorHAnsi"/>
                <w:sz w:val="24"/>
                <w:szCs w:val="24"/>
                <w:lang w:val="en-GB" w:eastAsia="en-GB"/>
              </w:rPr>
            </w:pPr>
          </w:p>
        </w:tc>
        <w:tc>
          <w:tcPr>
            <w:tcW w:w="4491"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5230A750"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Family structure</w:t>
            </w:r>
          </w:p>
        </w:tc>
      </w:tr>
      <w:tr w:rsidR="003E1CB6" w:rsidRPr="00F909A5" w14:paraId="4A0F00E3" w14:textId="77777777" w:rsidTr="007A638E">
        <w:trPr>
          <w:trHeight w:val="529"/>
        </w:trPr>
        <w:tc>
          <w:tcPr>
            <w:tcW w:w="1607"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32D2C5EC" w14:textId="050C56A8" w:rsidR="003E1CB6" w:rsidRPr="00F909A5" w:rsidRDefault="00CD4346"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G</w:t>
            </w:r>
            <w:r w:rsidR="003E1CB6" w:rsidRPr="00F909A5">
              <w:rPr>
                <w:rFonts w:eastAsia="Times New Roman" w:cstheme="minorHAnsi"/>
                <w:color w:val="000000"/>
                <w:sz w:val="24"/>
                <w:szCs w:val="24"/>
                <w:lang w:val="en-GB" w:eastAsia="en-GB"/>
              </w:rPr>
              <w:t>ender</w:t>
            </w:r>
          </w:p>
        </w:tc>
        <w:tc>
          <w:tcPr>
            <w:tcW w:w="149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AFFC38D" w14:textId="0D9D952E" w:rsidR="003E1CB6" w:rsidRPr="00F909A5" w:rsidRDefault="00CD4346"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I</w:t>
            </w:r>
            <w:r w:rsidR="003E1CB6" w:rsidRPr="00F909A5">
              <w:rPr>
                <w:rFonts w:eastAsia="Times New Roman" w:cstheme="minorHAnsi"/>
                <w:color w:val="000000"/>
                <w:sz w:val="24"/>
                <w:szCs w:val="24"/>
                <w:lang w:val="en-GB" w:eastAsia="en-GB"/>
              </w:rPr>
              <w:t>ntact</w:t>
            </w:r>
          </w:p>
        </w:tc>
        <w:tc>
          <w:tcPr>
            <w:tcW w:w="149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0FDE9BE" w14:textId="222EB505" w:rsidR="003E1CB6" w:rsidRPr="00F909A5" w:rsidRDefault="00CD4346"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Non-</w:t>
            </w:r>
            <w:r w:rsidR="003E1CB6" w:rsidRPr="00F909A5">
              <w:rPr>
                <w:rFonts w:eastAsia="Times New Roman" w:cstheme="minorHAnsi"/>
                <w:color w:val="000000"/>
                <w:sz w:val="24"/>
                <w:szCs w:val="24"/>
                <w:lang w:val="en-GB" w:eastAsia="en-GB"/>
              </w:rPr>
              <w:t>intact</w:t>
            </w:r>
          </w:p>
        </w:tc>
        <w:tc>
          <w:tcPr>
            <w:tcW w:w="149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7FCD89E"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Total</w:t>
            </w:r>
          </w:p>
        </w:tc>
      </w:tr>
      <w:tr w:rsidR="003E1CB6" w:rsidRPr="00F909A5" w14:paraId="21EECC6C" w14:textId="77777777" w:rsidTr="007A638E">
        <w:trPr>
          <w:trHeight w:val="529"/>
        </w:trPr>
        <w:tc>
          <w:tcPr>
            <w:tcW w:w="160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CA1D5FD" w14:textId="45E6E272" w:rsidR="003E1CB6" w:rsidRPr="00F909A5" w:rsidRDefault="00CD4346"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M</w:t>
            </w:r>
            <w:r w:rsidR="003E1CB6" w:rsidRPr="00F909A5">
              <w:rPr>
                <w:rFonts w:eastAsia="Times New Roman" w:cstheme="minorHAnsi"/>
                <w:color w:val="000000"/>
                <w:sz w:val="24"/>
                <w:szCs w:val="24"/>
                <w:lang w:val="en-GB" w:eastAsia="en-GB"/>
              </w:rPr>
              <w:t>ale</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9B165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54.23%</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B5C442"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53.52%</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36BC9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53.97%</w:t>
            </w:r>
          </w:p>
        </w:tc>
      </w:tr>
      <w:tr w:rsidR="003E1CB6" w:rsidRPr="00F909A5" w14:paraId="7EB287FD" w14:textId="77777777" w:rsidTr="007A638E">
        <w:trPr>
          <w:trHeight w:val="529"/>
        </w:trPr>
        <w:tc>
          <w:tcPr>
            <w:tcW w:w="160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250899" w14:textId="4531A289" w:rsidR="003E1CB6" w:rsidRPr="00F909A5" w:rsidRDefault="00CD4346"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F</w:t>
            </w:r>
            <w:r w:rsidR="003E1CB6" w:rsidRPr="00F909A5">
              <w:rPr>
                <w:rFonts w:eastAsia="Times New Roman" w:cstheme="minorHAnsi"/>
                <w:color w:val="000000"/>
                <w:sz w:val="24"/>
                <w:szCs w:val="24"/>
                <w:lang w:val="en-GB" w:eastAsia="en-GB"/>
              </w:rPr>
              <w:t>emale</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C7CCB7"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45.77%</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058157"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46.48%</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3FBFE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46.03%</w:t>
            </w:r>
          </w:p>
        </w:tc>
      </w:tr>
      <w:tr w:rsidR="003E1CB6" w:rsidRPr="00F909A5" w14:paraId="18AAD2C8" w14:textId="77777777" w:rsidTr="007A638E">
        <w:trPr>
          <w:trHeight w:val="529"/>
        </w:trPr>
        <w:tc>
          <w:tcPr>
            <w:tcW w:w="160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17EB26"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Total</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A4DC90"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AE25EC"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c>
          <w:tcPr>
            <w:tcW w:w="149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F1D5F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r>
    </w:tbl>
    <w:p w14:paraId="6C64F8E7" w14:textId="7EB5816D" w:rsidR="003E1CB6" w:rsidRPr="00F909A5" w:rsidRDefault="003E1CB6" w:rsidP="003E1CB6">
      <w:pPr>
        <w:spacing w:line="360" w:lineRule="auto"/>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.1.</w:t>
      </w:r>
      <w:r w:rsidRPr="00F909A5">
        <w:rPr>
          <w:rFonts w:cstheme="minorHAnsi"/>
          <w:sz w:val="24"/>
          <w:szCs w:val="24"/>
        </w:rPr>
        <w:t xml:space="preserve"> Distribution of gender across family types</w:t>
      </w:r>
      <w:r>
        <w:rPr>
          <w:rFonts w:cstheme="minorHAnsi"/>
          <w:sz w:val="24"/>
          <w:szCs w:val="24"/>
        </w:rPr>
        <w:t xml:space="preserve"> (intact = two-parent biological family, </w:t>
      </w:r>
      <w:r w:rsidR="000A7C88">
        <w:rPr>
          <w:rFonts w:cstheme="minorHAnsi"/>
          <w:sz w:val="24"/>
          <w:szCs w:val="24"/>
        </w:rPr>
        <w:t>s</w:t>
      </w:r>
      <w:r>
        <w:rPr>
          <w:rFonts w:cstheme="minorHAnsi"/>
          <w:sz w:val="24"/>
          <w:szCs w:val="24"/>
        </w:rPr>
        <w:t xml:space="preserve"> = any other disrupted family types)</w:t>
      </w:r>
      <w:r w:rsidRPr="00F909A5">
        <w:rPr>
          <w:rFonts w:cstheme="minorHAnsi"/>
          <w:sz w:val="24"/>
          <w:szCs w:val="24"/>
        </w:rPr>
        <w:t>.</w:t>
      </w:r>
    </w:p>
    <w:p w14:paraId="78ADA33C" w14:textId="77777777" w:rsidR="003E1CB6" w:rsidRPr="00F909A5" w:rsidRDefault="003E1CB6" w:rsidP="003E1CB6">
      <w:pPr>
        <w:spacing w:line="360" w:lineRule="auto"/>
        <w:jc w:val="both"/>
        <w:rPr>
          <w:rFonts w:cstheme="minorHAnsi"/>
          <w:sz w:val="24"/>
          <w:szCs w:val="24"/>
        </w:rPr>
      </w:pPr>
    </w:p>
    <w:p w14:paraId="385C3599" w14:textId="77777777" w:rsidR="003E1CB6" w:rsidRPr="00F909A5" w:rsidRDefault="003E1CB6" w:rsidP="003E1CB6">
      <w:pPr>
        <w:spacing w:line="360" w:lineRule="auto"/>
        <w:jc w:val="both"/>
        <w:rPr>
          <w:rFonts w:cstheme="minorHAnsi"/>
          <w:sz w:val="24"/>
          <w:szCs w:val="24"/>
        </w:rPr>
      </w:pPr>
    </w:p>
    <w:p w14:paraId="448111B6" w14:textId="77777777" w:rsidR="003E1CB6" w:rsidRPr="00F909A5" w:rsidRDefault="003E1CB6" w:rsidP="003E1CB6">
      <w:pPr>
        <w:spacing w:line="360" w:lineRule="auto"/>
        <w:jc w:val="both"/>
        <w:rPr>
          <w:rFonts w:cstheme="minorHAnsi"/>
          <w:sz w:val="24"/>
          <w:szCs w:val="24"/>
        </w:rPr>
      </w:pPr>
    </w:p>
    <w:p w14:paraId="269158DF" w14:textId="77777777" w:rsidR="003E1CB6" w:rsidRPr="00F909A5" w:rsidRDefault="003E1CB6" w:rsidP="003E1CB6">
      <w:pPr>
        <w:spacing w:line="360" w:lineRule="auto"/>
        <w:jc w:val="both"/>
        <w:rPr>
          <w:rFonts w:cstheme="minorHAnsi"/>
          <w:sz w:val="24"/>
          <w:szCs w:val="24"/>
        </w:rPr>
      </w:pPr>
    </w:p>
    <w:p w14:paraId="310B301D" w14:textId="77777777" w:rsidR="003E1CB6" w:rsidRPr="00F909A5" w:rsidRDefault="003E1CB6" w:rsidP="003E1CB6">
      <w:pPr>
        <w:spacing w:line="360" w:lineRule="auto"/>
        <w:jc w:val="both"/>
        <w:rPr>
          <w:rFonts w:cstheme="minorHAnsi"/>
          <w:sz w:val="24"/>
          <w:szCs w:val="24"/>
        </w:rPr>
      </w:pPr>
    </w:p>
    <w:p w14:paraId="15419EDB" w14:textId="4D4549D8" w:rsidR="003E1CB6" w:rsidRPr="00F909A5"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.2.</w:t>
      </w:r>
      <w:r w:rsidRPr="00F909A5">
        <w:rPr>
          <w:rFonts w:cstheme="minorHAnsi"/>
          <w:sz w:val="24"/>
          <w:szCs w:val="24"/>
        </w:rPr>
        <w:t xml:space="preserve"> Distribution of children across family types to whom at least one parent has a </w:t>
      </w:r>
      <w:r w:rsidR="0013307A">
        <w:rPr>
          <w:rFonts w:cstheme="minorHAnsi"/>
          <w:sz w:val="24"/>
          <w:szCs w:val="24"/>
        </w:rPr>
        <w:t>Roma-origin</w:t>
      </w:r>
      <w:r w:rsidRPr="00F909A5">
        <w:rPr>
          <w:rFonts w:cstheme="minorHAnsi"/>
          <w:sz w:val="24"/>
          <w:szCs w:val="24"/>
        </w:rPr>
        <w:t>.</w:t>
      </w:r>
    </w:p>
    <w:tbl>
      <w:tblPr>
        <w:tblW w:w="6484" w:type="dxa"/>
        <w:tblInd w:w="1296" w:type="dxa"/>
        <w:tblLook w:val="04A0" w:firstRow="1" w:lastRow="0" w:firstColumn="1" w:lastColumn="0" w:noHBand="0" w:noVBand="1"/>
      </w:tblPr>
      <w:tblGrid>
        <w:gridCol w:w="2229"/>
        <w:gridCol w:w="1280"/>
        <w:gridCol w:w="1614"/>
        <w:gridCol w:w="1361"/>
      </w:tblGrid>
      <w:tr w:rsidR="00DA198F" w:rsidRPr="00DA198F" w14:paraId="51447DEE" w14:textId="77777777" w:rsidTr="00A965C3">
        <w:trPr>
          <w:trHeight w:val="497"/>
        </w:trPr>
        <w:tc>
          <w:tcPr>
            <w:tcW w:w="2229" w:type="dxa"/>
            <w:tcBorders>
              <w:top w:val="nil"/>
              <w:left w:val="nil"/>
              <w:bottom w:val="single" w:sz="8" w:space="0" w:color="auto"/>
              <w:right w:val="single" w:sz="8" w:space="0" w:color="auto"/>
            </w:tcBorders>
            <w:shd w:val="clear" w:color="auto" w:fill="auto"/>
            <w:noWrap/>
            <w:vAlign w:val="bottom"/>
            <w:hideMark/>
          </w:tcPr>
          <w:p w14:paraId="430DD0C6" w14:textId="77777777" w:rsidR="00DA198F" w:rsidRPr="00DA198F" w:rsidRDefault="00DA198F" w:rsidP="00DA198F">
            <w:pPr>
              <w:spacing w:after="0" w:line="240" w:lineRule="auto"/>
              <w:rPr>
                <w:rFonts w:ascii="Times New Roman" w:eastAsia="Times New Roman" w:hAnsi="Times New Roman" w:cs="Times New Roman"/>
                <w:sz w:val="24"/>
                <w:szCs w:val="24"/>
                <w:lang w:val="en-GB" w:eastAsia="en-GB"/>
              </w:rPr>
            </w:pPr>
          </w:p>
        </w:tc>
        <w:tc>
          <w:tcPr>
            <w:tcW w:w="4255" w:type="dxa"/>
            <w:gridSpan w:val="3"/>
            <w:tcBorders>
              <w:top w:val="single" w:sz="8" w:space="0" w:color="auto"/>
              <w:left w:val="single" w:sz="8" w:space="0" w:color="auto"/>
              <w:bottom w:val="single" w:sz="8" w:space="0" w:color="auto"/>
              <w:right w:val="single" w:sz="8" w:space="0" w:color="auto"/>
            </w:tcBorders>
            <w:shd w:val="clear" w:color="000000" w:fill="A6A6A6"/>
            <w:noWrap/>
            <w:vAlign w:val="center"/>
            <w:hideMark/>
          </w:tcPr>
          <w:p w14:paraId="040F127A" w14:textId="77777777" w:rsidR="00DA198F" w:rsidRPr="00DA198F" w:rsidRDefault="00DA198F" w:rsidP="00CD4346">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Family structure</w:t>
            </w:r>
          </w:p>
        </w:tc>
      </w:tr>
      <w:tr w:rsidR="00DA198F" w:rsidRPr="00DA198F" w14:paraId="76C431D6" w14:textId="77777777" w:rsidTr="00A965C3">
        <w:trPr>
          <w:trHeight w:val="473"/>
        </w:trPr>
        <w:tc>
          <w:tcPr>
            <w:tcW w:w="2229" w:type="dxa"/>
            <w:tcBorders>
              <w:top w:val="single" w:sz="8" w:space="0" w:color="auto"/>
              <w:left w:val="single" w:sz="8" w:space="0" w:color="auto"/>
              <w:bottom w:val="single" w:sz="8" w:space="0" w:color="auto"/>
              <w:right w:val="single" w:sz="8" w:space="0" w:color="auto"/>
            </w:tcBorders>
            <w:shd w:val="clear" w:color="000000" w:fill="A6A6A6"/>
            <w:noWrap/>
            <w:vAlign w:val="center"/>
            <w:hideMark/>
          </w:tcPr>
          <w:p w14:paraId="4B9FE25C" w14:textId="77777777" w:rsidR="00DA198F" w:rsidRPr="00DA198F" w:rsidRDefault="00DA198F" w:rsidP="00CD4346">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Roma-origin</w:t>
            </w:r>
          </w:p>
        </w:tc>
        <w:tc>
          <w:tcPr>
            <w:tcW w:w="12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FBBC787"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Intact</w:t>
            </w:r>
          </w:p>
        </w:tc>
        <w:tc>
          <w:tcPr>
            <w:tcW w:w="161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1E2534B"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Non-intact</w:t>
            </w:r>
          </w:p>
        </w:tc>
        <w:tc>
          <w:tcPr>
            <w:tcW w:w="1361"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2A24881"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Total</w:t>
            </w:r>
          </w:p>
        </w:tc>
      </w:tr>
      <w:tr w:rsidR="00DA198F" w:rsidRPr="00DA198F" w14:paraId="05347416" w14:textId="77777777" w:rsidTr="00A965C3">
        <w:trPr>
          <w:trHeight w:val="497"/>
        </w:trPr>
        <w:tc>
          <w:tcPr>
            <w:tcW w:w="22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FB8C8B0"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0</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F80225"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90.61%</w:t>
            </w:r>
          </w:p>
        </w:tc>
        <w:tc>
          <w:tcPr>
            <w:tcW w:w="16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772919"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94.11%</w:t>
            </w:r>
          </w:p>
        </w:tc>
        <w:tc>
          <w:tcPr>
            <w:tcW w:w="13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706DE3"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91.86%</w:t>
            </w:r>
          </w:p>
        </w:tc>
      </w:tr>
      <w:tr w:rsidR="00DA198F" w:rsidRPr="00DA198F" w14:paraId="7262733C" w14:textId="77777777" w:rsidTr="00A965C3">
        <w:trPr>
          <w:trHeight w:val="473"/>
        </w:trPr>
        <w:tc>
          <w:tcPr>
            <w:tcW w:w="22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8562292"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1</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7905D2"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8.77%</w:t>
            </w:r>
          </w:p>
        </w:tc>
        <w:tc>
          <w:tcPr>
            <w:tcW w:w="16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E10767"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5.45%</w:t>
            </w:r>
          </w:p>
        </w:tc>
        <w:tc>
          <w:tcPr>
            <w:tcW w:w="13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E5EA83"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7.57%</w:t>
            </w:r>
          </w:p>
        </w:tc>
      </w:tr>
      <w:tr w:rsidR="00DA198F" w:rsidRPr="00DA198F" w14:paraId="55AFFC6F" w14:textId="77777777" w:rsidTr="00A965C3">
        <w:trPr>
          <w:trHeight w:val="473"/>
        </w:trPr>
        <w:tc>
          <w:tcPr>
            <w:tcW w:w="22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5EBC839"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&lt;NA&gt;</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6CFD44"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0.61%</w:t>
            </w:r>
          </w:p>
        </w:tc>
        <w:tc>
          <w:tcPr>
            <w:tcW w:w="16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3CC2EA"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0.44%</w:t>
            </w:r>
          </w:p>
        </w:tc>
        <w:tc>
          <w:tcPr>
            <w:tcW w:w="13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0E611A"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0.57%</w:t>
            </w:r>
          </w:p>
        </w:tc>
      </w:tr>
      <w:tr w:rsidR="00DA198F" w:rsidRPr="00DA198F" w14:paraId="01F8A667" w14:textId="77777777" w:rsidTr="00A965C3">
        <w:trPr>
          <w:trHeight w:val="473"/>
        </w:trPr>
        <w:tc>
          <w:tcPr>
            <w:tcW w:w="22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B740DEE"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Total</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475AFA"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100.00%</w:t>
            </w:r>
          </w:p>
        </w:tc>
        <w:tc>
          <w:tcPr>
            <w:tcW w:w="161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79D16E"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100.00%</w:t>
            </w:r>
          </w:p>
        </w:tc>
        <w:tc>
          <w:tcPr>
            <w:tcW w:w="13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645408" w14:textId="77777777" w:rsidR="00DA198F" w:rsidRPr="00DA198F" w:rsidRDefault="00DA198F" w:rsidP="00DA198F">
            <w:pPr>
              <w:spacing w:after="0" w:line="240" w:lineRule="auto"/>
              <w:jc w:val="center"/>
              <w:rPr>
                <w:rFonts w:ascii="Calibri" w:eastAsia="Times New Roman" w:hAnsi="Calibri" w:cs="Calibri"/>
                <w:color w:val="000000"/>
                <w:lang w:val="en-GB" w:eastAsia="en-GB"/>
              </w:rPr>
            </w:pPr>
            <w:r w:rsidRPr="00DA198F">
              <w:rPr>
                <w:rFonts w:ascii="Calibri" w:eastAsia="Times New Roman" w:hAnsi="Calibri" w:cs="Calibri"/>
                <w:color w:val="000000"/>
                <w:lang w:val="en-GB" w:eastAsia="en-GB"/>
              </w:rPr>
              <w:t>100.00%</w:t>
            </w:r>
          </w:p>
        </w:tc>
      </w:tr>
    </w:tbl>
    <w:p w14:paraId="774D3F8D" w14:textId="099E92E7" w:rsidR="00DA198F" w:rsidRPr="00F909A5" w:rsidRDefault="00A26590" w:rsidP="003E1CB6">
      <w:pPr>
        <w:spacing w:line="360" w:lineRule="auto"/>
        <w:rPr>
          <w:rFonts w:cstheme="minorHAnsi"/>
          <w:sz w:val="24"/>
          <w:szCs w:val="24"/>
        </w:rPr>
      </w:pPr>
      <w:r>
        <w:rPr>
          <w:rFonts w:cstheme="minorHAnsi"/>
          <w:sz w:val="24"/>
          <w:szCs w:val="24"/>
        </w:rPr>
        <w:t xml:space="preserve">    </w:t>
      </w:r>
    </w:p>
    <w:p w14:paraId="5E1DF38E" w14:textId="77777777" w:rsidR="003E1CB6"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.3.</w:t>
      </w:r>
      <w:r>
        <w:rPr>
          <w:rFonts w:cstheme="minorHAnsi"/>
          <w:sz w:val="24"/>
          <w:szCs w:val="24"/>
        </w:rPr>
        <w:t xml:space="preserve"> Distribution of family structures</w:t>
      </w:r>
    </w:p>
    <w:tbl>
      <w:tblPr>
        <w:tblpPr w:leftFromText="180" w:rightFromText="180" w:vertAnchor="page" w:horzAnchor="margin" w:tblpXSpec="center" w:tblpY="11806"/>
        <w:tblW w:w="4458" w:type="dxa"/>
        <w:tblLook w:val="04A0" w:firstRow="1" w:lastRow="0" w:firstColumn="1" w:lastColumn="0" w:noHBand="0" w:noVBand="1"/>
      </w:tblPr>
      <w:tblGrid>
        <w:gridCol w:w="1486"/>
        <w:gridCol w:w="1486"/>
        <w:gridCol w:w="1486"/>
      </w:tblGrid>
      <w:tr w:rsidR="00DA198F" w:rsidRPr="00B55961" w14:paraId="3D015C21" w14:textId="77777777" w:rsidTr="00A965C3">
        <w:trPr>
          <w:trHeight w:val="559"/>
        </w:trPr>
        <w:tc>
          <w:tcPr>
            <w:tcW w:w="1486" w:type="dxa"/>
            <w:tcBorders>
              <w:bottom w:val="single" w:sz="8" w:space="0" w:color="auto"/>
              <w:right w:val="single" w:sz="8" w:space="0" w:color="auto"/>
            </w:tcBorders>
            <w:shd w:val="clear" w:color="auto" w:fill="auto"/>
            <w:noWrap/>
            <w:vAlign w:val="bottom"/>
            <w:hideMark/>
          </w:tcPr>
          <w:p w14:paraId="54B76AFE" w14:textId="77777777" w:rsidR="00DA198F" w:rsidRPr="00B55961" w:rsidRDefault="00DA198F" w:rsidP="00DA198F">
            <w:pPr>
              <w:spacing w:after="0" w:line="240" w:lineRule="auto"/>
              <w:rPr>
                <w:rFonts w:ascii="Times New Roman" w:eastAsia="Times New Roman" w:hAnsi="Times New Roman" w:cs="Times New Roman"/>
                <w:sz w:val="24"/>
                <w:szCs w:val="24"/>
                <w:lang w:val="en-GB" w:eastAsia="en-GB"/>
              </w:rPr>
            </w:pPr>
          </w:p>
        </w:tc>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B906DD7" w14:textId="7CBD258A"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Freq</w:t>
            </w:r>
            <w:r w:rsidR="0021679A">
              <w:rPr>
                <w:rFonts w:ascii="Calibri" w:eastAsia="Times New Roman" w:hAnsi="Calibri" w:cs="Calibri"/>
                <w:color w:val="000000"/>
                <w:lang w:val="en-GB" w:eastAsia="en-GB"/>
              </w:rPr>
              <w:t>uency</w:t>
            </w:r>
          </w:p>
        </w:tc>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ED2833C"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 Valid</w:t>
            </w:r>
          </w:p>
        </w:tc>
      </w:tr>
      <w:tr w:rsidR="00DA198F" w:rsidRPr="00B55961" w14:paraId="0AB92A60" w14:textId="77777777" w:rsidTr="00A965C3">
        <w:trPr>
          <w:trHeight w:val="532"/>
        </w:trPr>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83834D4" w14:textId="0ECC8E3C" w:rsidR="00DA198F" w:rsidRPr="00B55961" w:rsidRDefault="0021679A" w:rsidP="00DA198F">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DA198F" w:rsidRPr="00B55961">
              <w:rPr>
                <w:rFonts w:ascii="Calibri" w:eastAsia="Times New Roman" w:hAnsi="Calibri" w:cs="Calibri"/>
                <w:color w:val="000000"/>
                <w:lang w:val="en-GB" w:eastAsia="en-GB"/>
              </w:rPr>
              <w:t>ntact</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4F96DD"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6530</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5B5ADA"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65.78</w:t>
            </w:r>
          </w:p>
        </w:tc>
      </w:tr>
      <w:tr w:rsidR="00DA198F" w:rsidRPr="00B55961" w14:paraId="4420AEC3" w14:textId="77777777" w:rsidTr="00A965C3">
        <w:trPr>
          <w:trHeight w:val="559"/>
        </w:trPr>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C9B5BCB" w14:textId="4C72FA19" w:rsidR="00DA198F" w:rsidRPr="00B55961" w:rsidRDefault="0021679A" w:rsidP="00DA198F">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w:t>
            </w:r>
            <w:r w:rsidR="00DA198F">
              <w:rPr>
                <w:rFonts w:ascii="Calibri" w:eastAsia="Times New Roman" w:hAnsi="Calibri" w:cs="Calibri"/>
                <w:color w:val="000000"/>
                <w:lang w:val="en-GB" w:eastAsia="en-GB"/>
              </w:rPr>
              <w:t>on-</w:t>
            </w:r>
            <w:r w:rsidR="00DA198F" w:rsidRPr="00B55961">
              <w:rPr>
                <w:rFonts w:ascii="Calibri" w:eastAsia="Times New Roman" w:hAnsi="Calibri" w:cs="Calibri"/>
                <w:color w:val="000000"/>
                <w:lang w:val="en-GB" w:eastAsia="en-GB"/>
              </w:rPr>
              <w:t>intact</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1D806A"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3397</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D46482"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34.22</w:t>
            </w:r>
          </w:p>
        </w:tc>
      </w:tr>
      <w:tr w:rsidR="00DA198F" w:rsidRPr="00B55961" w14:paraId="1D641C9F" w14:textId="77777777" w:rsidTr="00A965C3">
        <w:trPr>
          <w:trHeight w:val="559"/>
        </w:trPr>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4DD3905"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&lt;NA&gt;</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E147EA"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95</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90A058"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NA</w:t>
            </w:r>
          </w:p>
        </w:tc>
      </w:tr>
      <w:tr w:rsidR="00DA198F" w:rsidRPr="00B55961" w14:paraId="66B8A8C0" w14:textId="77777777" w:rsidTr="00A965C3">
        <w:trPr>
          <w:trHeight w:val="532"/>
        </w:trPr>
        <w:tc>
          <w:tcPr>
            <w:tcW w:w="148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4AAD2A2"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Total</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5F66A5"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10022</w:t>
            </w:r>
          </w:p>
        </w:tc>
        <w:tc>
          <w:tcPr>
            <w:tcW w:w="148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F1A0F6" w14:textId="77777777" w:rsidR="00DA198F" w:rsidRPr="00B55961" w:rsidRDefault="00DA198F" w:rsidP="00DA198F">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100.00</w:t>
            </w:r>
          </w:p>
        </w:tc>
      </w:tr>
    </w:tbl>
    <w:p w14:paraId="6F4FE1BB" w14:textId="77777777" w:rsidR="003E1CB6" w:rsidRDefault="003E1CB6" w:rsidP="003E1CB6">
      <w:pPr>
        <w:spacing w:line="360" w:lineRule="auto"/>
        <w:jc w:val="both"/>
        <w:rPr>
          <w:rFonts w:cstheme="minorHAnsi"/>
          <w:sz w:val="24"/>
          <w:szCs w:val="24"/>
        </w:rPr>
      </w:pPr>
    </w:p>
    <w:p w14:paraId="6693BCEA" w14:textId="77777777" w:rsidR="003E1CB6" w:rsidRDefault="003E1CB6" w:rsidP="003E1CB6">
      <w:pPr>
        <w:spacing w:line="360" w:lineRule="auto"/>
        <w:jc w:val="both"/>
        <w:rPr>
          <w:rFonts w:cstheme="minorHAnsi"/>
          <w:sz w:val="24"/>
          <w:szCs w:val="24"/>
        </w:rPr>
      </w:pPr>
    </w:p>
    <w:p w14:paraId="4CC3521F" w14:textId="77777777" w:rsidR="003E1CB6" w:rsidRDefault="003E1CB6" w:rsidP="003E1CB6">
      <w:pPr>
        <w:spacing w:line="360" w:lineRule="auto"/>
        <w:jc w:val="both"/>
        <w:rPr>
          <w:rFonts w:cstheme="minorHAnsi"/>
          <w:sz w:val="24"/>
          <w:szCs w:val="24"/>
        </w:rPr>
      </w:pPr>
    </w:p>
    <w:p w14:paraId="7C32456D" w14:textId="77777777" w:rsidR="003E1CB6" w:rsidRDefault="003E1CB6" w:rsidP="003E1CB6">
      <w:pPr>
        <w:spacing w:line="360" w:lineRule="auto"/>
        <w:jc w:val="both"/>
        <w:rPr>
          <w:rFonts w:cstheme="minorHAnsi"/>
          <w:sz w:val="24"/>
          <w:szCs w:val="24"/>
        </w:rPr>
      </w:pPr>
    </w:p>
    <w:p w14:paraId="2F9E6275" w14:textId="77777777" w:rsidR="003E1CB6" w:rsidRDefault="003E1CB6" w:rsidP="003E1CB6">
      <w:pPr>
        <w:spacing w:line="360" w:lineRule="auto"/>
        <w:jc w:val="both"/>
        <w:rPr>
          <w:rFonts w:cstheme="minorHAnsi"/>
          <w:sz w:val="24"/>
          <w:szCs w:val="24"/>
        </w:rPr>
      </w:pPr>
    </w:p>
    <w:p w14:paraId="631A7F0B" w14:textId="0DB0F97F" w:rsidR="003E1CB6" w:rsidRDefault="003E1CB6" w:rsidP="003E1CB6">
      <w:pPr>
        <w:rPr>
          <w:rFonts w:cstheme="minorHAnsi"/>
          <w:sz w:val="24"/>
          <w:szCs w:val="24"/>
        </w:rPr>
      </w:pPr>
    </w:p>
    <w:tbl>
      <w:tblPr>
        <w:tblpPr w:leftFromText="180" w:rightFromText="180" w:vertAnchor="text" w:horzAnchor="margin" w:tblpXSpec="center" w:tblpY="852"/>
        <w:tblW w:w="7290" w:type="dxa"/>
        <w:tblLook w:val="04A0" w:firstRow="1" w:lastRow="0" w:firstColumn="1" w:lastColumn="0" w:noHBand="0" w:noVBand="1"/>
      </w:tblPr>
      <w:tblGrid>
        <w:gridCol w:w="2087"/>
        <w:gridCol w:w="2699"/>
        <w:gridCol w:w="2504"/>
      </w:tblGrid>
      <w:tr w:rsidR="003E1CB6" w:rsidRPr="0065058B" w14:paraId="30055C37" w14:textId="77777777" w:rsidTr="00A965C3">
        <w:trPr>
          <w:trHeight w:val="330"/>
        </w:trPr>
        <w:tc>
          <w:tcPr>
            <w:tcW w:w="2087" w:type="dxa"/>
            <w:tcBorders>
              <w:top w:val="nil"/>
              <w:left w:val="nil"/>
              <w:bottom w:val="single" w:sz="8" w:space="0" w:color="auto"/>
              <w:right w:val="single" w:sz="8" w:space="0" w:color="auto"/>
            </w:tcBorders>
            <w:shd w:val="clear" w:color="auto" w:fill="auto"/>
            <w:noWrap/>
            <w:vAlign w:val="bottom"/>
            <w:hideMark/>
          </w:tcPr>
          <w:p w14:paraId="0A88A3BD" w14:textId="77777777" w:rsidR="003E1CB6" w:rsidRPr="0065058B" w:rsidRDefault="003E1CB6" w:rsidP="00F00D37">
            <w:pPr>
              <w:spacing w:after="0" w:line="240" w:lineRule="auto"/>
              <w:rPr>
                <w:rFonts w:ascii="Times New Roman" w:eastAsia="Times New Roman" w:hAnsi="Times New Roman" w:cs="Times New Roman"/>
                <w:sz w:val="24"/>
                <w:szCs w:val="24"/>
                <w:lang w:val="en-GB" w:eastAsia="en-GB"/>
              </w:rPr>
            </w:pPr>
          </w:p>
        </w:tc>
        <w:tc>
          <w:tcPr>
            <w:tcW w:w="26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6FE3BDD" w14:textId="0E66E393"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Freq</w:t>
            </w:r>
            <w:r w:rsidR="00D73823">
              <w:rPr>
                <w:rFonts w:ascii="Calibri" w:eastAsia="Times New Roman" w:hAnsi="Calibri" w:cs="Calibri"/>
                <w:color w:val="000000"/>
                <w:lang w:val="en-GB" w:eastAsia="en-GB"/>
              </w:rPr>
              <w:t>uency</w:t>
            </w:r>
          </w:p>
        </w:tc>
        <w:tc>
          <w:tcPr>
            <w:tcW w:w="250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24B5B96"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 Valid</w:t>
            </w:r>
          </w:p>
        </w:tc>
      </w:tr>
      <w:tr w:rsidR="003E1CB6" w:rsidRPr="0065058B" w14:paraId="1721AE0A"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8AF71D6"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Alone (no parents)</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AEFFFF"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57</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9FD100"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0.58</w:t>
            </w:r>
          </w:p>
        </w:tc>
      </w:tr>
      <w:tr w:rsidR="003E1CB6" w:rsidRPr="0065058B" w14:paraId="7651C516"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1E8297" w14:textId="4EB61F8B"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 xml:space="preserve">Cohabiting </w:t>
            </w:r>
            <w:r w:rsidR="00A966F9" w:rsidRPr="0065058B">
              <w:rPr>
                <w:rFonts w:ascii="Calibri" w:eastAsia="Times New Roman" w:hAnsi="Calibri" w:cs="Calibri"/>
                <w:color w:val="000000"/>
                <w:lang w:val="en-GB" w:eastAsia="en-GB"/>
              </w:rPr>
              <w:t>stepfather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847CDF"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385</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B762AF"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3.92</w:t>
            </w:r>
          </w:p>
        </w:tc>
      </w:tr>
      <w:tr w:rsidR="003E1CB6" w:rsidRPr="0065058B" w14:paraId="731F349E" w14:textId="77777777" w:rsidTr="00A965C3">
        <w:trPr>
          <w:trHeight w:val="75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02E450" w14:textId="3887F599"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 xml:space="preserve">Remarried </w:t>
            </w:r>
            <w:r w:rsidR="00A966F9" w:rsidRPr="0065058B">
              <w:rPr>
                <w:rFonts w:ascii="Calibri" w:eastAsia="Times New Roman" w:hAnsi="Calibri" w:cs="Calibri"/>
                <w:color w:val="000000"/>
                <w:lang w:val="en-GB" w:eastAsia="en-GB"/>
              </w:rPr>
              <w:t>stepfather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FDACB4"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355</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D72E7C"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3.61</w:t>
            </w:r>
          </w:p>
        </w:tc>
      </w:tr>
      <w:tr w:rsidR="003E1CB6" w:rsidRPr="0065058B" w14:paraId="5BFC269A" w14:textId="77777777" w:rsidTr="00A965C3">
        <w:trPr>
          <w:trHeight w:val="961"/>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F328F0E"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Single-father foster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A6D717"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14</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966061"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0.14</w:t>
            </w:r>
          </w:p>
        </w:tc>
      </w:tr>
      <w:tr w:rsidR="003E1CB6" w:rsidRPr="0065058B" w14:paraId="2E074DAE"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361D914" w14:textId="7E38D399" w:rsidR="003E1CB6" w:rsidRPr="0065058B" w:rsidRDefault="00A966F9"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Single father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D1CD21"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230</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B71E05"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2.34</w:t>
            </w:r>
          </w:p>
        </w:tc>
      </w:tr>
      <w:tr w:rsidR="003E1CB6" w:rsidRPr="0065058B" w14:paraId="7CBEFBBB"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93BD7F6" w14:textId="33204821" w:rsidR="003E1CB6" w:rsidRPr="0065058B" w:rsidRDefault="00A966F9"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Single mother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D8EAB5"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1945</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B102A4"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19.78</w:t>
            </w:r>
          </w:p>
        </w:tc>
      </w:tr>
      <w:tr w:rsidR="003E1CB6" w:rsidRPr="0065058B" w14:paraId="621B7BD1" w14:textId="77777777" w:rsidTr="00A965C3">
        <w:trPr>
          <w:trHeight w:val="961"/>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5CC30F1"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Single-mother foster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7E58B4"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78</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1DD25A"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0.79</w:t>
            </w:r>
          </w:p>
        </w:tc>
      </w:tr>
      <w:tr w:rsidR="003E1CB6" w:rsidRPr="0065058B" w14:paraId="543D42BD" w14:textId="77777777" w:rsidTr="00A965C3">
        <w:trPr>
          <w:trHeight w:val="330"/>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369F8CF"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Stepmother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7B0F04"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131</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FBE2EC"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1.33</w:t>
            </w:r>
          </w:p>
        </w:tc>
      </w:tr>
      <w:tr w:rsidR="003E1CB6" w:rsidRPr="0065058B" w14:paraId="35AF79A6"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D361FAE"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Two-parent foster</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6A39F1"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106</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3DA352"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1.08</w:t>
            </w:r>
          </w:p>
        </w:tc>
      </w:tr>
      <w:tr w:rsidR="003E1CB6" w:rsidRPr="0065058B" w14:paraId="79FCAE1A" w14:textId="77777777" w:rsidTr="00A965C3">
        <w:trPr>
          <w:trHeight w:val="646"/>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7DAAEB2"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Two-parent biological</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6CB0E5"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6530</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CAE694"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66.42</w:t>
            </w:r>
          </w:p>
        </w:tc>
      </w:tr>
      <w:tr w:rsidR="003E1CB6" w:rsidRPr="0065058B" w14:paraId="465832AA" w14:textId="77777777" w:rsidTr="00A965C3">
        <w:trPr>
          <w:trHeight w:val="330"/>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DB022B0"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&lt;NA&gt;</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2FB4E6"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191</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3B91E0"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NA</w:t>
            </w:r>
          </w:p>
        </w:tc>
      </w:tr>
      <w:tr w:rsidR="003E1CB6" w:rsidRPr="0065058B" w14:paraId="6E272DDA" w14:textId="77777777" w:rsidTr="00A965C3">
        <w:trPr>
          <w:trHeight w:val="330"/>
        </w:trPr>
        <w:tc>
          <w:tcPr>
            <w:tcW w:w="20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09C7A00"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Total</w:t>
            </w:r>
          </w:p>
        </w:tc>
        <w:tc>
          <w:tcPr>
            <w:tcW w:w="2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012E76"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10022</w:t>
            </w:r>
          </w:p>
        </w:tc>
        <w:tc>
          <w:tcPr>
            <w:tcW w:w="250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604441" w14:textId="77777777" w:rsidR="003E1CB6" w:rsidRPr="0065058B" w:rsidRDefault="003E1CB6" w:rsidP="00F00D37">
            <w:pPr>
              <w:spacing w:after="0" w:line="240" w:lineRule="auto"/>
              <w:jc w:val="center"/>
              <w:rPr>
                <w:rFonts w:ascii="Calibri" w:eastAsia="Times New Roman" w:hAnsi="Calibri" w:cs="Calibri"/>
                <w:color w:val="000000"/>
                <w:lang w:val="en-GB" w:eastAsia="en-GB"/>
              </w:rPr>
            </w:pPr>
            <w:r w:rsidRPr="0065058B">
              <w:rPr>
                <w:rFonts w:ascii="Calibri" w:eastAsia="Times New Roman" w:hAnsi="Calibri" w:cs="Calibri"/>
                <w:color w:val="000000"/>
                <w:lang w:val="en-GB" w:eastAsia="en-GB"/>
              </w:rPr>
              <w:t>100.00</w:t>
            </w:r>
          </w:p>
        </w:tc>
      </w:tr>
    </w:tbl>
    <w:p w14:paraId="701705E5" w14:textId="77777777" w:rsidR="003E1CB6" w:rsidRDefault="003E1CB6" w:rsidP="003E1CB6">
      <w:pPr>
        <w:spacing w:line="360" w:lineRule="auto"/>
        <w:jc w:val="both"/>
        <w:rPr>
          <w:rFonts w:cstheme="minorHAnsi"/>
          <w:sz w:val="24"/>
          <w:szCs w:val="24"/>
        </w:rPr>
      </w:pPr>
      <w:r>
        <w:rPr>
          <w:rFonts w:cstheme="minorHAnsi"/>
          <w:sz w:val="24"/>
          <w:szCs w:val="24"/>
        </w:rPr>
        <w:t xml:space="preserve">         </w:t>
      </w: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.3.</w:t>
      </w:r>
      <w:r>
        <w:rPr>
          <w:rFonts w:cstheme="minorHAnsi"/>
          <w:sz w:val="24"/>
          <w:szCs w:val="24"/>
        </w:rPr>
        <w:t xml:space="preserve"> Further breakdown of structures     </w:t>
      </w:r>
    </w:p>
    <w:p w14:paraId="3E4A0C37" w14:textId="77777777" w:rsidR="003E1CB6" w:rsidRDefault="003E1CB6" w:rsidP="003E1CB6">
      <w:pPr>
        <w:spacing w:line="360" w:lineRule="auto"/>
        <w:jc w:val="both"/>
        <w:rPr>
          <w:rFonts w:cstheme="minorHAnsi"/>
          <w:sz w:val="24"/>
          <w:szCs w:val="24"/>
        </w:rPr>
      </w:pPr>
    </w:p>
    <w:p w14:paraId="39C374B8" w14:textId="77777777" w:rsidR="003E1CB6" w:rsidRDefault="003E1CB6" w:rsidP="003E1CB6">
      <w:pPr>
        <w:spacing w:line="360" w:lineRule="auto"/>
        <w:jc w:val="both"/>
        <w:rPr>
          <w:rFonts w:cstheme="minorHAnsi"/>
          <w:sz w:val="24"/>
          <w:szCs w:val="24"/>
        </w:rPr>
      </w:pPr>
    </w:p>
    <w:p w14:paraId="1A618F69" w14:textId="77777777" w:rsidR="003E1CB6" w:rsidRDefault="003E1CB6" w:rsidP="003E1CB6">
      <w:pPr>
        <w:spacing w:line="360" w:lineRule="auto"/>
        <w:jc w:val="both"/>
        <w:rPr>
          <w:rFonts w:cstheme="minorHAnsi"/>
          <w:sz w:val="24"/>
          <w:szCs w:val="24"/>
        </w:rPr>
      </w:pPr>
    </w:p>
    <w:p w14:paraId="2BC77D72" w14:textId="77777777" w:rsidR="003E1CB6" w:rsidRDefault="003E1CB6" w:rsidP="003E1CB6">
      <w:pPr>
        <w:spacing w:line="360" w:lineRule="auto"/>
        <w:jc w:val="both"/>
        <w:rPr>
          <w:rFonts w:cstheme="minorHAnsi"/>
          <w:sz w:val="24"/>
          <w:szCs w:val="24"/>
        </w:rPr>
      </w:pPr>
    </w:p>
    <w:p w14:paraId="1F245123" w14:textId="77777777" w:rsidR="003E1CB6" w:rsidRDefault="003E1CB6" w:rsidP="003E1CB6">
      <w:pPr>
        <w:spacing w:line="360" w:lineRule="auto"/>
        <w:jc w:val="both"/>
        <w:rPr>
          <w:rFonts w:cstheme="minorHAnsi"/>
          <w:sz w:val="24"/>
          <w:szCs w:val="24"/>
        </w:rPr>
      </w:pPr>
    </w:p>
    <w:p w14:paraId="4F497392" w14:textId="77777777" w:rsidR="003E1CB6" w:rsidRDefault="003E1CB6" w:rsidP="003E1CB6">
      <w:pPr>
        <w:spacing w:line="360" w:lineRule="auto"/>
        <w:jc w:val="both"/>
        <w:rPr>
          <w:rFonts w:cstheme="minorHAnsi"/>
          <w:sz w:val="24"/>
          <w:szCs w:val="24"/>
        </w:rPr>
      </w:pPr>
    </w:p>
    <w:p w14:paraId="4FE3894C" w14:textId="77777777" w:rsidR="003E1CB6" w:rsidRDefault="003E1CB6" w:rsidP="003E1CB6">
      <w:pPr>
        <w:spacing w:line="360" w:lineRule="auto"/>
        <w:jc w:val="both"/>
        <w:rPr>
          <w:rFonts w:cstheme="minorHAnsi"/>
          <w:sz w:val="24"/>
          <w:szCs w:val="24"/>
        </w:rPr>
      </w:pPr>
    </w:p>
    <w:p w14:paraId="6716F99B" w14:textId="77777777" w:rsidR="003E1CB6" w:rsidRDefault="003E1CB6" w:rsidP="003E1CB6">
      <w:pPr>
        <w:spacing w:line="360" w:lineRule="auto"/>
        <w:jc w:val="both"/>
        <w:rPr>
          <w:rFonts w:cstheme="minorHAnsi"/>
          <w:sz w:val="24"/>
          <w:szCs w:val="24"/>
        </w:rPr>
      </w:pPr>
    </w:p>
    <w:p w14:paraId="777296B5" w14:textId="77777777" w:rsidR="003E1CB6" w:rsidRDefault="003E1CB6" w:rsidP="003E1CB6">
      <w:pPr>
        <w:spacing w:line="360" w:lineRule="auto"/>
        <w:jc w:val="both"/>
        <w:rPr>
          <w:rFonts w:cstheme="minorHAnsi"/>
          <w:sz w:val="24"/>
          <w:szCs w:val="24"/>
        </w:rPr>
      </w:pPr>
    </w:p>
    <w:p w14:paraId="020C9113" w14:textId="77777777" w:rsidR="003E1CB6" w:rsidRDefault="003E1CB6" w:rsidP="003E1CB6">
      <w:pPr>
        <w:spacing w:line="360" w:lineRule="auto"/>
        <w:jc w:val="both"/>
        <w:rPr>
          <w:rFonts w:cstheme="minorHAnsi"/>
          <w:sz w:val="24"/>
          <w:szCs w:val="24"/>
        </w:rPr>
      </w:pPr>
    </w:p>
    <w:p w14:paraId="372627FF" w14:textId="77777777" w:rsidR="003E1CB6" w:rsidRDefault="003E1CB6" w:rsidP="003E1CB6">
      <w:pPr>
        <w:spacing w:line="360" w:lineRule="auto"/>
        <w:jc w:val="both"/>
        <w:rPr>
          <w:rFonts w:cstheme="minorHAnsi"/>
          <w:sz w:val="24"/>
          <w:szCs w:val="24"/>
        </w:rPr>
      </w:pPr>
    </w:p>
    <w:p w14:paraId="4DD92DEA" w14:textId="77777777" w:rsidR="003E1CB6" w:rsidRDefault="003E1CB6" w:rsidP="003E1CB6">
      <w:pPr>
        <w:spacing w:line="360" w:lineRule="auto"/>
        <w:jc w:val="both"/>
        <w:rPr>
          <w:rFonts w:cstheme="minorHAnsi"/>
          <w:sz w:val="24"/>
          <w:szCs w:val="24"/>
        </w:rPr>
      </w:pPr>
    </w:p>
    <w:p w14:paraId="1FC35768" w14:textId="77777777" w:rsidR="003E1CB6" w:rsidRDefault="003E1CB6" w:rsidP="003E1CB6">
      <w:pPr>
        <w:spacing w:line="360" w:lineRule="auto"/>
        <w:jc w:val="both"/>
        <w:rPr>
          <w:rFonts w:cstheme="minorHAnsi"/>
          <w:sz w:val="24"/>
          <w:szCs w:val="24"/>
        </w:rPr>
      </w:pPr>
    </w:p>
    <w:p w14:paraId="23FCEBC0" w14:textId="77777777" w:rsidR="003E1CB6" w:rsidRDefault="003E1CB6" w:rsidP="003E1CB6">
      <w:pPr>
        <w:spacing w:line="360" w:lineRule="auto"/>
        <w:jc w:val="both"/>
        <w:rPr>
          <w:rFonts w:cstheme="minorHAnsi"/>
          <w:sz w:val="24"/>
          <w:szCs w:val="24"/>
        </w:rPr>
      </w:pPr>
    </w:p>
    <w:p w14:paraId="38ECFCB7" w14:textId="77777777" w:rsidR="003E1CB6" w:rsidRDefault="003E1CB6" w:rsidP="003E1CB6">
      <w:pPr>
        <w:spacing w:line="360" w:lineRule="auto"/>
        <w:jc w:val="both"/>
        <w:rPr>
          <w:rFonts w:cstheme="minorHAnsi"/>
          <w:b/>
          <w:bCs/>
          <w:sz w:val="24"/>
          <w:szCs w:val="24"/>
        </w:rPr>
      </w:pPr>
    </w:p>
    <w:p w14:paraId="76A7DBC2" w14:textId="649687CC" w:rsidR="003E1CB6"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.4.</w:t>
      </w:r>
      <w:r>
        <w:rPr>
          <w:rFonts w:cstheme="minorHAnsi"/>
          <w:sz w:val="24"/>
          <w:szCs w:val="24"/>
        </w:rPr>
        <w:t xml:space="preserve"> Distribution of parental separation types</w:t>
      </w:r>
    </w:p>
    <w:tbl>
      <w:tblPr>
        <w:tblpPr w:leftFromText="180" w:rightFromText="180" w:vertAnchor="page" w:horzAnchor="margin" w:tblpXSpec="center" w:tblpY="11836"/>
        <w:tblW w:w="5088" w:type="dxa"/>
        <w:tblLook w:val="04A0" w:firstRow="1" w:lastRow="0" w:firstColumn="1" w:lastColumn="0" w:noHBand="0" w:noVBand="1"/>
      </w:tblPr>
      <w:tblGrid>
        <w:gridCol w:w="1526"/>
        <w:gridCol w:w="1399"/>
        <w:gridCol w:w="2163"/>
      </w:tblGrid>
      <w:tr w:rsidR="003E1CB6" w:rsidRPr="00B55961" w14:paraId="6B600222" w14:textId="77777777" w:rsidTr="00A965C3">
        <w:trPr>
          <w:trHeight w:val="509"/>
        </w:trPr>
        <w:tc>
          <w:tcPr>
            <w:tcW w:w="1526" w:type="dxa"/>
            <w:tcBorders>
              <w:top w:val="nil"/>
              <w:left w:val="nil"/>
              <w:bottom w:val="single" w:sz="8" w:space="0" w:color="auto"/>
              <w:right w:val="single" w:sz="8" w:space="0" w:color="auto"/>
            </w:tcBorders>
            <w:shd w:val="clear" w:color="auto" w:fill="auto"/>
            <w:noWrap/>
            <w:vAlign w:val="bottom"/>
            <w:hideMark/>
          </w:tcPr>
          <w:p w14:paraId="20A6952B" w14:textId="77777777" w:rsidR="003E1CB6" w:rsidRPr="00B55961" w:rsidRDefault="003E1CB6" w:rsidP="00F00D37">
            <w:pPr>
              <w:spacing w:after="0" w:line="240" w:lineRule="auto"/>
              <w:rPr>
                <w:rFonts w:ascii="Times New Roman" w:eastAsia="Times New Roman" w:hAnsi="Times New Roman" w:cs="Times New Roman"/>
                <w:sz w:val="24"/>
                <w:szCs w:val="24"/>
                <w:lang w:val="en-GB" w:eastAsia="en-GB"/>
              </w:rPr>
            </w:pPr>
          </w:p>
        </w:tc>
        <w:tc>
          <w:tcPr>
            <w:tcW w:w="13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1B5577B" w14:textId="0D6C11E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Freq</w:t>
            </w:r>
            <w:r w:rsidR="00D73823">
              <w:rPr>
                <w:rFonts w:ascii="Calibri" w:eastAsia="Times New Roman" w:hAnsi="Calibri" w:cs="Calibri"/>
                <w:color w:val="000000"/>
                <w:lang w:val="en-GB" w:eastAsia="en-GB"/>
              </w:rPr>
              <w:t>uency</w:t>
            </w:r>
          </w:p>
        </w:tc>
        <w:tc>
          <w:tcPr>
            <w:tcW w:w="216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4E9E0C1"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 Valid</w:t>
            </w:r>
          </w:p>
        </w:tc>
      </w:tr>
      <w:tr w:rsidR="003E1CB6" w:rsidRPr="00B55961" w14:paraId="31465486" w14:textId="77777777" w:rsidTr="00A965C3">
        <w:trPr>
          <w:trHeight w:val="620"/>
        </w:trPr>
        <w:tc>
          <w:tcPr>
            <w:tcW w:w="152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D3ED121" w14:textId="21584EBE" w:rsidR="003E1CB6" w:rsidRPr="00B55961" w:rsidRDefault="00D73823"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D</w:t>
            </w:r>
            <w:r w:rsidR="003E1CB6" w:rsidRPr="00B55961">
              <w:rPr>
                <w:rFonts w:ascii="Calibri" w:eastAsia="Times New Roman" w:hAnsi="Calibri" w:cs="Calibri"/>
                <w:color w:val="000000"/>
                <w:lang w:val="en-GB" w:eastAsia="en-GB"/>
              </w:rPr>
              <w:t>eath</w:t>
            </w:r>
          </w:p>
        </w:tc>
        <w:tc>
          <w:tcPr>
            <w:tcW w:w="13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E9C5B7"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60</w:t>
            </w:r>
          </w:p>
        </w:tc>
        <w:tc>
          <w:tcPr>
            <w:tcW w:w="21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52D872"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2.44</w:t>
            </w:r>
          </w:p>
        </w:tc>
      </w:tr>
      <w:tr w:rsidR="003E1CB6" w:rsidRPr="00B55961" w14:paraId="55EA4F63" w14:textId="77777777" w:rsidTr="00A965C3">
        <w:trPr>
          <w:trHeight w:val="485"/>
        </w:trPr>
        <w:tc>
          <w:tcPr>
            <w:tcW w:w="152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2255A9D" w14:textId="4142FE86" w:rsidR="003E1CB6" w:rsidRPr="00B55961" w:rsidRDefault="00D73823"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D</w:t>
            </w:r>
            <w:r w:rsidR="003E1CB6" w:rsidRPr="00B55961">
              <w:rPr>
                <w:rFonts w:ascii="Calibri" w:eastAsia="Times New Roman" w:hAnsi="Calibri" w:cs="Calibri"/>
                <w:color w:val="000000"/>
                <w:lang w:val="en-GB" w:eastAsia="en-GB"/>
              </w:rPr>
              <w:t>iv</w:t>
            </w:r>
            <w:r w:rsidR="003E1CB6">
              <w:rPr>
                <w:rFonts w:ascii="Calibri" w:eastAsia="Times New Roman" w:hAnsi="Calibri" w:cs="Calibri"/>
                <w:color w:val="000000"/>
                <w:lang w:val="en-GB" w:eastAsia="en-GB"/>
              </w:rPr>
              <w:t>orce</w:t>
            </w:r>
          </w:p>
        </w:tc>
        <w:tc>
          <w:tcPr>
            <w:tcW w:w="13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12333F"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2249</w:t>
            </w:r>
          </w:p>
        </w:tc>
        <w:tc>
          <w:tcPr>
            <w:tcW w:w="21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44B541"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91.39</w:t>
            </w:r>
          </w:p>
        </w:tc>
      </w:tr>
      <w:tr w:rsidR="003E1CB6" w:rsidRPr="00B55961" w14:paraId="14B765D5" w14:textId="77777777" w:rsidTr="00A965C3">
        <w:trPr>
          <w:trHeight w:val="485"/>
        </w:trPr>
        <w:tc>
          <w:tcPr>
            <w:tcW w:w="152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8F45B77" w14:textId="366BBC5E" w:rsidR="003E1CB6" w:rsidRPr="00B55961" w:rsidRDefault="00D73823"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O</w:t>
            </w:r>
            <w:r w:rsidR="003E1CB6" w:rsidRPr="00B55961">
              <w:rPr>
                <w:rFonts w:ascii="Calibri" w:eastAsia="Times New Roman" w:hAnsi="Calibri" w:cs="Calibri"/>
                <w:color w:val="000000"/>
                <w:lang w:val="en-GB" w:eastAsia="en-GB"/>
              </w:rPr>
              <w:t>ther</w:t>
            </w:r>
          </w:p>
        </w:tc>
        <w:tc>
          <w:tcPr>
            <w:tcW w:w="13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65972E"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152</w:t>
            </w:r>
          </w:p>
        </w:tc>
        <w:tc>
          <w:tcPr>
            <w:tcW w:w="21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65AD54"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6.18</w:t>
            </w:r>
          </w:p>
        </w:tc>
      </w:tr>
      <w:tr w:rsidR="003E1CB6" w:rsidRPr="00B55961" w14:paraId="001A7F37" w14:textId="77777777" w:rsidTr="00A965C3">
        <w:trPr>
          <w:trHeight w:val="485"/>
        </w:trPr>
        <w:tc>
          <w:tcPr>
            <w:tcW w:w="152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ACA4896"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&lt;NA&gt;</w:t>
            </w:r>
            <w:r>
              <w:rPr>
                <w:rFonts w:ascii="Calibri" w:eastAsia="Times New Roman" w:hAnsi="Calibri" w:cs="Calibri"/>
                <w:color w:val="000000"/>
                <w:lang w:val="en-GB" w:eastAsia="en-GB"/>
              </w:rPr>
              <w:t xml:space="preserve"> (two-parent)</w:t>
            </w:r>
          </w:p>
        </w:tc>
        <w:tc>
          <w:tcPr>
            <w:tcW w:w="13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4F82C7"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7561</w:t>
            </w:r>
          </w:p>
        </w:tc>
        <w:tc>
          <w:tcPr>
            <w:tcW w:w="21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58CF6F"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NA</w:t>
            </w:r>
          </w:p>
        </w:tc>
      </w:tr>
      <w:tr w:rsidR="003E1CB6" w:rsidRPr="00B55961" w14:paraId="4CE3F920" w14:textId="77777777" w:rsidTr="00A965C3">
        <w:trPr>
          <w:trHeight w:val="668"/>
        </w:trPr>
        <w:tc>
          <w:tcPr>
            <w:tcW w:w="1526"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38F02B4"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Total</w:t>
            </w:r>
          </w:p>
        </w:tc>
        <w:tc>
          <w:tcPr>
            <w:tcW w:w="13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675CD3"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10022</w:t>
            </w:r>
          </w:p>
        </w:tc>
        <w:tc>
          <w:tcPr>
            <w:tcW w:w="21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610404" w14:textId="77777777" w:rsidR="003E1CB6" w:rsidRPr="00B55961" w:rsidRDefault="003E1CB6" w:rsidP="00F00D37">
            <w:pPr>
              <w:spacing w:after="0" w:line="240" w:lineRule="auto"/>
              <w:jc w:val="center"/>
              <w:rPr>
                <w:rFonts w:ascii="Calibri" w:eastAsia="Times New Roman" w:hAnsi="Calibri" w:cs="Calibri"/>
                <w:color w:val="000000"/>
                <w:lang w:val="en-GB" w:eastAsia="en-GB"/>
              </w:rPr>
            </w:pPr>
            <w:r w:rsidRPr="00B55961">
              <w:rPr>
                <w:rFonts w:ascii="Calibri" w:eastAsia="Times New Roman" w:hAnsi="Calibri" w:cs="Calibri"/>
                <w:color w:val="000000"/>
                <w:lang w:val="en-GB" w:eastAsia="en-GB"/>
              </w:rPr>
              <w:t>100</w:t>
            </w:r>
          </w:p>
        </w:tc>
      </w:tr>
    </w:tbl>
    <w:p w14:paraId="60D91B23" w14:textId="77777777" w:rsidR="003E1CB6" w:rsidRDefault="003E1CB6" w:rsidP="003E1CB6">
      <w:pPr>
        <w:spacing w:line="360" w:lineRule="auto"/>
        <w:jc w:val="both"/>
        <w:rPr>
          <w:rFonts w:cstheme="minorHAnsi"/>
          <w:sz w:val="24"/>
          <w:szCs w:val="24"/>
        </w:rPr>
      </w:pPr>
    </w:p>
    <w:p w14:paraId="03F2F7BE" w14:textId="77777777" w:rsidR="003E1CB6" w:rsidRPr="00B55961" w:rsidRDefault="003E1CB6" w:rsidP="003E1CB6">
      <w:pPr>
        <w:rPr>
          <w:rFonts w:cstheme="minorHAnsi"/>
          <w:sz w:val="24"/>
          <w:szCs w:val="24"/>
        </w:rPr>
      </w:pPr>
    </w:p>
    <w:p w14:paraId="1B16E853" w14:textId="77777777" w:rsidR="003E1CB6" w:rsidRPr="00B55961" w:rsidRDefault="003E1CB6" w:rsidP="003E1CB6">
      <w:pPr>
        <w:rPr>
          <w:rFonts w:cstheme="minorHAnsi"/>
          <w:sz w:val="24"/>
          <w:szCs w:val="24"/>
        </w:rPr>
      </w:pPr>
    </w:p>
    <w:p w14:paraId="58DB89C0" w14:textId="77777777" w:rsidR="003E1CB6" w:rsidRPr="00B55961" w:rsidRDefault="003E1CB6" w:rsidP="003E1CB6">
      <w:pPr>
        <w:rPr>
          <w:rFonts w:cstheme="minorHAnsi"/>
          <w:sz w:val="24"/>
          <w:szCs w:val="24"/>
        </w:rPr>
      </w:pPr>
    </w:p>
    <w:p w14:paraId="79405D2B" w14:textId="77777777" w:rsidR="003E1CB6" w:rsidRPr="00B55961" w:rsidRDefault="003E1CB6" w:rsidP="003E1CB6">
      <w:pPr>
        <w:rPr>
          <w:rFonts w:cstheme="minorHAnsi"/>
          <w:sz w:val="24"/>
          <w:szCs w:val="24"/>
        </w:rPr>
      </w:pPr>
    </w:p>
    <w:p w14:paraId="35433355" w14:textId="77777777" w:rsidR="003E1CB6" w:rsidRPr="00B55961" w:rsidRDefault="003E1CB6" w:rsidP="003E1CB6">
      <w:pPr>
        <w:rPr>
          <w:rFonts w:cstheme="minorHAnsi"/>
          <w:sz w:val="24"/>
          <w:szCs w:val="24"/>
        </w:rPr>
      </w:pPr>
    </w:p>
    <w:p w14:paraId="6E150F54" w14:textId="77777777" w:rsidR="003E1CB6" w:rsidRDefault="003E1CB6" w:rsidP="003E1CB6">
      <w:pPr>
        <w:rPr>
          <w:rFonts w:cstheme="minorHAnsi"/>
          <w:sz w:val="24"/>
          <w:szCs w:val="24"/>
        </w:rPr>
      </w:pPr>
    </w:p>
    <w:p w14:paraId="6AD24F7C" w14:textId="77777777" w:rsidR="003E1CB6" w:rsidRDefault="003E1CB6" w:rsidP="003E1CB6">
      <w:pPr>
        <w:rPr>
          <w:rFonts w:cstheme="minorHAnsi"/>
          <w:sz w:val="24"/>
          <w:szCs w:val="24"/>
        </w:rPr>
      </w:pPr>
    </w:p>
    <w:p w14:paraId="21402902" w14:textId="77777777" w:rsidR="003E1CB6" w:rsidRDefault="003E1CB6" w:rsidP="003E1CB6">
      <w:pPr>
        <w:rPr>
          <w:rFonts w:cstheme="minorHAnsi"/>
          <w:sz w:val="24"/>
          <w:szCs w:val="24"/>
        </w:rPr>
      </w:pPr>
      <w:r w:rsidRPr="006363AB">
        <w:rPr>
          <w:rFonts w:cstheme="minorHAnsi"/>
          <w:b/>
          <w:bCs/>
          <w:sz w:val="24"/>
          <w:szCs w:val="24"/>
        </w:rPr>
        <w:lastRenderedPageBreak/>
        <w:t xml:space="preserve">Appendix </w:t>
      </w:r>
      <w:r>
        <w:rPr>
          <w:rFonts w:cstheme="minorHAnsi"/>
          <w:b/>
          <w:bCs/>
          <w:sz w:val="24"/>
          <w:szCs w:val="24"/>
        </w:rPr>
        <w:t>3</w:t>
      </w:r>
      <w:r w:rsidRPr="006363AB">
        <w:rPr>
          <w:rFonts w:cstheme="minorHAnsi"/>
          <w:b/>
          <w:bCs/>
          <w:sz w:val="24"/>
          <w:szCs w:val="24"/>
        </w:rPr>
        <w:t>.5.</w:t>
      </w:r>
      <w:r>
        <w:rPr>
          <w:rFonts w:cstheme="minorHAnsi"/>
          <w:sz w:val="24"/>
          <w:szCs w:val="24"/>
        </w:rPr>
        <w:t xml:space="preserve"> Age of children at the parental separation</w:t>
      </w:r>
    </w:p>
    <w:tbl>
      <w:tblPr>
        <w:tblpPr w:leftFromText="180" w:rightFromText="180" w:vertAnchor="text" w:horzAnchor="margin" w:tblpXSpec="center" w:tblpY="126"/>
        <w:tblOverlap w:val="never"/>
        <w:tblW w:w="46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6"/>
        <w:gridCol w:w="2185"/>
      </w:tblGrid>
      <w:tr w:rsidR="003E1CB6" w:rsidRPr="001C0757" w14:paraId="3EDED414" w14:textId="77777777" w:rsidTr="00A965C3">
        <w:trPr>
          <w:trHeight w:val="490"/>
        </w:trPr>
        <w:tc>
          <w:tcPr>
            <w:tcW w:w="2486" w:type="dxa"/>
            <w:shd w:val="clear" w:color="000000" w:fill="D9D9D9"/>
            <w:vAlign w:val="center"/>
            <w:hideMark/>
          </w:tcPr>
          <w:p w14:paraId="3571E700" w14:textId="77777777" w:rsidR="003E1CB6" w:rsidRPr="001C0757" w:rsidRDefault="003E1CB6"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Age at maternal separation</w:t>
            </w:r>
          </w:p>
        </w:tc>
        <w:tc>
          <w:tcPr>
            <w:tcW w:w="2185" w:type="dxa"/>
            <w:shd w:val="clear" w:color="000000" w:fill="D9D9D9"/>
            <w:vAlign w:val="center"/>
            <w:hideMark/>
          </w:tcPr>
          <w:p w14:paraId="6DB7CA75" w14:textId="77777777" w:rsidR="003E1CB6" w:rsidRPr="001C0757" w:rsidRDefault="003E1CB6"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Age at paternal separation</w:t>
            </w:r>
          </w:p>
        </w:tc>
      </w:tr>
      <w:tr w:rsidR="003E1CB6" w:rsidRPr="001C0757" w14:paraId="315405CB" w14:textId="77777777" w:rsidTr="00A965C3">
        <w:trPr>
          <w:trHeight w:val="490"/>
        </w:trPr>
        <w:tc>
          <w:tcPr>
            <w:tcW w:w="2486" w:type="dxa"/>
            <w:shd w:val="clear" w:color="auto" w:fill="auto"/>
            <w:noWrap/>
            <w:vAlign w:val="center"/>
            <w:hideMark/>
          </w:tcPr>
          <w:p w14:paraId="057ADA90" w14:textId="7CF96941" w:rsidR="003E1CB6" w:rsidRPr="001C0757" w:rsidRDefault="00640CD9"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Min.:</w:t>
            </w:r>
            <w:r w:rsidR="003E1CB6" w:rsidRPr="001C0757">
              <w:rPr>
                <w:rFonts w:ascii="Calibri" w:eastAsia="Times New Roman" w:hAnsi="Calibri" w:cs="Calibri"/>
                <w:color w:val="000000"/>
                <w:lang w:val="en-GB" w:eastAsia="en-GB"/>
              </w:rPr>
              <w:t xml:space="preserve"> 0.000</w:t>
            </w:r>
          </w:p>
        </w:tc>
        <w:tc>
          <w:tcPr>
            <w:tcW w:w="2185" w:type="dxa"/>
            <w:shd w:val="clear" w:color="auto" w:fill="auto"/>
            <w:noWrap/>
            <w:vAlign w:val="center"/>
            <w:hideMark/>
          </w:tcPr>
          <w:p w14:paraId="551F6AE0" w14:textId="3D7F18F2" w:rsidR="003E1CB6" w:rsidRPr="001C0757" w:rsidRDefault="00640CD9"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Min.:</w:t>
            </w:r>
            <w:r w:rsidR="003E1CB6" w:rsidRPr="001C0757">
              <w:rPr>
                <w:rFonts w:ascii="Calibri" w:eastAsia="Times New Roman" w:hAnsi="Calibri" w:cs="Calibri"/>
                <w:color w:val="000000"/>
                <w:lang w:val="en-GB" w:eastAsia="en-GB"/>
              </w:rPr>
              <w:t xml:space="preserve"> 0.000</w:t>
            </w:r>
          </w:p>
        </w:tc>
      </w:tr>
      <w:tr w:rsidR="003E1CB6" w:rsidRPr="001C0757" w14:paraId="303F9842" w14:textId="77777777" w:rsidTr="00A965C3">
        <w:trPr>
          <w:trHeight w:val="490"/>
        </w:trPr>
        <w:tc>
          <w:tcPr>
            <w:tcW w:w="2486" w:type="dxa"/>
            <w:shd w:val="clear" w:color="auto" w:fill="auto"/>
            <w:noWrap/>
            <w:vAlign w:val="center"/>
            <w:hideMark/>
          </w:tcPr>
          <w:p w14:paraId="7F6EFE3B" w14:textId="218BD656"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1st Qu.: 3.000</w:t>
            </w:r>
          </w:p>
        </w:tc>
        <w:tc>
          <w:tcPr>
            <w:tcW w:w="2185" w:type="dxa"/>
            <w:shd w:val="clear" w:color="auto" w:fill="auto"/>
            <w:noWrap/>
            <w:vAlign w:val="center"/>
            <w:hideMark/>
          </w:tcPr>
          <w:p w14:paraId="601C1431" w14:textId="0CAA559F"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1st Qu.: 3.000</w:t>
            </w:r>
          </w:p>
        </w:tc>
      </w:tr>
      <w:tr w:rsidR="003E1CB6" w:rsidRPr="001C0757" w14:paraId="7537657A" w14:textId="77777777" w:rsidTr="00A965C3">
        <w:trPr>
          <w:trHeight w:val="490"/>
        </w:trPr>
        <w:tc>
          <w:tcPr>
            <w:tcW w:w="2486" w:type="dxa"/>
            <w:shd w:val="clear" w:color="auto" w:fill="auto"/>
            <w:noWrap/>
            <w:vAlign w:val="center"/>
            <w:hideMark/>
          </w:tcPr>
          <w:p w14:paraId="12C0EA81" w14:textId="492ABE8E" w:rsidR="003E1CB6" w:rsidRPr="001C0757" w:rsidRDefault="00CA3077"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Median:</w:t>
            </w:r>
            <w:r w:rsidR="003E1CB6" w:rsidRPr="001C0757">
              <w:rPr>
                <w:rFonts w:ascii="Calibri" w:eastAsia="Times New Roman" w:hAnsi="Calibri" w:cs="Calibri"/>
                <w:color w:val="000000"/>
                <w:lang w:val="en-GB" w:eastAsia="en-GB"/>
              </w:rPr>
              <w:t xml:space="preserve"> 8.000</w:t>
            </w:r>
          </w:p>
        </w:tc>
        <w:tc>
          <w:tcPr>
            <w:tcW w:w="2185" w:type="dxa"/>
            <w:shd w:val="clear" w:color="auto" w:fill="auto"/>
            <w:noWrap/>
            <w:vAlign w:val="center"/>
            <w:hideMark/>
          </w:tcPr>
          <w:p w14:paraId="0DF11821" w14:textId="5701E477" w:rsidR="003E1CB6" w:rsidRPr="001C0757" w:rsidRDefault="00CA3077"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Median:</w:t>
            </w:r>
            <w:r w:rsidR="003E1CB6" w:rsidRPr="001C0757">
              <w:rPr>
                <w:rFonts w:ascii="Calibri" w:eastAsia="Times New Roman" w:hAnsi="Calibri" w:cs="Calibri"/>
                <w:color w:val="000000"/>
                <w:lang w:val="en-GB" w:eastAsia="en-GB"/>
              </w:rPr>
              <w:t xml:space="preserve"> 7.000</w:t>
            </w:r>
          </w:p>
        </w:tc>
      </w:tr>
      <w:tr w:rsidR="003E1CB6" w:rsidRPr="001C0757" w14:paraId="5F446C7D" w14:textId="77777777" w:rsidTr="00A965C3">
        <w:trPr>
          <w:trHeight w:val="490"/>
        </w:trPr>
        <w:tc>
          <w:tcPr>
            <w:tcW w:w="2486" w:type="dxa"/>
            <w:shd w:val="clear" w:color="auto" w:fill="auto"/>
            <w:noWrap/>
            <w:vAlign w:val="center"/>
            <w:hideMark/>
          </w:tcPr>
          <w:p w14:paraId="693D0210" w14:textId="53FE0BC7" w:rsidR="003E1CB6" w:rsidRPr="001C0757" w:rsidRDefault="00640CD9"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Mean:</w:t>
            </w:r>
            <w:r w:rsidR="003E1CB6" w:rsidRPr="001C0757">
              <w:rPr>
                <w:rFonts w:ascii="Calibri" w:eastAsia="Times New Roman" w:hAnsi="Calibri" w:cs="Calibri"/>
                <w:color w:val="000000"/>
                <w:lang w:val="en-GB" w:eastAsia="en-GB"/>
              </w:rPr>
              <w:t xml:space="preserve"> 7.641</w:t>
            </w:r>
          </w:p>
        </w:tc>
        <w:tc>
          <w:tcPr>
            <w:tcW w:w="2185" w:type="dxa"/>
            <w:shd w:val="clear" w:color="auto" w:fill="auto"/>
            <w:noWrap/>
            <w:vAlign w:val="center"/>
            <w:hideMark/>
          </w:tcPr>
          <w:p w14:paraId="64850CAE" w14:textId="3FE79BC2" w:rsidR="003E1CB6" w:rsidRPr="001C0757" w:rsidRDefault="00640CD9"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Mean:</w:t>
            </w:r>
            <w:r w:rsidR="003E1CB6" w:rsidRPr="001C0757">
              <w:rPr>
                <w:rFonts w:ascii="Calibri" w:eastAsia="Times New Roman" w:hAnsi="Calibri" w:cs="Calibri"/>
                <w:color w:val="000000"/>
                <w:lang w:val="en-GB" w:eastAsia="en-GB"/>
              </w:rPr>
              <w:t xml:space="preserve"> 6.799</w:t>
            </w:r>
          </w:p>
        </w:tc>
      </w:tr>
      <w:tr w:rsidR="003E1CB6" w:rsidRPr="001C0757" w14:paraId="754C00C2" w14:textId="77777777" w:rsidTr="00A965C3">
        <w:trPr>
          <w:trHeight w:val="490"/>
        </w:trPr>
        <w:tc>
          <w:tcPr>
            <w:tcW w:w="2486" w:type="dxa"/>
            <w:shd w:val="clear" w:color="auto" w:fill="auto"/>
            <w:noWrap/>
            <w:vAlign w:val="center"/>
            <w:hideMark/>
          </w:tcPr>
          <w:p w14:paraId="5F02EC39" w14:textId="3A073E37"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3rd Qu.:</w:t>
            </w:r>
            <w:r w:rsidR="00640CD9">
              <w:rPr>
                <w:rFonts w:ascii="Calibri" w:eastAsia="Times New Roman" w:hAnsi="Calibri" w:cs="Calibri"/>
                <w:color w:val="000000"/>
                <w:lang w:val="en-GB" w:eastAsia="en-GB"/>
              </w:rPr>
              <w:t xml:space="preserve"> </w:t>
            </w:r>
            <w:r w:rsidRPr="001C0757">
              <w:rPr>
                <w:rFonts w:ascii="Calibri" w:eastAsia="Times New Roman" w:hAnsi="Calibri" w:cs="Calibri"/>
                <w:color w:val="000000"/>
                <w:lang w:val="en-GB" w:eastAsia="en-GB"/>
              </w:rPr>
              <w:t>12.000</w:t>
            </w:r>
          </w:p>
        </w:tc>
        <w:tc>
          <w:tcPr>
            <w:tcW w:w="2185" w:type="dxa"/>
            <w:shd w:val="clear" w:color="auto" w:fill="auto"/>
            <w:noWrap/>
            <w:vAlign w:val="center"/>
            <w:hideMark/>
          </w:tcPr>
          <w:p w14:paraId="0E2D275E" w14:textId="255DC039"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3rd Qu.:</w:t>
            </w:r>
            <w:r w:rsidR="00640CD9">
              <w:rPr>
                <w:rFonts w:ascii="Calibri" w:eastAsia="Times New Roman" w:hAnsi="Calibri" w:cs="Calibri"/>
                <w:color w:val="000000"/>
                <w:lang w:val="en-GB" w:eastAsia="en-GB"/>
              </w:rPr>
              <w:t xml:space="preserve"> </w:t>
            </w:r>
            <w:r w:rsidRPr="001C0757">
              <w:rPr>
                <w:rFonts w:ascii="Calibri" w:eastAsia="Times New Roman" w:hAnsi="Calibri" w:cs="Calibri"/>
                <w:color w:val="000000"/>
                <w:lang w:val="en-GB" w:eastAsia="en-GB"/>
              </w:rPr>
              <w:t>11.000</w:t>
            </w:r>
          </w:p>
        </w:tc>
      </w:tr>
      <w:tr w:rsidR="003E1CB6" w:rsidRPr="001C0757" w14:paraId="2DF0C3A6" w14:textId="77777777" w:rsidTr="00A965C3">
        <w:trPr>
          <w:trHeight w:val="490"/>
        </w:trPr>
        <w:tc>
          <w:tcPr>
            <w:tcW w:w="2486" w:type="dxa"/>
            <w:shd w:val="clear" w:color="auto" w:fill="auto"/>
            <w:noWrap/>
            <w:vAlign w:val="center"/>
            <w:hideMark/>
          </w:tcPr>
          <w:p w14:paraId="7FC61AD8" w14:textId="3D4E6D23"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Max.:</w:t>
            </w:r>
            <w:r w:rsidR="00640CD9">
              <w:rPr>
                <w:rFonts w:ascii="Calibri" w:eastAsia="Times New Roman" w:hAnsi="Calibri" w:cs="Calibri"/>
                <w:color w:val="000000"/>
                <w:lang w:val="en-GB" w:eastAsia="en-GB"/>
              </w:rPr>
              <w:t xml:space="preserve"> </w:t>
            </w:r>
            <w:r w:rsidRPr="001C0757">
              <w:rPr>
                <w:rFonts w:ascii="Calibri" w:eastAsia="Times New Roman" w:hAnsi="Calibri" w:cs="Calibri"/>
                <w:color w:val="000000"/>
                <w:lang w:val="en-GB" w:eastAsia="en-GB"/>
              </w:rPr>
              <w:t>18.000</w:t>
            </w:r>
          </w:p>
        </w:tc>
        <w:tc>
          <w:tcPr>
            <w:tcW w:w="2185" w:type="dxa"/>
            <w:shd w:val="clear" w:color="auto" w:fill="auto"/>
            <w:noWrap/>
            <w:vAlign w:val="center"/>
            <w:hideMark/>
          </w:tcPr>
          <w:p w14:paraId="6E00C0C9" w14:textId="71078B76" w:rsidR="003E1CB6" w:rsidRPr="001C0757" w:rsidRDefault="003E1CB6" w:rsidP="008D566D">
            <w:pPr>
              <w:spacing w:after="0" w:line="240" w:lineRule="auto"/>
              <w:jc w:val="center"/>
              <w:rPr>
                <w:rFonts w:ascii="Calibri" w:eastAsia="Times New Roman" w:hAnsi="Calibri" w:cs="Calibri"/>
                <w:color w:val="000000"/>
                <w:lang w:val="en-GB" w:eastAsia="en-GB"/>
              </w:rPr>
            </w:pPr>
            <w:r w:rsidRPr="001C0757">
              <w:rPr>
                <w:rFonts w:ascii="Calibri" w:eastAsia="Times New Roman" w:hAnsi="Calibri" w:cs="Calibri"/>
                <w:color w:val="000000"/>
                <w:lang w:val="en-GB" w:eastAsia="en-GB"/>
              </w:rPr>
              <w:t>Max.:</w:t>
            </w:r>
            <w:r w:rsidR="00640CD9">
              <w:rPr>
                <w:rFonts w:ascii="Calibri" w:eastAsia="Times New Roman" w:hAnsi="Calibri" w:cs="Calibri"/>
                <w:color w:val="000000"/>
                <w:lang w:val="en-GB" w:eastAsia="en-GB"/>
              </w:rPr>
              <w:t xml:space="preserve"> </w:t>
            </w:r>
            <w:r w:rsidRPr="001C0757">
              <w:rPr>
                <w:rFonts w:ascii="Calibri" w:eastAsia="Times New Roman" w:hAnsi="Calibri" w:cs="Calibri"/>
                <w:color w:val="000000"/>
                <w:lang w:val="en-GB" w:eastAsia="en-GB"/>
              </w:rPr>
              <w:t>20.000</w:t>
            </w:r>
          </w:p>
        </w:tc>
      </w:tr>
    </w:tbl>
    <w:p w14:paraId="088E8F0D" w14:textId="77777777" w:rsidR="003E1CB6" w:rsidRDefault="003E1CB6" w:rsidP="003E1CB6">
      <w:pPr>
        <w:rPr>
          <w:rFonts w:cstheme="minorHAnsi"/>
          <w:sz w:val="24"/>
          <w:szCs w:val="24"/>
        </w:rPr>
      </w:pPr>
    </w:p>
    <w:p w14:paraId="60128DBC" w14:textId="77777777" w:rsidR="003E1CB6" w:rsidRDefault="003E1CB6" w:rsidP="003E1CB6">
      <w:pPr>
        <w:rPr>
          <w:rFonts w:cstheme="minorHAnsi"/>
          <w:sz w:val="24"/>
          <w:szCs w:val="24"/>
        </w:rPr>
      </w:pPr>
    </w:p>
    <w:p w14:paraId="42D43EFC" w14:textId="77777777" w:rsidR="003E1CB6" w:rsidRDefault="003E1CB6" w:rsidP="003E1CB6">
      <w:pPr>
        <w:rPr>
          <w:rFonts w:cstheme="minorHAnsi"/>
          <w:sz w:val="24"/>
          <w:szCs w:val="24"/>
        </w:rPr>
      </w:pPr>
    </w:p>
    <w:p w14:paraId="638133A5" w14:textId="77777777" w:rsidR="003E1CB6" w:rsidRDefault="003E1CB6" w:rsidP="003E1CB6">
      <w:pPr>
        <w:rPr>
          <w:rFonts w:cstheme="minorHAnsi"/>
          <w:sz w:val="24"/>
          <w:szCs w:val="24"/>
        </w:rPr>
      </w:pPr>
    </w:p>
    <w:p w14:paraId="6EA72292" w14:textId="77777777" w:rsidR="003E1CB6" w:rsidRDefault="003E1CB6" w:rsidP="003E1CB6">
      <w:pPr>
        <w:rPr>
          <w:rFonts w:cstheme="minorHAnsi"/>
          <w:sz w:val="24"/>
          <w:szCs w:val="24"/>
        </w:rPr>
      </w:pPr>
    </w:p>
    <w:p w14:paraId="1CE62EE1" w14:textId="77777777" w:rsidR="003E1CB6" w:rsidRDefault="003E1CB6" w:rsidP="003E1CB6">
      <w:pPr>
        <w:tabs>
          <w:tab w:val="left" w:pos="1646"/>
        </w:tabs>
        <w:rPr>
          <w:rFonts w:cstheme="minorHAnsi"/>
          <w:sz w:val="24"/>
          <w:szCs w:val="24"/>
        </w:rPr>
      </w:pPr>
    </w:p>
    <w:p w14:paraId="45A140AF" w14:textId="77777777" w:rsidR="003E1CB6" w:rsidRDefault="003E1CB6" w:rsidP="003E1CB6">
      <w:pPr>
        <w:tabs>
          <w:tab w:val="left" w:pos="1646"/>
        </w:tabs>
        <w:rPr>
          <w:rFonts w:cstheme="minorHAnsi"/>
          <w:sz w:val="24"/>
          <w:szCs w:val="24"/>
        </w:rPr>
      </w:pPr>
    </w:p>
    <w:p w14:paraId="563B5656" w14:textId="77777777" w:rsidR="003E1CB6" w:rsidRDefault="003E1CB6" w:rsidP="003E1CB6">
      <w:pPr>
        <w:tabs>
          <w:tab w:val="left" w:pos="1646"/>
        </w:tabs>
        <w:rPr>
          <w:rFonts w:cstheme="minorHAnsi"/>
          <w:sz w:val="24"/>
          <w:szCs w:val="24"/>
        </w:rPr>
      </w:pPr>
    </w:p>
    <w:p w14:paraId="00EBB968" w14:textId="77777777" w:rsidR="008D566D" w:rsidRDefault="008D566D" w:rsidP="003E1CB6">
      <w:pPr>
        <w:tabs>
          <w:tab w:val="left" w:pos="1646"/>
        </w:tabs>
        <w:rPr>
          <w:rFonts w:cstheme="minorHAnsi"/>
          <w:b/>
          <w:bCs/>
          <w:sz w:val="24"/>
          <w:szCs w:val="24"/>
        </w:rPr>
      </w:pPr>
    </w:p>
    <w:p w14:paraId="3D6BF623" w14:textId="020B2734" w:rsidR="003E1CB6" w:rsidRDefault="003E1CB6" w:rsidP="003E1CB6">
      <w:pPr>
        <w:tabs>
          <w:tab w:val="left" w:pos="1646"/>
        </w:tabs>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.6.</w:t>
      </w:r>
      <w:r>
        <w:rPr>
          <w:rFonts w:cstheme="minorHAnsi"/>
          <w:sz w:val="24"/>
          <w:szCs w:val="24"/>
        </w:rPr>
        <w:t xml:space="preserve"> School grades and competence test scores across family types</w:t>
      </w:r>
    </w:p>
    <w:tbl>
      <w:tblPr>
        <w:tblpPr w:leftFromText="180" w:rightFromText="180" w:vertAnchor="page" w:horzAnchor="margin" w:tblpY="6871"/>
        <w:tblW w:w="8978" w:type="dxa"/>
        <w:tblLook w:val="04A0" w:firstRow="1" w:lastRow="0" w:firstColumn="1" w:lastColumn="0" w:noHBand="0" w:noVBand="1"/>
      </w:tblPr>
      <w:tblGrid>
        <w:gridCol w:w="800"/>
        <w:gridCol w:w="832"/>
        <w:gridCol w:w="762"/>
        <w:gridCol w:w="1177"/>
        <w:gridCol w:w="1210"/>
        <w:gridCol w:w="1205"/>
        <w:gridCol w:w="1141"/>
        <w:gridCol w:w="907"/>
        <w:gridCol w:w="1028"/>
      </w:tblGrid>
      <w:tr w:rsidR="003E1CB6" w:rsidRPr="00F909A5" w14:paraId="672D175B" w14:textId="77777777" w:rsidTr="00A965C3">
        <w:trPr>
          <w:trHeight w:val="274"/>
        </w:trPr>
        <w:tc>
          <w:tcPr>
            <w:tcW w:w="801" w:type="dxa"/>
            <w:tcBorders>
              <w:top w:val="nil"/>
              <w:left w:val="nil"/>
              <w:bottom w:val="nil"/>
              <w:right w:val="single" w:sz="8" w:space="0" w:color="auto"/>
            </w:tcBorders>
            <w:shd w:val="clear" w:color="auto" w:fill="auto"/>
            <w:noWrap/>
            <w:vAlign w:val="bottom"/>
            <w:hideMark/>
          </w:tcPr>
          <w:p w14:paraId="71CE6ED5" w14:textId="77777777" w:rsidR="003E1CB6" w:rsidRPr="00F909A5" w:rsidRDefault="003E1CB6" w:rsidP="00F00D37">
            <w:pPr>
              <w:spacing w:after="0" w:line="360" w:lineRule="auto"/>
              <w:rPr>
                <w:rFonts w:eastAsia="Times New Roman" w:cstheme="minorHAnsi"/>
                <w:sz w:val="24"/>
                <w:szCs w:val="24"/>
                <w:lang w:val="en-GB" w:eastAsia="en-GB"/>
              </w:rPr>
            </w:pPr>
          </w:p>
        </w:tc>
        <w:tc>
          <w:tcPr>
            <w:tcW w:w="6240" w:type="dxa"/>
            <w:gridSpan w:val="6"/>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77EE495"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Mean GPAs (on a scale to 5)</w:t>
            </w:r>
          </w:p>
        </w:tc>
        <w:tc>
          <w:tcPr>
            <w:tcW w:w="1937" w:type="dxa"/>
            <w:gridSpan w:val="2"/>
            <w:tcBorders>
              <w:top w:val="single" w:sz="8" w:space="0" w:color="auto"/>
              <w:left w:val="single" w:sz="8" w:space="0" w:color="auto"/>
              <w:bottom w:val="single" w:sz="8" w:space="0" w:color="auto"/>
              <w:right w:val="single" w:sz="8" w:space="0" w:color="auto"/>
            </w:tcBorders>
            <w:shd w:val="clear" w:color="000000" w:fill="BFBFBF"/>
            <w:vAlign w:val="center"/>
            <w:hideMark/>
          </w:tcPr>
          <w:p w14:paraId="7A13DDB3"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Competence test scores (max. 500)</w:t>
            </w:r>
          </w:p>
        </w:tc>
      </w:tr>
      <w:tr w:rsidR="003E1CB6" w:rsidRPr="00F909A5" w14:paraId="43A5DF96" w14:textId="77777777" w:rsidTr="00A965C3">
        <w:trPr>
          <w:trHeight w:val="89"/>
        </w:trPr>
        <w:tc>
          <w:tcPr>
            <w:tcW w:w="801" w:type="dxa"/>
            <w:tcBorders>
              <w:top w:val="nil"/>
              <w:left w:val="nil"/>
              <w:bottom w:val="single" w:sz="8" w:space="0" w:color="auto"/>
              <w:right w:val="single" w:sz="8" w:space="0" w:color="auto"/>
            </w:tcBorders>
            <w:shd w:val="clear" w:color="auto" w:fill="auto"/>
            <w:noWrap/>
            <w:vAlign w:val="bottom"/>
            <w:hideMark/>
          </w:tcPr>
          <w:p w14:paraId="47E5FDA9"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p>
        </w:tc>
        <w:tc>
          <w:tcPr>
            <w:tcW w:w="83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D41230B" w14:textId="110000C4" w:rsidR="003E1CB6" w:rsidRPr="00F909A5" w:rsidRDefault="00D76818"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GPA</w:t>
            </w:r>
          </w:p>
        </w:tc>
        <w:tc>
          <w:tcPr>
            <w:tcW w:w="76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6EA575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Math</w:t>
            </w:r>
          </w:p>
        </w:tc>
        <w:tc>
          <w:tcPr>
            <w:tcW w:w="117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726094A"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Grammar</w:t>
            </w:r>
          </w:p>
        </w:tc>
        <w:tc>
          <w:tcPr>
            <w:tcW w:w="121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93F1D72"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Literature</w:t>
            </w:r>
          </w:p>
        </w:tc>
        <w:tc>
          <w:tcPr>
            <w:tcW w:w="111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55975C7" w14:textId="34631800" w:rsidR="003E1CB6" w:rsidRPr="00F909A5" w:rsidRDefault="00CA3077"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Behaviour</w:t>
            </w:r>
          </w:p>
        </w:tc>
        <w:tc>
          <w:tcPr>
            <w:tcW w:w="114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4084B8E"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Diligence</w:t>
            </w:r>
          </w:p>
        </w:tc>
        <w:tc>
          <w:tcPr>
            <w:tcW w:w="908"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474E85"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 xml:space="preserve">Math </w:t>
            </w:r>
          </w:p>
        </w:tc>
        <w:tc>
          <w:tcPr>
            <w:tcW w:w="10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39C062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 xml:space="preserve">Reading </w:t>
            </w:r>
          </w:p>
        </w:tc>
      </w:tr>
      <w:tr w:rsidR="003E1CB6" w:rsidRPr="00F909A5" w14:paraId="23F79A8F" w14:textId="77777777" w:rsidTr="00A965C3">
        <w:trPr>
          <w:trHeight w:val="935"/>
        </w:trPr>
        <w:tc>
          <w:tcPr>
            <w:tcW w:w="801"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4D7F656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Intact</w:t>
            </w:r>
          </w:p>
        </w:tc>
        <w:tc>
          <w:tcPr>
            <w:tcW w:w="8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62913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3.79</w:t>
            </w:r>
          </w:p>
        </w:tc>
        <w:tc>
          <w:tcPr>
            <w:tcW w:w="7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6AA30E"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3.32</w:t>
            </w:r>
          </w:p>
        </w:tc>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FE3E62"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3.53</w:t>
            </w:r>
          </w:p>
        </w:tc>
        <w:tc>
          <w:tcPr>
            <w:tcW w:w="12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ABF778"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3.74</w:t>
            </w:r>
          </w:p>
        </w:tc>
        <w:tc>
          <w:tcPr>
            <w:tcW w:w="11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415D1C"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4.18</w:t>
            </w:r>
          </w:p>
        </w:tc>
        <w:tc>
          <w:tcPr>
            <w:tcW w:w="11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9DBC96"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3.85</w:t>
            </w:r>
          </w:p>
        </w:tc>
        <w:tc>
          <w:tcPr>
            <w:tcW w:w="9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588FE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480.93</w:t>
            </w:r>
          </w:p>
        </w:tc>
        <w:tc>
          <w:tcPr>
            <w:tcW w:w="10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962AE0"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465.77</w:t>
            </w:r>
          </w:p>
        </w:tc>
      </w:tr>
      <w:tr w:rsidR="003E1CB6" w:rsidRPr="00F909A5" w14:paraId="3A6FB905" w14:textId="77777777" w:rsidTr="00A965C3">
        <w:trPr>
          <w:trHeight w:val="136"/>
        </w:trPr>
        <w:tc>
          <w:tcPr>
            <w:tcW w:w="801"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CF128DA"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Non-intact</w:t>
            </w:r>
          </w:p>
        </w:tc>
        <w:tc>
          <w:tcPr>
            <w:tcW w:w="8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B92947"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3.61</w:t>
            </w:r>
          </w:p>
        </w:tc>
        <w:tc>
          <w:tcPr>
            <w:tcW w:w="7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719330"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3.08</w:t>
            </w:r>
          </w:p>
        </w:tc>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285ECC"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3.37</w:t>
            </w:r>
          </w:p>
        </w:tc>
        <w:tc>
          <w:tcPr>
            <w:tcW w:w="12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C98117"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3.56</w:t>
            </w:r>
          </w:p>
        </w:tc>
        <w:tc>
          <w:tcPr>
            <w:tcW w:w="11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6A260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3.98</w:t>
            </w:r>
          </w:p>
        </w:tc>
        <w:tc>
          <w:tcPr>
            <w:tcW w:w="11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427A45"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3.66</w:t>
            </w:r>
          </w:p>
        </w:tc>
        <w:tc>
          <w:tcPr>
            <w:tcW w:w="9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596FB9"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465.24</w:t>
            </w:r>
          </w:p>
        </w:tc>
        <w:tc>
          <w:tcPr>
            <w:tcW w:w="10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1FF10F"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452.45</w:t>
            </w:r>
          </w:p>
        </w:tc>
      </w:tr>
    </w:tbl>
    <w:p w14:paraId="6B19D639" w14:textId="77777777" w:rsidR="003E1CB6" w:rsidRDefault="003E1CB6" w:rsidP="003E1CB6">
      <w:pPr>
        <w:rPr>
          <w:rFonts w:cstheme="minorHAnsi"/>
          <w:sz w:val="24"/>
          <w:szCs w:val="24"/>
        </w:rPr>
      </w:pPr>
    </w:p>
    <w:p w14:paraId="593C27A4" w14:textId="7281279F" w:rsidR="003E1CB6" w:rsidRDefault="003E1CB6" w:rsidP="003E1CB6">
      <w:pPr>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.7.</w:t>
      </w:r>
      <w:r>
        <w:rPr>
          <w:rFonts w:cstheme="minorHAnsi"/>
          <w:sz w:val="24"/>
          <w:szCs w:val="24"/>
        </w:rPr>
        <w:t xml:space="preserve"> Parental income and the propensity to consume</w:t>
      </w:r>
      <w:r w:rsidR="007A3AB0">
        <w:rPr>
          <w:rFonts w:cstheme="minorHAnsi"/>
          <w:sz w:val="24"/>
          <w:szCs w:val="24"/>
        </w:rPr>
        <w:t xml:space="preserve"> (monthly net amounts) in HUF.</w:t>
      </w:r>
    </w:p>
    <w:p w14:paraId="73C99DCF" w14:textId="77777777" w:rsidR="003E1CB6" w:rsidRDefault="003E1CB6" w:rsidP="003E1CB6">
      <w:pPr>
        <w:rPr>
          <w:rFonts w:cstheme="minorHAnsi"/>
          <w:sz w:val="24"/>
          <w:szCs w:val="24"/>
        </w:rPr>
      </w:pPr>
    </w:p>
    <w:tbl>
      <w:tblPr>
        <w:tblpPr w:leftFromText="180" w:rightFromText="180" w:vertAnchor="text" w:horzAnchor="page" w:tblpX="2309" w:tblpY="-85"/>
        <w:tblW w:w="7359" w:type="dxa"/>
        <w:tblLook w:val="04A0" w:firstRow="1" w:lastRow="0" w:firstColumn="1" w:lastColumn="0" w:noHBand="0" w:noVBand="1"/>
      </w:tblPr>
      <w:tblGrid>
        <w:gridCol w:w="1827"/>
        <w:gridCol w:w="2082"/>
        <w:gridCol w:w="1637"/>
        <w:gridCol w:w="1813"/>
      </w:tblGrid>
      <w:tr w:rsidR="003E1CB6" w:rsidRPr="00F909A5" w14:paraId="420215BC" w14:textId="77777777" w:rsidTr="00A965C3">
        <w:trPr>
          <w:trHeight w:val="619"/>
        </w:trPr>
        <w:tc>
          <w:tcPr>
            <w:tcW w:w="1827" w:type="dxa"/>
            <w:tcBorders>
              <w:top w:val="nil"/>
              <w:left w:val="nil"/>
              <w:bottom w:val="single" w:sz="8" w:space="0" w:color="auto"/>
              <w:right w:val="single" w:sz="8" w:space="0" w:color="auto"/>
            </w:tcBorders>
            <w:shd w:val="clear" w:color="auto" w:fill="auto"/>
            <w:noWrap/>
            <w:vAlign w:val="bottom"/>
            <w:hideMark/>
          </w:tcPr>
          <w:p w14:paraId="18B8093C" w14:textId="77777777" w:rsidR="003E1CB6" w:rsidRPr="00F909A5" w:rsidRDefault="003E1CB6" w:rsidP="00F00D37">
            <w:pPr>
              <w:spacing w:after="0" w:line="360" w:lineRule="auto"/>
              <w:rPr>
                <w:rFonts w:eastAsia="Times New Roman" w:cstheme="minorHAnsi"/>
                <w:sz w:val="24"/>
                <w:szCs w:val="24"/>
                <w:lang w:val="en-GB" w:eastAsia="en-GB"/>
              </w:rPr>
            </w:pPr>
          </w:p>
        </w:tc>
        <w:tc>
          <w:tcPr>
            <w:tcW w:w="208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7470029" w14:textId="4D6E4F14" w:rsidR="003E1CB6" w:rsidRPr="00F909A5" w:rsidRDefault="007A3AB0" w:rsidP="007A3AB0">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Propensity to consume</w:t>
            </w:r>
          </w:p>
        </w:tc>
        <w:tc>
          <w:tcPr>
            <w:tcW w:w="163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9DE1C08" w14:textId="355852B9" w:rsidR="003E1CB6" w:rsidRPr="00F909A5" w:rsidRDefault="007A3AB0" w:rsidP="007A3AB0">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Maternal Salary</w:t>
            </w:r>
          </w:p>
        </w:tc>
        <w:tc>
          <w:tcPr>
            <w:tcW w:w="181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8E63167" w14:textId="6A43B21B" w:rsidR="003E1CB6" w:rsidRPr="00F909A5" w:rsidRDefault="007A3AB0" w:rsidP="007A3AB0">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Paternal Salary</w:t>
            </w:r>
          </w:p>
        </w:tc>
      </w:tr>
      <w:tr w:rsidR="003E1CB6" w:rsidRPr="00F909A5" w14:paraId="69B333C2" w14:textId="77777777" w:rsidTr="00A965C3">
        <w:trPr>
          <w:trHeight w:val="619"/>
        </w:trPr>
        <w:tc>
          <w:tcPr>
            <w:tcW w:w="182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508948D" w14:textId="312A3A82" w:rsidR="003E1CB6" w:rsidRPr="00F909A5" w:rsidRDefault="00D73823"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I</w:t>
            </w:r>
            <w:r w:rsidR="003E1CB6" w:rsidRPr="00F909A5">
              <w:rPr>
                <w:rFonts w:eastAsia="Times New Roman" w:cstheme="minorHAnsi"/>
                <w:color w:val="000000"/>
                <w:sz w:val="24"/>
                <w:szCs w:val="24"/>
                <w:lang w:val="en-GB" w:eastAsia="en-GB"/>
              </w:rPr>
              <w:t>ntact</w:t>
            </w:r>
          </w:p>
        </w:tc>
        <w:tc>
          <w:tcPr>
            <w:tcW w:w="20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37DB76" w14:textId="2F0FFB32"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160</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090.4</w:t>
            </w:r>
          </w:p>
        </w:tc>
        <w:tc>
          <w:tcPr>
            <w:tcW w:w="163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EB0979" w14:textId="3E58FADE"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84</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560.87</w:t>
            </w:r>
          </w:p>
        </w:tc>
        <w:tc>
          <w:tcPr>
            <w:tcW w:w="18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D724FF" w14:textId="2E46371B"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104</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398.78</w:t>
            </w:r>
          </w:p>
        </w:tc>
      </w:tr>
      <w:tr w:rsidR="003E1CB6" w:rsidRPr="00F909A5" w14:paraId="3D67A2DD" w14:textId="77777777" w:rsidTr="00A965C3">
        <w:trPr>
          <w:trHeight w:val="619"/>
        </w:trPr>
        <w:tc>
          <w:tcPr>
            <w:tcW w:w="182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AD5939D" w14:textId="0861CD96" w:rsidR="003E1CB6" w:rsidRPr="00F909A5" w:rsidRDefault="00D73823"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N</w:t>
            </w:r>
            <w:r w:rsidR="007A3AB0">
              <w:rPr>
                <w:rFonts w:eastAsia="Times New Roman" w:cstheme="minorHAnsi"/>
                <w:color w:val="000000"/>
                <w:sz w:val="24"/>
                <w:szCs w:val="24"/>
                <w:lang w:val="en-GB" w:eastAsia="en-GB"/>
              </w:rPr>
              <w:t>on-</w:t>
            </w:r>
            <w:r w:rsidR="003E1CB6" w:rsidRPr="00F909A5">
              <w:rPr>
                <w:rFonts w:eastAsia="Times New Roman" w:cstheme="minorHAnsi"/>
                <w:color w:val="000000"/>
                <w:sz w:val="24"/>
                <w:szCs w:val="24"/>
                <w:lang w:val="en-GB" w:eastAsia="en-GB"/>
              </w:rPr>
              <w:t>intact</w:t>
            </w:r>
          </w:p>
        </w:tc>
        <w:tc>
          <w:tcPr>
            <w:tcW w:w="20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8CA45D" w14:textId="766FBC21"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128</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988.43</w:t>
            </w:r>
          </w:p>
        </w:tc>
        <w:tc>
          <w:tcPr>
            <w:tcW w:w="163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8A2B59" w14:textId="79FEF4F1"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88</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394.28</w:t>
            </w:r>
          </w:p>
        </w:tc>
        <w:tc>
          <w:tcPr>
            <w:tcW w:w="181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ADCB94" w14:textId="2269C6E3"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101</w:t>
            </w:r>
            <w:r w:rsidR="007A3AB0">
              <w:rPr>
                <w:rFonts w:eastAsia="Times New Roman" w:cstheme="minorHAnsi"/>
                <w:color w:val="000000"/>
                <w:sz w:val="24"/>
                <w:szCs w:val="24"/>
                <w:lang w:val="en-GB" w:eastAsia="en-GB"/>
              </w:rPr>
              <w:t>,</w:t>
            </w:r>
            <w:r w:rsidRPr="00F909A5">
              <w:rPr>
                <w:rFonts w:eastAsia="Times New Roman" w:cstheme="minorHAnsi"/>
                <w:color w:val="000000"/>
                <w:sz w:val="24"/>
                <w:szCs w:val="24"/>
                <w:lang w:val="en-GB" w:eastAsia="en-GB"/>
              </w:rPr>
              <w:t>421.43</w:t>
            </w:r>
          </w:p>
        </w:tc>
      </w:tr>
    </w:tbl>
    <w:p w14:paraId="4BDFD7AB" w14:textId="77777777" w:rsidR="003E1CB6" w:rsidRDefault="003E1CB6" w:rsidP="003E1CB6">
      <w:pPr>
        <w:rPr>
          <w:rFonts w:cstheme="minorHAnsi"/>
          <w:sz w:val="24"/>
          <w:szCs w:val="24"/>
        </w:rPr>
      </w:pPr>
    </w:p>
    <w:p w14:paraId="65619DBA" w14:textId="77777777" w:rsidR="003E1CB6" w:rsidRDefault="003E1CB6" w:rsidP="003E1CB6">
      <w:pPr>
        <w:rPr>
          <w:rFonts w:cstheme="minorHAnsi"/>
          <w:sz w:val="24"/>
          <w:szCs w:val="24"/>
        </w:rPr>
      </w:pPr>
    </w:p>
    <w:p w14:paraId="6CECC3E8" w14:textId="77777777" w:rsidR="003E1CB6" w:rsidRDefault="003E1CB6" w:rsidP="003E1CB6">
      <w:pPr>
        <w:rPr>
          <w:rFonts w:cstheme="minorHAnsi"/>
          <w:sz w:val="24"/>
          <w:szCs w:val="24"/>
        </w:rPr>
      </w:pPr>
    </w:p>
    <w:p w14:paraId="5224853B" w14:textId="77777777" w:rsidR="003E1CB6" w:rsidRDefault="003E1CB6" w:rsidP="003E1CB6">
      <w:pPr>
        <w:rPr>
          <w:rFonts w:cstheme="minorHAnsi"/>
          <w:sz w:val="24"/>
          <w:szCs w:val="24"/>
        </w:rPr>
      </w:pPr>
    </w:p>
    <w:p w14:paraId="5E17FC47" w14:textId="77777777" w:rsidR="003E1CB6" w:rsidRDefault="003E1CB6" w:rsidP="003E1CB6">
      <w:pPr>
        <w:rPr>
          <w:rFonts w:cstheme="minorHAnsi"/>
          <w:sz w:val="24"/>
          <w:szCs w:val="24"/>
        </w:rPr>
      </w:pPr>
    </w:p>
    <w:p w14:paraId="0E44E6C0" w14:textId="77777777" w:rsidR="003E1CB6" w:rsidRDefault="003E1CB6" w:rsidP="003E1CB6">
      <w:pPr>
        <w:rPr>
          <w:rFonts w:cstheme="minorHAnsi"/>
          <w:sz w:val="24"/>
          <w:szCs w:val="24"/>
        </w:rPr>
      </w:pPr>
    </w:p>
    <w:p w14:paraId="04550655" w14:textId="14CCF2A4" w:rsidR="003E1CB6" w:rsidRDefault="003E1CB6" w:rsidP="003E1CB6">
      <w:pPr>
        <w:rPr>
          <w:rFonts w:cstheme="minorHAnsi"/>
          <w:sz w:val="24"/>
          <w:szCs w:val="24"/>
        </w:rPr>
      </w:pPr>
      <w:r w:rsidRPr="006363AB">
        <w:rPr>
          <w:rFonts w:cstheme="minorHAnsi"/>
          <w:b/>
          <w:bCs/>
          <w:sz w:val="24"/>
          <w:szCs w:val="24"/>
        </w:rPr>
        <w:lastRenderedPageBreak/>
        <w:t xml:space="preserve">Appendix </w:t>
      </w:r>
      <w:r>
        <w:rPr>
          <w:rFonts w:cstheme="minorHAnsi"/>
          <w:b/>
          <w:bCs/>
          <w:sz w:val="24"/>
          <w:szCs w:val="24"/>
        </w:rPr>
        <w:t>3</w:t>
      </w:r>
      <w:r w:rsidRPr="006363AB">
        <w:rPr>
          <w:rFonts w:cstheme="minorHAnsi"/>
          <w:b/>
          <w:bCs/>
          <w:sz w:val="24"/>
          <w:szCs w:val="24"/>
        </w:rPr>
        <w:t>.8.</w:t>
      </w:r>
      <w:r>
        <w:rPr>
          <w:rFonts w:cstheme="minorHAnsi"/>
          <w:sz w:val="24"/>
          <w:szCs w:val="24"/>
        </w:rPr>
        <w:t xml:space="preserve"> Scales to measure the emotional support and cognitive </w:t>
      </w:r>
      <w:r w:rsidR="00CA3077">
        <w:rPr>
          <w:rFonts w:cstheme="minorHAnsi"/>
          <w:sz w:val="24"/>
          <w:szCs w:val="24"/>
        </w:rPr>
        <w:t>stimulation of</w:t>
      </w:r>
      <w:r>
        <w:rPr>
          <w:rFonts w:cstheme="minorHAnsi"/>
          <w:sz w:val="24"/>
          <w:szCs w:val="24"/>
        </w:rPr>
        <w:t xml:space="preserve"> children</w:t>
      </w:r>
      <w:r w:rsidR="008D566D">
        <w:rPr>
          <w:rFonts w:cstheme="minorHAnsi"/>
          <w:sz w:val="24"/>
          <w:szCs w:val="24"/>
        </w:rPr>
        <w:t>. Home Score equals to the aggregated cognitive and emotional scores.</w:t>
      </w:r>
    </w:p>
    <w:tbl>
      <w:tblPr>
        <w:tblpPr w:leftFromText="180" w:rightFromText="180" w:vertAnchor="text" w:horzAnchor="margin" w:tblpXSpec="center" w:tblpY="204"/>
        <w:tblW w:w="7417" w:type="dxa"/>
        <w:tblLook w:val="04A0" w:firstRow="1" w:lastRow="0" w:firstColumn="1" w:lastColumn="0" w:noHBand="0" w:noVBand="1"/>
      </w:tblPr>
      <w:tblGrid>
        <w:gridCol w:w="1997"/>
        <w:gridCol w:w="2124"/>
        <w:gridCol w:w="1489"/>
        <w:gridCol w:w="1807"/>
      </w:tblGrid>
      <w:tr w:rsidR="003E1CB6" w:rsidRPr="00F909A5" w14:paraId="10031AD3" w14:textId="77777777" w:rsidTr="00A965C3">
        <w:trPr>
          <w:trHeight w:val="798"/>
        </w:trPr>
        <w:tc>
          <w:tcPr>
            <w:tcW w:w="1997" w:type="dxa"/>
            <w:tcBorders>
              <w:top w:val="nil"/>
              <w:left w:val="nil"/>
              <w:bottom w:val="single" w:sz="8" w:space="0" w:color="auto"/>
              <w:right w:val="single" w:sz="8" w:space="0" w:color="auto"/>
            </w:tcBorders>
            <w:shd w:val="clear" w:color="auto" w:fill="auto"/>
            <w:noWrap/>
            <w:vAlign w:val="bottom"/>
            <w:hideMark/>
          </w:tcPr>
          <w:p w14:paraId="4CE08F4B" w14:textId="77777777" w:rsidR="003E1CB6" w:rsidRPr="00F909A5" w:rsidRDefault="003E1CB6" w:rsidP="00F00D37">
            <w:pPr>
              <w:spacing w:after="0" w:line="360" w:lineRule="auto"/>
              <w:rPr>
                <w:rFonts w:eastAsia="Times New Roman" w:cstheme="minorHAnsi"/>
                <w:sz w:val="24"/>
                <w:szCs w:val="24"/>
                <w:lang w:val="en-GB" w:eastAsia="en-GB"/>
              </w:rPr>
            </w:pPr>
          </w:p>
        </w:tc>
        <w:tc>
          <w:tcPr>
            <w:tcW w:w="212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DE614B9" w14:textId="570124F7" w:rsidR="003E1CB6" w:rsidRPr="00F909A5" w:rsidRDefault="008D566D"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Home Score</w:t>
            </w:r>
          </w:p>
        </w:tc>
        <w:tc>
          <w:tcPr>
            <w:tcW w:w="148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EB5ED4C" w14:textId="7FB9D712" w:rsidR="003E1CB6" w:rsidRPr="00F909A5" w:rsidRDefault="008D566D"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Cognitive Score</w:t>
            </w:r>
          </w:p>
        </w:tc>
        <w:tc>
          <w:tcPr>
            <w:tcW w:w="180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45D72A0" w14:textId="0EE6A83E" w:rsidR="003E1CB6" w:rsidRPr="00F909A5" w:rsidRDefault="008D566D"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Emotional Score</w:t>
            </w:r>
          </w:p>
        </w:tc>
      </w:tr>
      <w:tr w:rsidR="003E1CB6" w:rsidRPr="00F909A5" w14:paraId="4367238D" w14:textId="77777777" w:rsidTr="00A965C3">
        <w:trPr>
          <w:trHeight w:val="798"/>
        </w:trPr>
        <w:tc>
          <w:tcPr>
            <w:tcW w:w="199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228DB0E" w14:textId="3AE0D55B" w:rsidR="003E1CB6" w:rsidRPr="00F909A5" w:rsidRDefault="00D73A85"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I</w:t>
            </w:r>
            <w:r w:rsidR="003E1CB6" w:rsidRPr="00F909A5">
              <w:rPr>
                <w:rFonts w:eastAsia="Times New Roman" w:cstheme="minorHAnsi"/>
                <w:color w:val="000000"/>
                <w:sz w:val="24"/>
                <w:szCs w:val="24"/>
                <w:lang w:val="en-GB" w:eastAsia="en-GB"/>
              </w:rPr>
              <w:t>ntact</w:t>
            </w:r>
          </w:p>
        </w:tc>
        <w:tc>
          <w:tcPr>
            <w:tcW w:w="212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689016"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183.8</w:t>
            </w:r>
          </w:p>
        </w:tc>
        <w:tc>
          <w:tcPr>
            <w:tcW w:w="148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6C7A54"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82.08</w:t>
            </w:r>
          </w:p>
        </w:tc>
        <w:tc>
          <w:tcPr>
            <w:tcW w:w="180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9DB64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101.91</w:t>
            </w:r>
          </w:p>
        </w:tc>
      </w:tr>
      <w:tr w:rsidR="003E1CB6" w:rsidRPr="00F909A5" w14:paraId="0C5F1A45" w14:textId="77777777" w:rsidTr="00A965C3">
        <w:trPr>
          <w:trHeight w:val="798"/>
        </w:trPr>
        <w:tc>
          <w:tcPr>
            <w:tcW w:w="199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66CBBCED" w14:textId="5DAC91E3" w:rsidR="003E1CB6" w:rsidRPr="00F909A5" w:rsidRDefault="00D73A85"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Non-</w:t>
            </w:r>
            <w:r w:rsidR="003E1CB6" w:rsidRPr="00F909A5">
              <w:rPr>
                <w:rFonts w:eastAsia="Times New Roman" w:cstheme="minorHAnsi"/>
                <w:color w:val="000000"/>
                <w:sz w:val="24"/>
                <w:szCs w:val="24"/>
                <w:lang w:val="en-GB" w:eastAsia="en-GB"/>
              </w:rPr>
              <w:t>intact</w:t>
            </w:r>
          </w:p>
        </w:tc>
        <w:tc>
          <w:tcPr>
            <w:tcW w:w="212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1BAEBC"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166.65</w:t>
            </w:r>
          </w:p>
        </w:tc>
        <w:tc>
          <w:tcPr>
            <w:tcW w:w="148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0B2596"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75.39</w:t>
            </w:r>
          </w:p>
        </w:tc>
        <w:tc>
          <w:tcPr>
            <w:tcW w:w="180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CADA350"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91.52</w:t>
            </w:r>
          </w:p>
        </w:tc>
      </w:tr>
    </w:tbl>
    <w:p w14:paraId="377F7340" w14:textId="77777777" w:rsidR="003E1CB6" w:rsidRDefault="003E1CB6" w:rsidP="003E1CB6">
      <w:pPr>
        <w:rPr>
          <w:rFonts w:cstheme="minorHAnsi"/>
          <w:sz w:val="24"/>
          <w:szCs w:val="24"/>
        </w:rPr>
      </w:pPr>
    </w:p>
    <w:p w14:paraId="2F754235" w14:textId="77777777" w:rsidR="003E1CB6" w:rsidRDefault="003E1CB6" w:rsidP="003E1CB6">
      <w:pPr>
        <w:rPr>
          <w:rFonts w:cstheme="minorHAnsi"/>
          <w:sz w:val="24"/>
          <w:szCs w:val="24"/>
        </w:rPr>
      </w:pPr>
    </w:p>
    <w:p w14:paraId="4079AA92" w14:textId="77777777" w:rsidR="003E1CB6" w:rsidRDefault="003E1CB6" w:rsidP="003E1CB6">
      <w:pPr>
        <w:rPr>
          <w:rFonts w:cstheme="minorHAnsi"/>
          <w:sz w:val="24"/>
          <w:szCs w:val="24"/>
        </w:rPr>
      </w:pPr>
    </w:p>
    <w:p w14:paraId="1691692D" w14:textId="77777777" w:rsidR="003E1CB6" w:rsidRDefault="003E1CB6" w:rsidP="003E1CB6">
      <w:pPr>
        <w:rPr>
          <w:rFonts w:cstheme="minorHAnsi"/>
          <w:sz w:val="24"/>
          <w:szCs w:val="24"/>
        </w:rPr>
      </w:pPr>
    </w:p>
    <w:p w14:paraId="637C976C" w14:textId="77777777" w:rsidR="003E1CB6" w:rsidRDefault="003E1CB6" w:rsidP="003E1CB6">
      <w:pPr>
        <w:rPr>
          <w:rFonts w:cstheme="minorHAnsi"/>
          <w:sz w:val="24"/>
          <w:szCs w:val="24"/>
        </w:rPr>
      </w:pPr>
    </w:p>
    <w:p w14:paraId="3DC9ED4A" w14:textId="77777777" w:rsidR="003E1CB6" w:rsidRDefault="003E1CB6" w:rsidP="003E1CB6">
      <w:pPr>
        <w:rPr>
          <w:rFonts w:cstheme="minorHAnsi"/>
          <w:sz w:val="24"/>
          <w:szCs w:val="24"/>
        </w:rPr>
      </w:pPr>
    </w:p>
    <w:p w14:paraId="06A10EAC" w14:textId="77777777" w:rsidR="003E1CB6" w:rsidRDefault="003E1CB6" w:rsidP="003E1CB6">
      <w:pPr>
        <w:rPr>
          <w:rFonts w:cstheme="minorHAnsi"/>
          <w:sz w:val="24"/>
          <w:szCs w:val="24"/>
        </w:rPr>
      </w:pPr>
    </w:p>
    <w:p w14:paraId="6BBC8757" w14:textId="77777777" w:rsidR="003E1CB6" w:rsidRDefault="003E1CB6" w:rsidP="003E1CB6">
      <w:pPr>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.9.</w:t>
      </w:r>
      <w:r>
        <w:rPr>
          <w:rFonts w:cstheme="minorHAnsi"/>
          <w:sz w:val="24"/>
          <w:szCs w:val="24"/>
        </w:rPr>
        <w:t xml:space="preserve"> Grade repeats across family types</w:t>
      </w:r>
    </w:p>
    <w:p w14:paraId="3AA110EA" w14:textId="77777777" w:rsidR="003E1CB6" w:rsidRPr="00F909A5" w:rsidRDefault="003E1CB6" w:rsidP="003E1CB6">
      <w:pPr>
        <w:spacing w:line="360" w:lineRule="auto"/>
        <w:jc w:val="both"/>
        <w:rPr>
          <w:rFonts w:cstheme="minorHAnsi"/>
          <w:sz w:val="24"/>
          <w:szCs w:val="24"/>
        </w:rPr>
      </w:pPr>
      <w:r>
        <w:rPr>
          <w:rFonts w:cstheme="minorHAnsi"/>
          <w:sz w:val="24"/>
          <w:szCs w:val="24"/>
        </w:rPr>
        <w:t>Grade repeats before 4</w:t>
      </w:r>
      <w:r w:rsidRPr="00823606">
        <w:rPr>
          <w:rFonts w:cstheme="minorHAnsi"/>
          <w:sz w:val="24"/>
          <w:szCs w:val="24"/>
          <w:vertAlign w:val="superscript"/>
        </w:rPr>
        <w:t>th</w:t>
      </w:r>
      <w:r>
        <w:rPr>
          <w:rFonts w:cstheme="minorHAnsi"/>
          <w:sz w:val="24"/>
          <w:szCs w:val="24"/>
        </w:rPr>
        <w:t xml:space="preserve"> grade</w:t>
      </w:r>
    </w:p>
    <w:tbl>
      <w:tblPr>
        <w:tblW w:w="7078" w:type="dxa"/>
        <w:tblInd w:w="996" w:type="dxa"/>
        <w:tblLook w:val="04A0" w:firstRow="1" w:lastRow="0" w:firstColumn="1" w:lastColumn="0" w:noHBand="0" w:noVBand="1"/>
      </w:tblPr>
      <w:tblGrid>
        <w:gridCol w:w="1609"/>
        <w:gridCol w:w="1777"/>
        <w:gridCol w:w="1909"/>
        <w:gridCol w:w="1783"/>
      </w:tblGrid>
      <w:tr w:rsidR="003E1CB6" w:rsidRPr="00823606" w14:paraId="70F77AFD" w14:textId="77777777" w:rsidTr="00A965C3">
        <w:trPr>
          <w:trHeight w:val="612"/>
        </w:trPr>
        <w:tc>
          <w:tcPr>
            <w:tcW w:w="1609" w:type="dxa"/>
            <w:tcBorders>
              <w:top w:val="nil"/>
              <w:left w:val="nil"/>
              <w:bottom w:val="single" w:sz="8" w:space="0" w:color="auto"/>
              <w:right w:val="single" w:sz="8" w:space="0" w:color="auto"/>
            </w:tcBorders>
            <w:shd w:val="clear" w:color="auto" w:fill="auto"/>
            <w:noWrap/>
            <w:vAlign w:val="bottom"/>
            <w:hideMark/>
          </w:tcPr>
          <w:p w14:paraId="5012A1AC" w14:textId="77777777" w:rsidR="003E1CB6" w:rsidRPr="00823606" w:rsidRDefault="003E1CB6" w:rsidP="00F00D37">
            <w:pPr>
              <w:spacing w:after="0" w:line="240" w:lineRule="auto"/>
              <w:rPr>
                <w:rFonts w:ascii="Times New Roman" w:eastAsia="Times New Roman" w:hAnsi="Times New Roman" w:cs="Times New Roman"/>
                <w:sz w:val="24"/>
                <w:szCs w:val="24"/>
                <w:lang w:val="en-GB" w:eastAsia="en-GB"/>
              </w:rPr>
            </w:pPr>
          </w:p>
        </w:tc>
        <w:tc>
          <w:tcPr>
            <w:tcW w:w="5469"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75D113F4"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Family structure</w:t>
            </w:r>
          </w:p>
        </w:tc>
      </w:tr>
      <w:tr w:rsidR="003E1CB6" w:rsidRPr="00823606" w14:paraId="65FCA99D" w14:textId="77777777" w:rsidTr="00A965C3">
        <w:trPr>
          <w:trHeight w:val="927"/>
        </w:trPr>
        <w:tc>
          <w:tcPr>
            <w:tcW w:w="1609"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613625C8"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No. of grade repeats</w:t>
            </w:r>
          </w:p>
        </w:tc>
        <w:tc>
          <w:tcPr>
            <w:tcW w:w="177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5545CD1" w14:textId="1E2FD8B8" w:rsidR="003E1CB6" w:rsidRPr="00823606" w:rsidRDefault="00D73A85" w:rsidP="00F00D37">
            <w:pPr>
              <w:spacing w:after="0" w:line="240" w:lineRule="auto"/>
              <w:jc w:val="center"/>
              <w:rPr>
                <w:rFonts w:ascii="Calibri" w:eastAsia="Times New Roman" w:hAnsi="Calibri" w:cs="Calibri"/>
                <w:lang w:val="en-GB" w:eastAsia="en-GB"/>
              </w:rPr>
            </w:pPr>
            <w:r>
              <w:rPr>
                <w:rFonts w:ascii="Calibri" w:eastAsia="Times New Roman" w:hAnsi="Calibri" w:cs="Calibri"/>
                <w:lang w:val="en-GB" w:eastAsia="en-GB"/>
              </w:rPr>
              <w:t>I</w:t>
            </w:r>
            <w:r w:rsidR="003E1CB6" w:rsidRPr="00823606">
              <w:rPr>
                <w:rFonts w:ascii="Calibri" w:eastAsia="Times New Roman" w:hAnsi="Calibri" w:cs="Calibri"/>
                <w:lang w:val="en-GB" w:eastAsia="en-GB"/>
              </w:rPr>
              <w:t>ntact</w:t>
            </w:r>
          </w:p>
        </w:tc>
        <w:tc>
          <w:tcPr>
            <w:tcW w:w="19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079C519" w14:textId="525CE792" w:rsidR="003E1CB6" w:rsidRPr="00823606" w:rsidRDefault="00D73A85" w:rsidP="00F00D37">
            <w:pPr>
              <w:spacing w:after="0" w:line="240" w:lineRule="auto"/>
              <w:jc w:val="center"/>
              <w:rPr>
                <w:rFonts w:ascii="Calibri" w:eastAsia="Times New Roman" w:hAnsi="Calibri" w:cs="Calibri"/>
                <w:lang w:val="en-GB" w:eastAsia="en-GB"/>
              </w:rPr>
            </w:pPr>
            <w:r>
              <w:rPr>
                <w:rFonts w:ascii="Calibri" w:eastAsia="Times New Roman" w:hAnsi="Calibri" w:cs="Calibri"/>
                <w:lang w:val="en-GB" w:eastAsia="en-GB"/>
              </w:rPr>
              <w:t>Non-</w:t>
            </w:r>
            <w:r w:rsidR="003E1CB6" w:rsidRPr="00823606">
              <w:rPr>
                <w:rFonts w:ascii="Calibri" w:eastAsia="Times New Roman" w:hAnsi="Calibri" w:cs="Calibri"/>
                <w:lang w:val="en-GB" w:eastAsia="en-GB"/>
              </w:rPr>
              <w:t>intact</w:t>
            </w:r>
          </w:p>
        </w:tc>
        <w:tc>
          <w:tcPr>
            <w:tcW w:w="178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A8B1DA3"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Total</w:t>
            </w:r>
          </w:p>
        </w:tc>
      </w:tr>
      <w:tr w:rsidR="003E1CB6" w:rsidRPr="00823606" w14:paraId="53CAC6F6" w14:textId="77777777" w:rsidTr="00A965C3">
        <w:trPr>
          <w:trHeight w:val="583"/>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903DD1B"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460BF5"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93.95%</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4583DA"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90.99%</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E037D6"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92.94%</w:t>
            </w:r>
          </w:p>
        </w:tc>
      </w:tr>
      <w:tr w:rsidR="003E1CB6" w:rsidRPr="00823606" w14:paraId="273C8E6E" w14:textId="77777777" w:rsidTr="00A965C3">
        <w:trPr>
          <w:trHeight w:val="583"/>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53FAA61"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1</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780B01"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5.38%</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4AEEF2"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7.86%</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BD7BA0"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6.23%</w:t>
            </w:r>
          </w:p>
        </w:tc>
      </w:tr>
      <w:tr w:rsidR="003E1CB6" w:rsidRPr="00823606" w14:paraId="208E945C" w14:textId="77777777" w:rsidTr="00A965C3">
        <w:trPr>
          <w:trHeight w:val="583"/>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930DB9D"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2</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660514"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0.47%</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DDB172"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0.85%</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ED52CE"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0.60%</w:t>
            </w:r>
          </w:p>
        </w:tc>
      </w:tr>
      <w:tr w:rsidR="003E1CB6" w:rsidRPr="00823606" w14:paraId="2CBE8075" w14:textId="77777777" w:rsidTr="00A965C3">
        <w:trPr>
          <w:trHeight w:val="740"/>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8DE5A14"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3 or more</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325DC6"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0.06%</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444ABA"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0.06%</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F3743A"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0.06%</w:t>
            </w:r>
          </w:p>
        </w:tc>
      </w:tr>
      <w:tr w:rsidR="003E1CB6" w:rsidRPr="00823606" w14:paraId="060AF4B9" w14:textId="77777777" w:rsidTr="00A965C3">
        <w:trPr>
          <w:trHeight w:val="583"/>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352C280"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&lt;NA&gt;</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FC729B"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0.14%</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C57070"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0.24%</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774124" w14:textId="77777777" w:rsidR="003E1CB6" w:rsidRPr="00823606" w:rsidRDefault="003E1CB6" w:rsidP="00F00D37">
            <w:pPr>
              <w:spacing w:after="0" w:line="240" w:lineRule="auto"/>
              <w:jc w:val="center"/>
              <w:rPr>
                <w:rFonts w:ascii="Calibri" w:eastAsia="Times New Roman" w:hAnsi="Calibri" w:cs="Calibri"/>
                <w:lang w:val="en-GB" w:eastAsia="en-GB"/>
              </w:rPr>
            </w:pPr>
            <w:r w:rsidRPr="00823606">
              <w:rPr>
                <w:rFonts w:ascii="Calibri" w:eastAsia="Times New Roman" w:hAnsi="Calibri" w:cs="Calibri"/>
                <w:lang w:val="en-GB" w:eastAsia="en-GB"/>
              </w:rPr>
              <w:t>0.18%</w:t>
            </w:r>
          </w:p>
        </w:tc>
      </w:tr>
      <w:tr w:rsidR="003E1CB6" w:rsidRPr="00823606" w14:paraId="19AB261E" w14:textId="77777777" w:rsidTr="00A965C3">
        <w:trPr>
          <w:trHeight w:val="583"/>
        </w:trPr>
        <w:tc>
          <w:tcPr>
            <w:tcW w:w="16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D5B0D62" w14:textId="77777777" w:rsidR="003E1CB6" w:rsidRPr="00823606" w:rsidRDefault="003E1CB6" w:rsidP="00F00D37">
            <w:pPr>
              <w:spacing w:after="0" w:line="240" w:lineRule="auto"/>
              <w:jc w:val="center"/>
              <w:rPr>
                <w:rFonts w:ascii="Calibri" w:eastAsia="Times New Roman" w:hAnsi="Calibri" w:cs="Calibri"/>
                <w:color w:val="000000"/>
                <w:lang w:val="en-GB" w:eastAsia="en-GB"/>
              </w:rPr>
            </w:pPr>
            <w:r w:rsidRPr="00823606">
              <w:rPr>
                <w:rFonts w:ascii="Calibri" w:eastAsia="Times New Roman" w:hAnsi="Calibri" w:cs="Calibri"/>
                <w:color w:val="000000"/>
                <w:lang w:val="en-GB" w:eastAsia="en-GB"/>
              </w:rPr>
              <w:t>Total</w:t>
            </w:r>
          </w:p>
        </w:tc>
        <w:tc>
          <w:tcPr>
            <w:tcW w:w="17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1D60EF" w14:textId="77777777" w:rsidR="003E1CB6" w:rsidRPr="00823606" w:rsidRDefault="003E1CB6" w:rsidP="00F00D37">
            <w:pPr>
              <w:spacing w:after="0" w:line="240" w:lineRule="auto"/>
              <w:jc w:val="center"/>
              <w:rPr>
                <w:rFonts w:ascii="Calibri" w:eastAsia="Times New Roman" w:hAnsi="Calibri" w:cs="Calibri"/>
                <w:color w:val="000000"/>
                <w:lang w:val="en-GB" w:eastAsia="en-GB"/>
              </w:rPr>
            </w:pPr>
            <w:r w:rsidRPr="00823606">
              <w:rPr>
                <w:rFonts w:ascii="Calibri" w:eastAsia="Times New Roman" w:hAnsi="Calibri" w:cs="Calibri"/>
                <w:color w:val="000000"/>
                <w:lang w:val="en-GB" w:eastAsia="en-GB"/>
              </w:rPr>
              <w:t>100.00%</w:t>
            </w:r>
          </w:p>
        </w:tc>
        <w:tc>
          <w:tcPr>
            <w:tcW w:w="19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1CA63C" w14:textId="77777777" w:rsidR="003E1CB6" w:rsidRPr="00823606" w:rsidRDefault="003E1CB6" w:rsidP="00F00D37">
            <w:pPr>
              <w:spacing w:after="0" w:line="240" w:lineRule="auto"/>
              <w:jc w:val="center"/>
              <w:rPr>
                <w:rFonts w:ascii="Calibri" w:eastAsia="Times New Roman" w:hAnsi="Calibri" w:cs="Calibri"/>
                <w:color w:val="000000"/>
                <w:lang w:val="en-GB" w:eastAsia="en-GB"/>
              </w:rPr>
            </w:pPr>
            <w:r w:rsidRPr="00823606">
              <w:rPr>
                <w:rFonts w:ascii="Calibri" w:eastAsia="Times New Roman" w:hAnsi="Calibri" w:cs="Calibri"/>
                <w:color w:val="000000"/>
                <w:lang w:val="en-GB" w:eastAsia="en-GB"/>
              </w:rPr>
              <w:t>100.00%</w:t>
            </w:r>
          </w:p>
        </w:tc>
        <w:tc>
          <w:tcPr>
            <w:tcW w:w="178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223DD8" w14:textId="77777777" w:rsidR="003E1CB6" w:rsidRPr="00823606" w:rsidRDefault="003E1CB6" w:rsidP="00F00D37">
            <w:pPr>
              <w:spacing w:after="0" w:line="240" w:lineRule="auto"/>
              <w:jc w:val="center"/>
              <w:rPr>
                <w:rFonts w:ascii="Calibri" w:eastAsia="Times New Roman" w:hAnsi="Calibri" w:cs="Calibri"/>
                <w:color w:val="000000"/>
                <w:lang w:val="en-GB" w:eastAsia="en-GB"/>
              </w:rPr>
            </w:pPr>
            <w:r w:rsidRPr="00823606">
              <w:rPr>
                <w:rFonts w:ascii="Calibri" w:eastAsia="Times New Roman" w:hAnsi="Calibri" w:cs="Calibri"/>
                <w:color w:val="000000"/>
                <w:lang w:val="en-GB" w:eastAsia="en-GB"/>
              </w:rPr>
              <w:t>100.00%</w:t>
            </w:r>
          </w:p>
        </w:tc>
      </w:tr>
    </w:tbl>
    <w:p w14:paraId="4D062F55" w14:textId="7BFEBFDC" w:rsidR="00D73A85" w:rsidRDefault="00D73A85" w:rsidP="003E1CB6">
      <w:pPr>
        <w:rPr>
          <w:rFonts w:cstheme="minorHAnsi"/>
          <w:b/>
          <w:bCs/>
          <w:sz w:val="24"/>
          <w:szCs w:val="24"/>
        </w:rPr>
      </w:pPr>
    </w:p>
    <w:p w14:paraId="77134910" w14:textId="4DEAF448" w:rsidR="008D566D" w:rsidRDefault="008D566D" w:rsidP="003E1CB6">
      <w:pPr>
        <w:rPr>
          <w:rFonts w:cstheme="minorHAnsi"/>
          <w:b/>
          <w:bCs/>
          <w:sz w:val="24"/>
          <w:szCs w:val="24"/>
        </w:rPr>
      </w:pPr>
    </w:p>
    <w:p w14:paraId="49AA52DC" w14:textId="0783DE17" w:rsidR="008D566D" w:rsidRDefault="008D566D" w:rsidP="003E1CB6">
      <w:pPr>
        <w:rPr>
          <w:rFonts w:cstheme="minorHAnsi"/>
          <w:b/>
          <w:bCs/>
          <w:sz w:val="24"/>
          <w:szCs w:val="24"/>
        </w:rPr>
      </w:pPr>
    </w:p>
    <w:p w14:paraId="68EBDEDC" w14:textId="25B11131" w:rsidR="008D566D" w:rsidRDefault="008D566D" w:rsidP="003E1CB6">
      <w:pPr>
        <w:rPr>
          <w:rFonts w:cstheme="minorHAnsi"/>
          <w:b/>
          <w:bCs/>
          <w:sz w:val="24"/>
          <w:szCs w:val="24"/>
        </w:rPr>
      </w:pPr>
    </w:p>
    <w:p w14:paraId="14ED4A7D" w14:textId="2208DB63" w:rsidR="008D566D" w:rsidRDefault="008D566D" w:rsidP="003E1CB6">
      <w:pPr>
        <w:rPr>
          <w:rFonts w:cstheme="minorHAnsi"/>
          <w:b/>
          <w:bCs/>
          <w:sz w:val="24"/>
          <w:szCs w:val="24"/>
        </w:rPr>
      </w:pPr>
    </w:p>
    <w:p w14:paraId="48D539B5" w14:textId="03ED6403" w:rsidR="008D566D" w:rsidRDefault="008D566D" w:rsidP="003E1CB6">
      <w:pPr>
        <w:rPr>
          <w:rFonts w:cstheme="minorHAnsi"/>
          <w:b/>
          <w:bCs/>
          <w:sz w:val="24"/>
          <w:szCs w:val="24"/>
        </w:rPr>
      </w:pPr>
    </w:p>
    <w:p w14:paraId="45228535" w14:textId="77777777" w:rsidR="008D566D" w:rsidRDefault="008D566D" w:rsidP="003E1CB6">
      <w:pPr>
        <w:rPr>
          <w:rFonts w:cstheme="minorHAnsi"/>
          <w:b/>
          <w:bCs/>
          <w:sz w:val="24"/>
          <w:szCs w:val="24"/>
        </w:rPr>
      </w:pPr>
    </w:p>
    <w:p w14:paraId="34FFE333" w14:textId="31F988E9" w:rsidR="003E1CB6" w:rsidRDefault="003E1CB6" w:rsidP="003E1CB6">
      <w:pPr>
        <w:rPr>
          <w:rFonts w:cstheme="minorHAnsi"/>
          <w:sz w:val="24"/>
          <w:szCs w:val="24"/>
        </w:rPr>
      </w:pPr>
      <w:r w:rsidRPr="006363AB">
        <w:rPr>
          <w:rFonts w:cstheme="minorHAnsi"/>
          <w:b/>
          <w:bCs/>
          <w:sz w:val="24"/>
          <w:szCs w:val="24"/>
        </w:rPr>
        <w:lastRenderedPageBreak/>
        <w:t xml:space="preserve">Appendix </w:t>
      </w:r>
      <w:r>
        <w:rPr>
          <w:rFonts w:cstheme="minorHAnsi"/>
          <w:b/>
          <w:bCs/>
          <w:sz w:val="24"/>
          <w:szCs w:val="24"/>
        </w:rPr>
        <w:t>3</w:t>
      </w:r>
      <w:r w:rsidRPr="006363AB">
        <w:rPr>
          <w:rFonts w:cstheme="minorHAnsi"/>
          <w:b/>
          <w:bCs/>
          <w:sz w:val="24"/>
          <w:szCs w:val="24"/>
        </w:rPr>
        <w:t>.9.</w:t>
      </w:r>
      <w:r>
        <w:rPr>
          <w:rFonts w:cstheme="minorHAnsi"/>
          <w:sz w:val="24"/>
          <w:szCs w:val="24"/>
        </w:rPr>
        <w:t xml:space="preserve"> Grade repeats across family types</w:t>
      </w:r>
    </w:p>
    <w:p w14:paraId="57BBEA20" w14:textId="77777777" w:rsidR="003E1CB6" w:rsidRPr="00F909A5" w:rsidRDefault="003E1CB6" w:rsidP="003E1CB6">
      <w:pPr>
        <w:spacing w:line="360" w:lineRule="auto"/>
        <w:jc w:val="both"/>
        <w:rPr>
          <w:rFonts w:cstheme="minorHAnsi"/>
          <w:sz w:val="24"/>
          <w:szCs w:val="24"/>
        </w:rPr>
      </w:pPr>
      <w:r>
        <w:rPr>
          <w:rFonts w:cstheme="minorHAnsi"/>
          <w:sz w:val="24"/>
          <w:szCs w:val="24"/>
        </w:rPr>
        <w:t>Grade repeats between 5</w:t>
      </w:r>
      <w:r w:rsidRPr="00823606">
        <w:rPr>
          <w:rFonts w:cstheme="minorHAnsi"/>
          <w:sz w:val="24"/>
          <w:szCs w:val="24"/>
          <w:vertAlign w:val="superscript"/>
        </w:rPr>
        <w:t>th</w:t>
      </w:r>
      <w:r>
        <w:rPr>
          <w:rFonts w:cstheme="minorHAnsi"/>
          <w:sz w:val="24"/>
          <w:szCs w:val="24"/>
        </w:rPr>
        <w:t xml:space="preserve"> and 8</w:t>
      </w:r>
      <w:r w:rsidRPr="00823606">
        <w:rPr>
          <w:rFonts w:cstheme="minorHAnsi"/>
          <w:sz w:val="24"/>
          <w:szCs w:val="24"/>
          <w:vertAlign w:val="superscript"/>
        </w:rPr>
        <w:t>th</w:t>
      </w:r>
      <w:r>
        <w:rPr>
          <w:rFonts w:cstheme="minorHAnsi"/>
          <w:sz w:val="24"/>
          <w:szCs w:val="24"/>
        </w:rPr>
        <w:t xml:space="preserve"> grade</w:t>
      </w:r>
    </w:p>
    <w:tbl>
      <w:tblPr>
        <w:tblpPr w:leftFromText="180" w:rightFromText="180" w:vertAnchor="text" w:horzAnchor="margin" w:tblpXSpec="center" w:tblpY="187"/>
        <w:tblW w:w="6176" w:type="dxa"/>
        <w:tblLook w:val="04A0" w:firstRow="1" w:lastRow="0" w:firstColumn="1" w:lastColumn="0" w:noHBand="0" w:noVBand="1"/>
      </w:tblPr>
      <w:tblGrid>
        <w:gridCol w:w="1427"/>
        <w:gridCol w:w="1582"/>
        <w:gridCol w:w="1582"/>
        <w:gridCol w:w="1585"/>
      </w:tblGrid>
      <w:tr w:rsidR="003E1CB6" w:rsidRPr="00F909A5" w14:paraId="1A4D7806" w14:textId="77777777" w:rsidTr="00A965C3">
        <w:trPr>
          <w:trHeight w:val="525"/>
        </w:trPr>
        <w:tc>
          <w:tcPr>
            <w:tcW w:w="1427" w:type="dxa"/>
            <w:tcBorders>
              <w:top w:val="nil"/>
              <w:left w:val="nil"/>
              <w:bottom w:val="single" w:sz="8" w:space="0" w:color="auto"/>
              <w:right w:val="single" w:sz="8" w:space="0" w:color="auto"/>
            </w:tcBorders>
            <w:shd w:val="clear" w:color="auto" w:fill="auto"/>
            <w:noWrap/>
            <w:vAlign w:val="bottom"/>
            <w:hideMark/>
          </w:tcPr>
          <w:p w14:paraId="5F11BC38" w14:textId="77777777" w:rsidR="003E1CB6" w:rsidRPr="00F909A5" w:rsidRDefault="003E1CB6" w:rsidP="00F00D37">
            <w:pPr>
              <w:spacing w:after="0" w:line="360" w:lineRule="auto"/>
              <w:rPr>
                <w:rFonts w:eastAsia="Times New Roman" w:cstheme="minorHAnsi"/>
                <w:sz w:val="24"/>
                <w:szCs w:val="24"/>
                <w:lang w:val="en-GB" w:eastAsia="en-GB"/>
              </w:rPr>
            </w:pPr>
          </w:p>
        </w:tc>
        <w:tc>
          <w:tcPr>
            <w:tcW w:w="4749"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466E8E14" w14:textId="77777777" w:rsidR="003E1CB6" w:rsidRPr="00F909A5" w:rsidRDefault="003E1CB6" w:rsidP="008D566D">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Family structure</w:t>
            </w:r>
          </w:p>
        </w:tc>
      </w:tr>
      <w:tr w:rsidR="003E1CB6" w:rsidRPr="00F909A5" w14:paraId="1B86BEDF" w14:textId="77777777" w:rsidTr="00A965C3">
        <w:trPr>
          <w:trHeight w:val="994"/>
        </w:trPr>
        <w:tc>
          <w:tcPr>
            <w:tcW w:w="1427"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29024118"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No. of grade repeats</w:t>
            </w:r>
          </w:p>
        </w:tc>
        <w:tc>
          <w:tcPr>
            <w:tcW w:w="158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687F110" w14:textId="12F38302" w:rsidR="003E1CB6" w:rsidRPr="00F909A5" w:rsidRDefault="001A312F" w:rsidP="00F00D37">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I</w:t>
            </w:r>
            <w:r w:rsidR="003E1CB6" w:rsidRPr="00F909A5">
              <w:rPr>
                <w:rFonts w:eastAsia="Times New Roman" w:cstheme="minorHAnsi"/>
                <w:color w:val="000000"/>
                <w:sz w:val="24"/>
                <w:szCs w:val="24"/>
                <w:lang w:val="en-GB" w:eastAsia="en-GB"/>
              </w:rPr>
              <w:t>ntact</w:t>
            </w:r>
          </w:p>
        </w:tc>
        <w:tc>
          <w:tcPr>
            <w:tcW w:w="158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837C742" w14:textId="6DA39B95" w:rsidR="003E1CB6" w:rsidRPr="00F909A5" w:rsidRDefault="001A312F" w:rsidP="008D566D">
            <w:pPr>
              <w:spacing w:after="0" w:line="360" w:lineRule="auto"/>
              <w:jc w:val="center"/>
              <w:rPr>
                <w:rFonts w:eastAsia="Times New Roman" w:cstheme="minorHAnsi"/>
                <w:color w:val="000000"/>
                <w:sz w:val="24"/>
                <w:szCs w:val="24"/>
                <w:lang w:val="en-GB" w:eastAsia="en-GB"/>
              </w:rPr>
            </w:pPr>
            <w:r>
              <w:rPr>
                <w:rFonts w:eastAsia="Times New Roman" w:cstheme="minorHAnsi"/>
                <w:color w:val="000000"/>
                <w:sz w:val="24"/>
                <w:szCs w:val="24"/>
                <w:lang w:val="en-GB" w:eastAsia="en-GB"/>
              </w:rPr>
              <w:t>N</w:t>
            </w:r>
            <w:r w:rsidR="007A3AB0">
              <w:rPr>
                <w:rFonts w:eastAsia="Times New Roman" w:cstheme="minorHAnsi"/>
                <w:color w:val="000000"/>
                <w:sz w:val="24"/>
                <w:szCs w:val="24"/>
                <w:lang w:val="en-GB" w:eastAsia="en-GB"/>
              </w:rPr>
              <w:t>on-</w:t>
            </w:r>
            <w:r w:rsidR="003E1CB6" w:rsidRPr="00F909A5">
              <w:rPr>
                <w:rFonts w:eastAsia="Times New Roman" w:cstheme="minorHAnsi"/>
                <w:color w:val="000000"/>
                <w:sz w:val="24"/>
                <w:szCs w:val="24"/>
                <w:lang w:val="en-GB" w:eastAsia="en-GB"/>
              </w:rPr>
              <w:t>intact</w:t>
            </w:r>
          </w:p>
        </w:tc>
        <w:tc>
          <w:tcPr>
            <w:tcW w:w="158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EE3FDA7"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Total</w:t>
            </w:r>
          </w:p>
        </w:tc>
      </w:tr>
      <w:tr w:rsidR="003E1CB6" w:rsidRPr="00F909A5" w14:paraId="24C2DDA5" w14:textId="77777777" w:rsidTr="00A965C3">
        <w:trPr>
          <w:trHeight w:val="501"/>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B552444"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5D0179"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95.38%</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0E3E5A"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92.55%</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7AA96F"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94.39%</w:t>
            </w:r>
          </w:p>
        </w:tc>
      </w:tr>
      <w:tr w:rsidR="003E1CB6" w:rsidRPr="00F909A5" w14:paraId="6CE6F848" w14:textId="77777777" w:rsidTr="00A965C3">
        <w:trPr>
          <w:trHeight w:val="501"/>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2BDC002"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7BE7FE"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3.74%</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7FB7E4"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6.30%</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BE7DA4"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4.62%</w:t>
            </w:r>
          </w:p>
        </w:tc>
      </w:tr>
      <w:tr w:rsidR="003E1CB6" w:rsidRPr="00F909A5" w14:paraId="6902BD3C" w14:textId="77777777" w:rsidTr="00A965C3">
        <w:trPr>
          <w:trHeight w:val="605"/>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3CFDE29"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2</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8ABC6A"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0.44%</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6AE92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0.53%</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8045CE"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0.48%</w:t>
            </w:r>
          </w:p>
        </w:tc>
      </w:tr>
      <w:tr w:rsidR="003E1CB6" w:rsidRPr="00F909A5" w14:paraId="2F5253B2" w14:textId="77777777" w:rsidTr="00A965C3">
        <w:trPr>
          <w:trHeight w:val="690"/>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92298F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3</w:t>
            </w:r>
            <w:r>
              <w:rPr>
                <w:rFonts w:eastAsia="Times New Roman" w:cstheme="minorHAnsi"/>
                <w:color w:val="000000"/>
                <w:sz w:val="24"/>
                <w:szCs w:val="24"/>
                <w:lang w:val="en-GB" w:eastAsia="en-GB"/>
              </w:rPr>
              <w:t xml:space="preserve"> or more</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53F4D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0.08%</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E55252"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0.21%</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93E8AE"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0.12%</w:t>
            </w:r>
          </w:p>
        </w:tc>
      </w:tr>
      <w:tr w:rsidR="003E1CB6" w:rsidRPr="00F909A5" w14:paraId="12A382C7" w14:textId="77777777" w:rsidTr="00A965C3">
        <w:trPr>
          <w:trHeight w:val="501"/>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461B081"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&lt;NA&gt;</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BCFA5D"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0.37%</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DD8FCA"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0.41%</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E1EF3B"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0.39%</w:t>
            </w:r>
          </w:p>
        </w:tc>
      </w:tr>
      <w:tr w:rsidR="003E1CB6" w:rsidRPr="00F909A5" w14:paraId="397797C2" w14:textId="77777777" w:rsidTr="00A965C3">
        <w:trPr>
          <w:trHeight w:val="501"/>
        </w:trPr>
        <w:tc>
          <w:tcPr>
            <w:tcW w:w="142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5DCC5B1"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Total</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98D006"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c>
          <w:tcPr>
            <w:tcW w:w="1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E713CE9"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c>
          <w:tcPr>
            <w:tcW w:w="15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AA277" w14:textId="77777777" w:rsidR="003E1CB6" w:rsidRPr="00F909A5" w:rsidRDefault="003E1CB6" w:rsidP="00F00D37">
            <w:pPr>
              <w:spacing w:after="0" w:line="360" w:lineRule="auto"/>
              <w:jc w:val="center"/>
              <w:rPr>
                <w:rFonts w:eastAsia="Times New Roman" w:cstheme="minorHAnsi"/>
                <w:color w:val="000000"/>
                <w:sz w:val="24"/>
                <w:szCs w:val="24"/>
                <w:lang w:val="en-GB" w:eastAsia="en-GB"/>
              </w:rPr>
            </w:pPr>
            <w:r w:rsidRPr="00F909A5">
              <w:rPr>
                <w:rFonts w:eastAsia="Times New Roman" w:cstheme="minorHAnsi"/>
                <w:color w:val="000000"/>
                <w:sz w:val="24"/>
                <w:szCs w:val="24"/>
                <w:lang w:val="en-GB" w:eastAsia="en-GB"/>
              </w:rPr>
              <w:t>100.00%</w:t>
            </w:r>
          </w:p>
        </w:tc>
      </w:tr>
    </w:tbl>
    <w:p w14:paraId="3C05AFDD" w14:textId="77777777" w:rsidR="003E1CB6" w:rsidRPr="00F909A5" w:rsidRDefault="003E1CB6" w:rsidP="003E1CB6">
      <w:pPr>
        <w:spacing w:line="360" w:lineRule="auto"/>
        <w:jc w:val="both"/>
        <w:rPr>
          <w:rFonts w:cstheme="minorHAnsi"/>
          <w:sz w:val="24"/>
          <w:szCs w:val="24"/>
        </w:rPr>
      </w:pPr>
    </w:p>
    <w:p w14:paraId="41388894" w14:textId="77777777" w:rsidR="003E1CB6" w:rsidRPr="00F909A5" w:rsidRDefault="003E1CB6" w:rsidP="003E1CB6">
      <w:pPr>
        <w:spacing w:line="360" w:lineRule="auto"/>
        <w:jc w:val="both"/>
        <w:rPr>
          <w:rFonts w:cstheme="minorHAnsi"/>
          <w:sz w:val="24"/>
          <w:szCs w:val="24"/>
        </w:rPr>
      </w:pPr>
    </w:p>
    <w:p w14:paraId="30DC60B2" w14:textId="77777777" w:rsidR="003E1CB6" w:rsidRPr="00F909A5" w:rsidRDefault="003E1CB6" w:rsidP="003E1CB6">
      <w:pPr>
        <w:spacing w:line="360" w:lineRule="auto"/>
        <w:jc w:val="both"/>
        <w:rPr>
          <w:rFonts w:cstheme="minorHAnsi"/>
          <w:sz w:val="24"/>
          <w:szCs w:val="24"/>
        </w:rPr>
      </w:pPr>
    </w:p>
    <w:p w14:paraId="117658B8" w14:textId="77777777" w:rsidR="003E1CB6" w:rsidRPr="00F909A5" w:rsidRDefault="003E1CB6" w:rsidP="003E1CB6">
      <w:pPr>
        <w:spacing w:after="0" w:line="360" w:lineRule="auto"/>
        <w:jc w:val="both"/>
        <w:rPr>
          <w:rFonts w:eastAsia="Times New Roman" w:cstheme="minorHAnsi"/>
          <w:color w:val="000000"/>
          <w:sz w:val="24"/>
          <w:szCs w:val="24"/>
          <w:lang w:val="en-GB" w:eastAsia="en-GB"/>
        </w:rPr>
      </w:pPr>
    </w:p>
    <w:p w14:paraId="04364C56" w14:textId="77777777" w:rsidR="003E1CB6" w:rsidRPr="00F909A5" w:rsidRDefault="003E1CB6" w:rsidP="003E1CB6">
      <w:pPr>
        <w:spacing w:after="0" w:line="360" w:lineRule="auto"/>
        <w:jc w:val="both"/>
        <w:rPr>
          <w:rFonts w:eastAsia="Times New Roman" w:cstheme="minorHAnsi"/>
          <w:color w:val="000000"/>
          <w:sz w:val="24"/>
          <w:szCs w:val="24"/>
          <w:lang w:val="en-GB" w:eastAsia="en-GB"/>
        </w:rPr>
      </w:pPr>
    </w:p>
    <w:p w14:paraId="321B2947" w14:textId="77777777" w:rsidR="003E1CB6" w:rsidRPr="00F909A5" w:rsidRDefault="003E1CB6" w:rsidP="003E1CB6">
      <w:pPr>
        <w:spacing w:after="0" w:line="360" w:lineRule="auto"/>
        <w:jc w:val="both"/>
        <w:rPr>
          <w:rFonts w:eastAsia="Times New Roman" w:cstheme="minorHAnsi"/>
          <w:color w:val="000000"/>
          <w:sz w:val="24"/>
          <w:szCs w:val="24"/>
          <w:lang w:val="en-GB" w:eastAsia="en-GB"/>
        </w:rPr>
      </w:pPr>
    </w:p>
    <w:p w14:paraId="570B5ECF" w14:textId="77777777" w:rsidR="003E1CB6" w:rsidRPr="00F909A5" w:rsidRDefault="003E1CB6" w:rsidP="003E1CB6">
      <w:pPr>
        <w:spacing w:after="0" w:line="360" w:lineRule="auto"/>
        <w:jc w:val="both"/>
        <w:rPr>
          <w:rFonts w:eastAsia="Times New Roman" w:cstheme="minorHAnsi"/>
          <w:color w:val="000000"/>
          <w:sz w:val="24"/>
          <w:szCs w:val="24"/>
          <w:lang w:val="en-GB" w:eastAsia="en-GB"/>
        </w:rPr>
      </w:pPr>
    </w:p>
    <w:p w14:paraId="6A41191E" w14:textId="77777777" w:rsidR="003E1CB6" w:rsidRDefault="003E1CB6" w:rsidP="003E1CB6">
      <w:pPr>
        <w:spacing w:line="360" w:lineRule="auto"/>
        <w:jc w:val="both"/>
        <w:rPr>
          <w:rFonts w:cstheme="minorHAnsi"/>
          <w:sz w:val="24"/>
          <w:szCs w:val="24"/>
        </w:rPr>
      </w:pPr>
    </w:p>
    <w:p w14:paraId="48841B23" w14:textId="77777777" w:rsidR="003E1CB6" w:rsidRDefault="003E1CB6" w:rsidP="003E1CB6">
      <w:pPr>
        <w:spacing w:line="360" w:lineRule="auto"/>
        <w:jc w:val="both"/>
        <w:rPr>
          <w:rFonts w:cstheme="minorHAnsi"/>
          <w:sz w:val="24"/>
          <w:szCs w:val="24"/>
        </w:rPr>
      </w:pPr>
    </w:p>
    <w:p w14:paraId="0F11E8C2" w14:textId="77777777" w:rsidR="003E1CB6" w:rsidRDefault="003E1CB6" w:rsidP="003E1CB6">
      <w:pPr>
        <w:spacing w:line="360" w:lineRule="auto"/>
        <w:jc w:val="both"/>
        <w:rPr>
          <w:rFonts w:cstheme="minorHAnsi"/>
          <w:b/>
          <w:bCs/>
          <w:sz w:val="24"/>
          <w:szCs w:val="24"/>
        </w:rPr>
      </w:pPr>
    </w:p>
    <w:p w14:paraId="2E5F6365" w14:textId="77777777" w:rsidR="007A3AB0" w:rsidRDefault="007A3AB0" w:rsidP="003E1CB6">
      <w:pPr>
        <w:spacing w:line="360" w:lineRule="auto"/>
        <w:jc w:val="both"/>
        <w:rPr>
          <w:rFonts w:cstheme="minorHAnsi"/>
          <w:b/>
          <w:bCs/>
          <w:sz w:val="24"/>
          <w:szCs w:val="24"/>
        </w:rPr>
      </w:pPr>
    </w:p>
    <w:p w14:paraId="3D1B0230" w14:textId="64265A34" w:rsidR="003E1CB6" w:rsidRPr="00F909A5"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.10.</w:t>
      </w:r>
      <w:r>
        <w:rPr>
          <w:rFonts w:cstheme="minorHAnsi"/>
          <w:sz w:val="24"/>
          <w:szCs w:val="24"/>
        </w:rPr>
        <w:t xml:space="preserve"> Expels across family </w:t>
      </w:r>
      <w:proofErr w:type="gramStart"/>
      <w:r>
        <w:rPr>
          <w:rFonts w:cstheme="minorHAnsi"/>
          <w:sz w:val="24"/>
          <w:szCs w:val="24"/>
        </w:rPr>
        <w:t>types</w:t>
      </w:r>
      <w:proofErr w:type="gramEnd"/>
    </w:p>
    <w:tbl>
      <w:tblPr>
        <w:tblpPr w:leftFromText="180" w:rightFromText="180" w:vertAnchor="page" w:horzAnchor="margin" w:tblpXSpec="center" w:tblpY="9421"/>
        <w:tblW w:w="7247" w:type="dxa"/>
        <w:tblLook w:val="04A0" w:firstRow="1" w:lastRow="0" w:firstColumn="1" w:lastColumn="0" w:noHBand="0" w:noVBand="1"/>
      </w:tblPr>
      <w:tblGrid>
        <w:gridCol w:w="1492"/>
        <w:gridCol w:w="1965"/>
        <w:gridCol w:w="1823"/>
        <w:gridCol w:w="1967"/>
      </w:tblGrid>
      <w:tr w:rsidR="007A3AB0" w:rsidRPr="009E3BDA" w14:paraId="5A438C31" w14:textId="77777777" w:rsidTr="00A965C3">
        <w:trPr>
          <w:trHeight w:val="531"/>
        </w:trPr>
        <w:tc>
          <w:tcPr>
            <w:tcW w:w="1492" w:type="dxa"/>
            <w:tcBorders>
              <w:top w:val="nil"/>
              <w:left w:val="nil"/>
              <w:bottom w:val="single" w:sz="8" w:space="0" w:color="auto"/>
              <w:right w:val="single" w:sz="8" w:space="0" w:color="auto"/>
            </w:tcBorders>
            <w:shd w:val="clear" w:color="auto" w:fill="auto"/>
            <w:noWrap/>
            <w:vAlign w:val="bottom"/>
            <w:hideMark/>
          </w:tcPr>
          <w:p w14:paraId="15D5CFF9" w14:textId="77777777" w:rsidR="007A3AB0" w:rsidRPr="009E3BDA" w:rsidRDefault="007A3AB0" w:rsidP="007A3AB0">
            <w:pPr>
              <w:spacing w:after="0" w:line="240" w:lineRule="auto"/>
              <w:rPr>
                <w:rFonts w:ascii="Times New Roman" w:eastAsia="Times New Roman" w:hAnsi="Times New Roman" w:cs="Times New Roman"/>
                <w:sz w:val="24"/>
                <w:szCs w:val="24"/>
                <w:lang w:val="en-GB" w:eastAsia="en-GB"/>
              </w:rPr>
            </w:pPr>
          </w:p>
        </w:tc>
        <w:tc>
          <w:tcPr>
            <w:tcW w:w="5755"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469842B2"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Family structure</w:t>
            </w:r>
          </w:p>
        </w:tc>
      </w:tr>
      <w:tr w:rsidR="007A3AB0" w:rsidRPr="009E3BDA" w14:paraId="257DD7BA" w14:textId="77777777" w:rsidTr="00A965C3">
        <w:trPr>
          <w:trHeight w:val="1012"/>
        </w:trPr>
        <w:tc>
          <w:tcPr>
            <w:tcW w:w="1492"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6C66125C"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No. of expels</w:t>
            </w:r>
          </w:p>
        </w:tc>
        <w:tc>
          <w:tcPr>
            <w:tcW w:w="196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DB361B" w14:textId="6DE6B6B6" w:rsidR="007A3AB0" w:rsidRPr="009E3BDA" w:rsidRDefault="001A312F" w:rsidP="007A3AB0">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7A3AB0" w:rsidRPr="009E3BDA">
              <w:rPr>
                <w:rFonts w:ascii="Calibri" w:eastAsia="Times New Roman" w:hAnsi="Calibri" w:cs="Calibri"/>
                <w:color w:val="000000"/>
                <w:lang w:val="en-GB" w:eastAsia="en-GB"/>
              </w:rPr>
              <w:t>ntact</w:t>
            </w:r>
          </w:p>
        </w:tc>
        <w:tc>
          <w:tcPr>
            <w:tcW w:w="182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EB765D3" w14:textId="1ECC0A33" w:rsidR="007A3AB0" w:rsidRPr="009E3BDA" w:rsidRDefault="001A312F" w:rsidP="007A3AB0">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w:t>
            </w:r>
            <w:r w:rsidR="007A3AB0">
              <w:rPr>
                <w:rFonts w:ascii="Calibri" w:eastAsia="Times New Roman" w:hAnsi="Calibri" w:cs="Calibri"/>
                <w:color w:val="000000"/>
                <w:lang w:val="en-GB" w:eastAsia="en-GB"/>
              </w:rPr>
              <w:t>on-</w:t>
            </w:r>
            <w:r w:rsidR="007A3AB0" w:rsidRPr="009E3BDA">
              <w:rPr>
                <w:rFonts w:ascii="Calibri" w:eastAsia="Times New Roman" w:hAnsi="Calibri" w:cs="Calibri"/>
                <w:color w:val="000000"/>
                <w:lang w:val="en-GB" w:eastAsia="en-GB"/>
              </w:rPr>
              <w:t>intact</w:t>
            </w:r>
          </w:p>
        </w:tc>
        <w:tc>
          <w:tcPr>
            <w:tcW w:w="196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CCA3C72"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Total</w:t>
            </w:r>
          </w:p>
        </w:tc>
      </w:tr>
      <w:tr w:rsidR="007A3AB0" w:rsidRPr="009E3BDA" w14:paraId="2DE03400" w14:textId="77777777" w:rsidTr="00A965C3">
        <w:trPr>
          <w:trHeight w:val="506"/>
        </w:trPr>
        <w:tc>
          <w:tcPr>
            <w:tcW w:w="149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7C9CD37"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w:t>
            </w:r>
          </w:p>
        </w:tc>
        <w:tc>
          <w:tcPr>
            <w:tcW w:w="19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D29E3B"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99.79%</w:t>
            </w:r>
          </w:p>
        </w:tc>
        <w:tc>
          <w:tcPr>
            <w:tcW w:w="18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0D22D1"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99.32%</w:t>
            </w:r>
          </w:p>
        </w:tc>
        <w:tc>
          <w:tcPr>
            <w:tcW w:w="19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FD562F"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99.63%</w:t>
            </w:r>
          </w:p>
        </w:tc>
      </w:tr>
      <w:tr w:rsidR="007A3AB0" w:rsidRPr="009E3BDA" w14:paraId="0281FC97" w14:textId="77777777" w:rsidTr="00A965C3">
        <w:trPr>
          <w:trHeight w:val="506"/>
        </w:trPr>
        <w:tc>
          <w:tcPr>
            <w:tcW w:w="149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37B633"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1</w:t>
            </w:r>
          </w:p>
        </w:tc>
        <w:tc>
          <w:tcPr>
            <w:tcW w:w="19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557FF8"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0.21%</w:t>
            </w:r>
          </w:p>
        </w:tc>
        <w:tc>
          <w:tcPr>
            <w:tcW w:w="18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1B24D6"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0.65%</w:t>
            </w:r>
          </w:p>
        </w:tc>
        <w:tc>
          <w:tcPr>
            <w:tcW w:w="19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60F41E"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0.36%</w:t>
            </w:r>
          </w:p>
        </w:tc>
      </w:tr>
      <w:tr w:rsidR="007A3AB0" w:rsidRPr="009E3BDA" w14:paraId="1868329A" w14:textId="77777777" w:rsidTr="00A965C3">
        <w:trPr>
          <w:trHeight w:val="506"/>
        </w:trPr>
        <w:tc>
          <w:tcPr>
            <w:tcW w:w="149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FC3F097"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3</w:t>
            </w:r>
          </w:p>
        </w:tc>
        <w:tc>
          <w:tcPr>
            <w:tcW w:w="19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AF1B27E"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0.00%</w:t>
            </w:r>
          </w:p>
        </w:tc>
        <w:tc>
          <w:tcPr>
            <w:tcW w:w="18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55949E4"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0.03%</w:t>
            </w:r>
          </w:p>
        </w:tc>
        <w:tc>
          <w:tcPr>
            <w:tcW w:w="19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74798F"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0.01%</w:t>
            </w:r>
          </w:p>
        </w:tc>
      </w:tr>
      <w:tr w:rsidR="007A3AB0" w:rsidRPr="009E3BDA" w14:paraId="15BF72A1" w14:textId="77777777" w:rsidTr="00A965C3">
        <w:trPr>
          <w:trHeight w:val="506"/>
        </w:trPr>
        <w:tc>
          <w:tcPr>
            <w:tcW w:w="149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069F4A4"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Total</w:t>
            </w:r>
          </w:p>
        </w:tc>
        <w:tc>
          <w:tcPr>
            <w:tcW w:w="19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DB2859"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100.00%</w:t>
            </w:r>
          </w:p>
        </w:tc>
        <w:tc>
          <w:tcPr>
            <w:tcW w:w="182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1A7A00C"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100.00%</w:t>
            </w:r>
          </w:p>
        </w:tc>
        <w:tc>
          <w:tcPr>
            <w:tcW w:w="19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B3AB4C" w14:textId="77777777" w:rsidR="007A3AB0" w:rsidRPr="009E3BDA" w:rsidRDefault="007A3AB0" w:rsidP="007A3AB0">
            <w:pPr>
              <w:spacing w:after="0" w:line="240" w:lineRule="auto"/>
              <w:jc w:val="center"/>
              <w:rPr>
                <w:rFonts w:ascii="Calibri" w:eastAsia="Times New Roman" w:hAnsi="Calibri" w:cs="Calibri"/>
                <w:color w:val="000000"/>
                <w:lang w:val="en-GB" w:eastAsia="en-GB"/>
              </w:rPr>
            </w:pPr>
            <w:r w:rsidRPr="009E3BDA">
              <w:rPr>
                <w:rFonts w:ascii="Calibri" w:eastAsia="Times New Roman" w:hAnsi="Calibri" w:cs="Calibri"/>
                <w:color w:val="000000"/>
                <w:lang w:val="en-GB" w:eastAsia="en-GB"/>
              </w:rPr>
              <w:t>100.00%</w:t>
            </w:r>
          </w:p>
        </w:tc>
      </w:tr>
    </w:tbl>
    <w:p w14:paraId="4DB3D85E" w14:textId="77777777" w:rsidR="003E1CB6" w:rsidRDefault="003E1CB6" w:rsidP="003E1CB6">
      <w:pPr>
        <w:spacing w:line="360" w:lineRule="auto"/>
        <w:jc w:val="both"/>
        <w:rPr>
          <w:rFonts w:cstheme="minorHAnsi"/>
          <w:sz w:val="24"/>
          <w:szCs w:val="24"/>
        </w:rPr>
      </w:pPr>
    </w:p>
    <w:p w14:paraId="0780764D" w14:textId="77777777" w:rsidR="003E1CB6" w:rsidRDefault="003E1CB6" w:rsidP="003E1CB6">
      <w:pPr>
        <w:spacing w:line="360" w:lineRule="auto"/>
        <w:jc w:val="both"/>
        <w:rPr>
          <w:rFonts w:cstheme="minorHAnsi"/>
          <w:sz w:val="24"/>
          <w:szCs w:val="24"/>
        </w:rPr>
      </w:pPr>
    </w:p>
    <w:p w14:paraId="66472DE1" w14:textId="77777777" w:rsidR="003E1CB6" w:rsidRDefault="003E1CB6" w:rsidP="003E1CB6">
      <w:pPr>
        <w:spacing w:line="360" w:lineRule="auto"/>
        <w:jc w:val="both"/>
        <w:rPr>
          <w:rFonts w:cstheme="minorHAnsi"/>
          <w:sz w:val="24"/>
          <w:szCs w:val="24"/>
        </w:rPr>
      </w:pPr>
    </w:p>
    <w:p w14:paraId="53B7FCA2" w14:textId="77777777" w:rsidR="003E1CB6" w:rsidRDefault="003E1CB6" w:rsidP="003E1CB6">
      <w:pPr>
        <w:spacing w:line="360" w:lineRule="auto"/>
        <w:jc w:val="both"/>
        <w:rPr>
          <w:rFonts w:cstheme="minorHAnsi"/>
          <w:sz w:val="24"/>
          <w:szCs w:val="24"/>
        </w:rPr>
      </w:pPr>
    </w:p>
    <w:p w14:paraId="5463C245" w14:textId="77777777" w:rsidR="003E1CB6" w:rsidRDefault="003E1CB6" w:rsidP="003E1CB6">
      <w:pPr>
        <w:spacing w:line="360" w:lineRule="auto"/>
        <w:jc w:val="both"/>
        <w:rPr>
          <w:rFonts w:cstheme="minorHAnsi"/>
          <w:sz w:val="24"/>
          <w:szCs w:val="24"/>
        </w:rPr>
      </w:pPr>
    </w:p>
    <w:p w14:paraId="1220AEBB" w14:textId="77777777" w:rsidR="003E1CB6" w:rsidRDefault="003E1CB6" w:rsidP="003E1CB6">
      <w:pPr>
        <w:spacing w:line="360" w:lineRule="auto"/>
        <w:jc w:val="both"/>
        <w:rPr>
          <w:rFonts w:cstheme="minorHAnsi"/>
          <w:sz w:val="24"/>
          <w:szCs w:val="24"/>
        </w:rPr>
      </w:pPr>
    </w:p>
    <w:p w14:paraId="0ADBF15C" w14:textId="77777777" w:rsidR="003E1CB6" w:rsidRDefault="003E1CB6" w:rsidP="003E1CB6">
      <w:pPr>
        <w:spacing w:line="360" w:lineRule="auto"/>
        <w:jc w:val="both"/>
        <w:rPr>
          <w:rFonts w:cstheme="minorHAnsi"/>
          <w:sz w:val="24"/>
          <w:szCs w:val="24"/>
        </w:rPr>
      </w:pPr>
    </w:p>
    <w:p w14:paraId="32C71D74" w14:textId="77777777" w:rsidR="003E1CB6" w:rsidRDefault="003E1CB6" w:rsidP="003E1CB6">
      <w:pPr>
        <w:spacing w:line="360" w:lineRule="auto"/>
        <w:jc w:val="both"/>
        <w:rPr>
          <w:rFonts w:cstheme="minorHAnsi"/>
          <w:sz w:val="24"/>
          <w:szCs w:val="24"/>
        </w:rPr>
      </w:pPr>
    </w:p>
    <w:p w14:paraId="1BC1CC7A" w14:textId="77777777" w:rsidR="003E1CB6" w:rsidRDefault="003E1CB6" w:rsidP="003E1CB6">
      <w:pPr>
        <w:spacing w:line="360" w:lineRule="auto"/>
        <w:jc w:val="both"/>
        <w:rPr>
          <w:rFonts w:cstheme="minorHAnsi"/>
          <w:b/>
          <w:bCs/>
          <w:sz w:val="24"/>
          <w:szCs w:val="24"/>
        </w:rPr>
      </w:pPr>
    </w:p>
    <w:p w14:paraId="74CE15EC" w14:textId="77777777" w:rsidR="003E1CB6" w:rsidRDefault="003E1CB6" w:rsidP="003E1CB6">
      <w:pPr>
        <w:spacing w:line="360" w:lineRule="auto"/>
        <w:jc w:val="both"/>
        <w:rPr>
          <w:rFonts w:cstheme="minorHAnsi"/>
          <w:b/>
          <w:bCs/>
          <w:sz w:val="24"/>
          <w:szCs w:val="24"/>
        </w:rPr>
      </w:pPr>
    </w:p>
    <w:p w14:paraId="6B30AB24" w14:textId="77777777" w:rsidR="007A3AB0" w:rsidRDefault="007A3AB0" w:rsidP="003E1CB6">
      <w:pPr>
        <w:spacing w:line="360" w:lineRule="auto"/>
        <w:jc w:val="both"/>
        <w:rPr>
          <w:rFonts w:cstheme="minorHAnsi"/>
          <w:b/>
          <w:bCs/>
          <w:sz w:val="24"/>
          <w:szCs w:val="24"/>
        </w:rPr>
      </w:pPr>
    </w:p>
    <w:p w14:paraId="212BE204" w14:textId="7CCD4DDA" w:rsidR="003E1CB6" w:rsidRDefault="003E1CB6" w:rsidP="003E1CB6">
      <w:pPr>
        <w:spacing w:line="360" w:lineRule="auto"/>
        <w:jc w:val="both"/>
        <w:rPr>
          <w:rFonts w:cstheme="minorHAnsi"/>
          <w:sz w:val="24"/>
          <w:szCs w:val="24"/>
        </w:rPr>
      </w:pPr>
      <w:r w:rsidRPr="006363AB">
        <w:rPr>
          <w:rFonts w:cstheme="minorHAnsi"/>
          <w:b/>
          <w:bCs/>
          <w:sz w:val="24"/>
          <w:szCs w:val="24"/>
        </w:rPr>
        <w:lastRenderedPageBreak/>
        <w:t xml:space="preserve">Appendix </w:t>
      </w:r>
      <w:r>
        <w:rPr>
          <w:rFonts w:cstheme="minorHAnsi"/>
          <w:b/>
          <w:bCs/>
          <w:sz w:val="24"/>
          <w:szCs w:val="24"/>
        </w:rPr>
        <w:t>3</w:t>
      </w:r>
      <w:r w:rsidRPr="006363AB">
        <w:rPr>
          <w:rFonts w:cstheme="minorHAnsi"/>
          <w:b/>
          <w:bCs/>
          <w:sz w:val="24"/>
          <w:szCs w:val="24"/>
        </w:rPr>
        <w:t>.11.</w:t>
      </w:r>
      <w:r>
        <w:rPr>
          <w:rFonts w:cstheme="minorHAnsi"/>
          <w:sz w:val="24"/>
          <w:szCs w:val="24"/>
        </w:rPr>
        <w:t xml:space="preserve"> Dropouts (leaving due to low grades) across family </w:t>
      </w:r>
      <w:proofErr w:type="gramStart"/>
      <w:r>
        <w:rPr>
          <w:rFonts w:cstheme="minorHAnsi"/>
          <w:sz w:val="24"/>
          <w:szCs w:val="24"/>
        </w:rPr>
        <w:t>types</w:t>
      </w:r>
      <w:proofErr w:type="gramEnd"/>
    </w:p>
    <w:tbl>
      <w:tblPr>
        <w:tblpPr w:leftFromText="180" w:rightFromText="180" w:vertAnchor="text" w:horzAnchor="margin" w:tblpXSpec="center" w:tblpY="75"/>
        <w:tblW w:w="6782" w:type="dxa"/>
        <w:tblLook w:val="04A0" w:firstRow="1" w:lastRow="0" w:firstColumn="1" w:lastColumn="0" w:noHBand="0" w:noVBand="1"/>
      </w:tblPr>
      <w:tblGrid>
        <w:gridCol w:w="1899"/>
        <w:gridCol w:w="1587"/>
        <w:gridCol w:w="1587"/>
        <w:gridCol w:w="1709"/>
      </w:tblGrid>
      <w:tr w:rsidR="003E1CB6" w:rsidRPr="00A46020" w14:paraId="303A31E9" w14:textId="77777777" w:rsidTr="00A965C3">
        <w:trPr>
          <w:trHeight w:val="551"/>
        </w:trPr>
        <w:tc>
          <w:tcPr>
            <w:tcW w:w="1899" w:type="dxa"/>
            <w:tcBorders>
              <w:top w:val="nil"/>
              <w:left w:val="nil"/>
              <w:bottom w:val="nil"/>
              <w:right w:val="single" w:sz="8" w:space="0" w:color="auto"/>
            </w:tcBorders>
            <w:shd w:val="clear" w:color="auto" w:fill="auto"/>
            <w:noWrap/>
            <w:vAlign w:val="bottom"/>
            <w:hideMark/>
          </w:tcPr>
          <w:p w14:paraId="2B8A80DB" w14:textId="77777777" w:rsidR="003E1CB6" w:rsidRPr="00A46020" w:rsidRDefault="003E1CB6" w:rsidP="00F00D37">
            <w:pPr>
              <w:spacing w:after="0" w:line="240" w:lineRule="auto"/>
              <w:rPr>
                <w:rFonts w:ascii="Times New Roman" w:eastAsia="Times New Roman" w:hAnsi="Times New Roman" w:cs="Times New Roman"/>
                <w:sz w:val="24"/>
                <w:szCs w:val="24"/>
                <w:lang w:val="en-GB" w:eastAsia="en-GB"/>
              </w:rPr>
            </w:pPr>
          </w:p>
        </w:tc>
        <w:tc>
          <w:tcPr>
            <w:tcW w:w="4883"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7B7E1D6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Family structure</w:t>
            </w:r>
          </w:p>
        </w:tc>
      </w:tr>
      <w:tr w:rsidR="003E1CB6" w:rsidRPr="00A46020" w14:paraId="30E17FA4" w14:textId="77777777" w:rsidTr="00A965C3">
        <w:trPr>
          <w:trHeight w:val="1052"/>
        </w:trPr>
        <w:tc>
          <w:tcPr>
            <w:tcW w:w="1899"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4399947B"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No. of dropouts</w:t>
            </w:r>
          </w:p>
        </w:tc>
        <w:tc>
          <w:tcPr>
            <w:tcW w:w="15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5E20E8B" w14:textId="056CC8E0" w:rsidR="003E1CB6" w:rsidRPr="00A46020" w:rsidRDefault="001A312F"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3E1CB6" w:rsidRPr="00A46020">
              <w:rPr>
                <w:rFonts w:ascii="Calibri" w:eastAsia="Times New Roman" w:hAnsi="Calibri" w:cs="Calibri"/>
                <w:color w:val="000000"/>
                <w:lang w:val="en-GB" w:eastAsia="en-GB"/>
              </w:rPr>
              <w:t>ntact</w:t>
            </w:r>
          </w:p>
        </w:tc>
        <w:tc>
          <w:tcPr>
            <w:tcW w:w="158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C54DEDB" w14:textId="33BF3FC4" w:rsidR="003E1CB6" w:rsidRPr="00A46020" w:rsidRDefault="001A312F"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w:t>
            </w:r>
            <w:r w:rsidR="007A3AB0">
              <w:rPr>
                <w:rFonts w:ascii="Calibri" w:eastAsia="Times New Roman" w:hAnsi="Calibri" w:cs="Calibri"/>
                <w:color w:val="000000"/>
                <w:lang w:val="en-GB" w:eastAsia="en-GB"/>
              </w:rPr>
              <w:t>on-</w:t>
            </w:r>
            <w:r w:rsidR="003E1CB6" w:rsidRPr="00A46020">
              <w:rPr>
                <w:rFonts w:ascii="Calibri" w:eastAsia="Times New Roman" w:hAnsi="Calibri" w:cs="Calibri"/>
                <w:color w:val="000000"/>
                <w:lang w:val="en-GB" w:eastAsia="en-GB"/>
              </w:rPr>
              <w:t>intact</w:t>
            </w:r>
          </w:p>
        </w:tc>
        <w:tc>
          <w:tcPr>
            <w:tcW w:w="170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EF67B3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Total</w:t>
            </w:r>
          </w:p>
        </w:tc>
      </w:tr>
      <w:tr w:rsidR="003E1CB6" w:rsidRPr="00A46020" w14:paraId="35A2F44D" w14:textId="77777777" w:rsidTr="00A965C3">
        <w:trPr>
          <w:trHeight w:val="525"/>
        </w:trPr>
        <w:tc>
          <w:tcPr>
            <w:tcW w:w="18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5EA72D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43BDA1"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98.79%</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7CE8D13"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97.38%</w:t>
            </w:r>
          </w:p>
        </w:tc>
        <w:tc>
          <w:tcPr>
            <w:tcW w:w="1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06E599"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98.31%</w:t>
            </w:r>
          </w:p>
        </w:tc>
      </w:tr>
      <w:tr w:rsidR="003E1CB6" w:rsidRPr="00A46020" w14:paraId="6B1AE122" w14:textId="77777777" w:rsidTr="00A965C3">
        <w:trPr>
          <w:trHeight w:val="525"/>
        </w:trPr>
        <w:tc>
          <w:tcPr>
            <w:tcW w:w="18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783000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A495B0"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1.13%</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0F3A8F"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2.38%</w:t>
            </w:r>
          </w:p>
        </w:tc>
        <w:tc>
          <w:tcPr>
            <w:tcW w:w="1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464D9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1.56%</w:t>
            </w:r>
          </w:p>
        </w:tc>
      </w:tr>
      <w:tr w:rsidR="003E1CB6" w:rsidRPr="00A46020" w14:paraId="62096773" w14:textId="77777777" w:rsidTr="00A965C3">
        <w:trPr>
          <w:trHeight w:val="525"/>
        </w:trPr>
        <w:tc>
          <w:tcPr>
            <w:tcW w:w="18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13BC260"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2</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9C9B70"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0.06%</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040B3A"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0.18%</w:t>
            </w:r>
          </w:p>
        </w:tc>
        <w:tc>
          <w:tcPr>
            <w:tcW w:w="1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2F98E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0.10%</w:t>
            </w:r>
          </w:p>
        </w:tc>
      </w:tr>
      <w:tr w:rsidR="003E1CB6" w:rsidRPr="00A46020" w14:paraId="0BC7EEE5" w14:textId="77777777" w:rsidTr="00A965C3">
        <w:trPr>
          <w:trHeight w:val="525"/>
        </w:trPr>
        <w:tc>
          <w:tcPr>
            <w:tcW w:w="18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DD293F3"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3</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829DB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0.02%</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7E8E6B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0.06%</w:t>
            </w:r>
          </w:p>
        </w:tc>
        <w:tc>
          <w:tcPr>
            <w:tcW w:w="1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E80301"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0.03%</w:t>
            </w:r>
          </w:p>
        </w:tc>
      </w:tr>
      <w:tr w:rsidR="003E1CB6" w:rsidRPr="00A46020" w14:paraId="0913047C" w14:textId="77777777" w:rsidTr="00A965C3">
        <w:trPr>
          <w:trHeight w:val="525"/>
        </w:trPr>
        <w:tc>
          <w:tcPr>
            <w:tcW w:w="189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0247D2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Total</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E19F86"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100.00%</w:t>
            </w:r>
          </w:p>
        </w:tc>
        <w:tc>
          <w:tcPr>
            <w:tcW w:w="158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4B1C28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100.00%</w:t>
            </w:r>
          </w:p>
        </w:tc>
        <w:tc>
          <w:tcPr>
            <w:tcW w:w="1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808FA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100.00%</w:t>
            </w:r>
          </w:p>
        </w:tc>
      </w:tr>
    </w:tbl>
    <w:p w14:paraId="399FB93A" w14:textId="77777777" w:rsidR="003E1CB6" w:rsidRDefault="003E1CB6" w:rsidP="003E1CB6">
      <w:pPr>
        <w:spacing w:line="360" w:lineRule="auto"/>
        <w:jc w:val="both"/>
        <w:rPr>
          <w:rFonts w:cstheme="minorHAnsi"/>
          <w:sz w:val="24"/>
          <w:szCs w:val="24"/>
        </w:rPr>
      </w:pPr>
    </w:p>
    <w:p w14:paraId="3F91B80B" w14:textId="77777777" w:rsidR="003E1CB6" w:rsidRDefault="003E1CB6" w:rsidP="003E1CB6">
      <w:pPr>
        <w:spacing w:line="360" w:lineRule="auto"/>
        <w:jc w:val="both"/>
        <w:rPr>
          <w:rFonts w:cstheme="minorHAnsi"/>
          <w:sz w:val="24"/>
          <w:szCs w:val="24"/>
        </w:rPr>
      </w:pPr>
    </w:p>
    <w:p w14:paraId="544E4CE5" w14:textId="77777777" w:rsidR="003E1CB6" w:rsidRDefault="003E1CB6" w:rsidP="003E1CB6">
      <w:pPr>
        <w:spacing w:line="360" w:lineRule="auto"/>
        <w:jc w:val="both"/>
        <w:rPr>
          <w:rFonts w:cstheme="minorHAnsi"/>
          <w:sz w:val="24"/>
          <w:szCs w:val="24"/>
        </w:rPr>
      </w:pPr>
    </w:p>
    <w:p w14:paraId="5AE8D14B" w14:textId="77777777" w:rsidR="003E1CB6" w:rsidRDefault="003E1CB6" w:rsidP="003E1CB6">
      <w:pPr>
        <w:spacing w:line="360" w:lineRule="auto"/>
        <w:jc w:val="both"/>
        <w:rPr>
          <w:rFonts w:cstheme="minorHAnsi"/>
          <w:sz w:val="24"/>
          <w:szCs w:val="24"/>
        </w:rPr>
      </w:pPr>
    </w:p>
    <w:p w14:paraId="30B21DDD" w14:textId="77777777" w:rsidR="003E1CB6" w:rsidRDefault="003E1CB6" w:rsidP="003E1CB6">
      <w:pPr>
        <w:spacing w:line="360" w:lineRule="auto"/>
        <w:jc w:val="both"/>
        <w:rPr>
          <w:rFonts w:cstheme="minorHAnsi"/>
          <w:sz w:val="24"/>
          <w:szCs w:val="24"/>
        </w:rPr>
      </w:pPr>
    </w:p>
    <w:p w14:paraId="3C30652D" w14:textId="77777777" w:rsidR="003E1CB6" w:rsidRDefault="003E1CB6" w:rsidP="003E1CB6">
      <w:pPr>
        <w:spacing w:line="360" w:lineRule="auto"/>
        <w:jc w:val="both"/>
        <w:rPr>
          <w:rFonts w:cstheme="minorHAnsi"/>
          <w:sz w:val="24"/>
          <w:szCs w:val="24"/>
        </w:rPr>
      </w:pPr>
    </w:p>
    <w:p w14:paraId="27A64A8A" w14:textId="77777777" w:rsidR="003E1CB6" w:rsidRDefault="003E1CB6" w:rsidP="003E1CB6">
      <w:pPr>
        <w:spacing w:line="360" w:lineRule="auto"/>
        <w:jc w:val="both"/>
        <w:rPr>
          <w:rFonts w:cstheme="minorHAnsi"/>
          <w:sz w:val="24"/>
          <w:szCs w:val="24"/>
        </w:rPr>
      </w:pPr>
    </w:p>
    <w:p w14:paraId="318645C8" w14:textId="77777777" w:rsidR="003E1CB6" w:rsidRDefault="003E1CB6" w:rsidP="003E1CB6">
      <w:pPr>
        <w:spacing w:line="360" w:lineRule="auto"/>
        <w:jc w:val="both"/>
        <w:rPr>
          <w:rFonts w:cstheme="minorHAnsi"/>
          <w:sz w:val="24"/>
          <w:szCs w:val="24"/>
        </w:rPr>
      </w:pPr>
    </w:p>
    <w:p w14:paraId="072FE599" w14:textId="52E7839B" w:rsidR="003E1CB6"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.12.</w:t>
      </w:r>
      <w:r>
        <w:rPr>
          <w:rFonts w:cstheme="minorHAnsi"/>
          <w:sz w:val="24"/>
          <w:szCs w:val="24"/>
        </w:rPr>
        <w:t xml:space="preserve"> Measures of parental </w:t>
      </w:r>
      <w:r w:rsidR="00B737E8">
        <w:rPr>
          <w:rFonts w:cstheme="minorHAnsi"/>
          <w:sz w:val="24"/>
          <w:szCs w:val="24"/>
        </w:rPr>
        <w:t>school engagement</w:t>
      </w:r>
      <w:r>
        <w:rPr>
          <w:rFonts w:cstheme="minorHAnsi"/>
          <w:sz w:val="24"/>
          <w:szCs w:val="24"/>
        </w:rPr>
        <w:t xml:space="preserve"> (Overall score = Sum of first 3 columns</w:t>
      </w:r>
      <w:r w:rsidR="007A3AB0">
        <w:rPr>
          <w:rFonts w:cstheme="minorHAnsi"/>
          <w:sz w:val="24"/>
          <w:szCs w:val="24"/>
        </w:rPr>
        <w:t>; the higher the better</w:t>
      </w:r>
      <w:r>
        <w:rPr>
          <w:rFonts w:cstheme="minorHAnsi"/>
          <w:sz w:val="24"/>
          <w:szCs w:val="24"/>
        </w:rPr>
        <w:t>)</w:t>
      </w:r>
    </w:p>
    <w:tbl>
      <w:tblPr>
        <w:tblW w:w="6926" w:type="dxa"/>
        <w:tblInd w:w="1077" w:type="dxa"/>
        <w:tblLook w:val="04A0" w:firstRow="1" w:lastRow="0" w:firstColumn="1" w:lastColumn="0" w:noHBand="0" w:noVBand="1"/>
      </w:tblPr>
      <w:tblGrid>
        <w:gridCol w:w="1677"/>
        <w:gridCol w:w="1808"/>
        <w:gridCol w:w="1111"/>
        <w:gridCol w:w="1045"/>
        <w:gridCol w:w="1285"/>
      </w:tblGrid>
      <w:tr w:rsidR="003E1CB6" w:rsidRPr="00A46020" w14:paraId="239773FA" w14:textId="77777777" w:rsidTr="00A965C3">
        <w:trPr>
          <w:trHeight w:val="1013"/>
        </w:trPr>
        <w:tc>
          <w:tcPr>
            <w:tcW w:w="1677" w:type="dxa"/>
            <w:tcBorders>
              <w:top w:val="nil"/>
              <w:left w:val="nil"/>
              <w:bottom w:val="single" w:sz="8" w:space="0" w:color="auto"/>
              <w:right w:val="single" w:sz="8" w:space="0" w:color="auto"/>
            </w:tcBorders>
            <w:shd w:val="clear" w:color="auto" w:fill="auto"/>
            <w:noWrap/>
            <w:vAlign w:val="bottom"/>
            <w:hideMark/>
          </w:tcPr>
          <w:p w14:paraId="5387CD30" w14:textId="77777777" w:rsidR="003E1CB6" w:rsidRPr="00A46020" w:rsidRDefault="003E1CB6" w:rsidP="00F00D37">
            <w:pPr>
              <w:spacing w:after="0" w:line="240" w:lineRule="auto"/>
              <w:rPr>
                <w:rFonts w:ascii="Times New Roman" w:eastAsia="Times New Roman" w:hAnsi="Times New Roman" w:cs="Times New Roman"/>
                <w:sz w:val="24"/>
                <w:szCs w:val="24"/>
                <w:lang w:val="en-GB" w:eastAsia="en-GB"/>
              </w:rPr>
            </w:pPr>
          </w:p>
        </w:tc>
        <w:tc>
          <w:tcPr>
            <w:tcW w:w="1808"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BD7838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Attend parent meetings</w:t>
            </w:r>
          </w:p>
        </w:tc>
        <w:tc>
          <w:tcPr>
            <w:tcW w:w="1111"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5DDAAC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Talk to teachers</w:t>
            </w:r>
          </w:p>
        </w:tc>
        <w:tc>
          <w:tcPr>
            <w:tcW w:w="104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3ECB0B7"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Study w/ the child</w:t>
            </w:r>
          </w:p>
        </w:tc>
        <w:tc>
          <w:tcPr>
            <w:tcW w:w="128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A4426F5"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Overall Score</w:t>
            </w:r>
          </w:p>
        </w:tc>
      </w:tr>
      <w:tr w:rsidR="003E1CB6" w:rsidRPr="00A46020" w14:paraId="546B23D8" w14:textId="77777777" w:rsidTr="00A965C3">
        <w:trPr>
          <w:trHeight w:val="519"/>
        </w:trPr>
        <w:tc>
          <w:tcPr>
            <w:tcW w:w="167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0448F1C0" w14:textId="56B2F815" w:rsidR="003E1CB6" w:rsidRPr="00A46020"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3E1CB6" w:rsidRPr="00A46020">
              <w:rPr>
                <w:rFonts w:ascii="Calibri" w:eastAsia="Times New Roman" w:hAnsi="Calibri" w:cs="Calibri"/>
                <w:color w:val="000000"/>
                <w:lang w:val="en-GB" w:eastAsia="en-GB"/>
              </w:rPr>
              <w:t>ntact</w:t>
            </w:r>
          </w:p>
        </w:tc>
        <w:tc>
          <w:tcPr>
            <w:tcW w:w="18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6F0180" w14:textId="1B855583"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1.24</w:t>
            </w:r>
          </w:p>
        </w:tc>
        <w:tc>
          <w:tcPr>
            <w:tcW w:w="111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9998E4" w14:textId="2A45D421"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1.74</w:t>
            </w:r>
          </w:p>
        </w:tc>
        <w:tc>
          <w:tcPr>
            <w:tcW w:w="104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8B3360" w14:textId="4D6ABD51"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2.25</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3ECDD5" w14:textId="509AD8E5"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5.23</w:t>
            </w:r>
          </w:p>
        </w:tc>
      </w:tr>
      <w:tr w:rsidR="003E1CB6" w:rsidRPr="00A46020" w14:paraId="43696558" w14:textId="77777777" w:rsidTr="00A965C3">
        <w:trPr>
          <w:trHeight w:val="519"/>
        </w:trPr>
        <w:tc>
          <w:tcPr>
            <w:tcW w:w="167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2D4AE98A" w14:textId="0D5BC0A6" w:rsidR="003E1CB6" w:rsidRPr="00A46020"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Non-</w:t>
            </w:r>
            <w:r w:rsidR="003E1CB6" w:rsidRPr="00A46020">
              <w:rPr>
                <w:rFonts w:ascii="Calibri" w:eastAsia="Times New Roman" w:hAnsi="Calibri" w:cs="Calibri"/>
                <w:color w:val="000000"/>
                <w:lang w:val="en-GB" w:eastAsia="en-GB"/>
              </w:rPr>
              <w:t>intact</w:t>
            </w:r>
          </w:p>
        </w:tc>
        <w:tc>
          <w:tcPr>
            <w:tcW w:w="18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E2555" w14:textId="7B6BD411"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1.35</w:t>
            </w:r>
          </w:p>
        </w:tc>
        <w:tc>
          <w:tcPr>
            <w:tcW w:w="111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1AEB52" w14:textId="482D1CD8"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1.78</w:t>
            </w:r>
          </w:p>
        </w:tc>
        <w:tc>
          <w:tcPr>
            <w:tcW w:w="104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C28088" w14:textId="061E0E8F"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2.4</w:t>
            </w:r>
          </w:p>
        </w:tc>
        <w:tc>
          <w:tcPr>
            <w:tcW w:w="128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C9AFC8" w14:textId="6E93A2A2" w:rsidR="003E1CB6" w:rsidRPr="00A46020" w:rsidRDefault="007A3AB0"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w:t>
            </w:r>
            <w:r w:rsidR="003E1CB6" w:rsidRPr="00A46020">
              <w:rPr>
                <w:rFonts w:ascii="Calibri" w:eastAsia="Times New Roman" w:hAnsi="Calibri" w:cs="Calibri"/>
                <w:color w:val="000000"/>
                <w:lang w:val="en-GB" w:eastAsia="en-GB"/>
              </w:rPr>
              <w:t>5.54</w:t>
            </w:r>
          </w:p>
        </w:tc>
      </w:tr>
    </w:tbl>
    <w:p w14:paraId="3D61CB11" w14:textId="77777777" w:rsidR="003E1CB6" w:rsidRDefault="003E1CB6" w:rsidP="003E1CB6">
      <w:pPr>
        <w:spacing w:line="360" w:lineRule="auto"/>
        <w:jc w:val="both"/>
        <w:rPr>
          <w:rFonts w:cstheme="minorHAnsi"/>
          <w:sz w:val="24"/>
          <w:szCs w:val="24"/>
        </w:rPr>
      </w:pPr>
    </w:p>
    <w:p w14:paraId="6BB82CCE" w14:textId="70B4FD26" w:rsidR="003E1CB6" w:rsidRDefault="003E1CB6" w:rsidP="003E1CB6">
      <w:pPr>
        <w:spacing w:line="360" w:lineRule="auto"/>
        <w:jc w:val="both"/>
        <w:rPr>
          <w:rFonts w:cstheme="minorHAnsi"/>
          <w:sz w:val="24"/>
          <w:szCs w:val="24"/>
        </w:rPr>
      </w:pPr>
      <w:r w:rsidRPr="006363AB">
        <w:rPr>
          <w:rFonts w:cstheme="minorHAnsi"/>
          <w:b/>
          <w:bCs/>
          <w:sz w:val="24"/>
          <w:szCs w:val="24"/>
        </w:rPr>
        <w:t xml:space="preserve">Appendix </w:t>
      </w:r>
      <w:r>
        <w:rPr>
          <w:rFonts w:cstheme="minorHAnsi"/>
          <w:b/>
          <w:bCs/>
          <w:sz w:val="24"/>
          <w:szCs w:val="24"/>
        </w:rPr>
        <w:t>3</w:t>
      </w:r>
      <w:r w:rsidRPr="006363AB">
        <w:rPr>
          <w:rFonts w:cstheme="minorHAnsi"/>
          <w:b/>
          <w:bCs/>
          <w:sz w:val="24"/>
          <w:szCs w:val="24"/>
        </w:rPr>
        <w:t>.13.</w:t>
      </w:r>
      <w:r>
        <w:rPr>
          <w:rFonts w:cstheme="minorHAnsi"/>
          <w:sz w:val="24"/>
          <w:szCs w:val="24"/>
        </w:rPr>
        <w:t xml:space="preserve"> Monthly </w:t>
      </w:r>
      <w:r w:rsidR="00AB64CB">
        <w:rPr>
          <w:rFonts w:cstheme="minorHAnsi"/>
          <w:sz w:val="24"/>
          <w:szCs w:val="24"/>
        </w:rPr>
        <w:t xml:space="preserve">average </w:t>
      </w:r>
      <w:r>
        <w:rPr>
          <w:rFonts w:cstheme="minorHAnsi"/>
          <w:sz w:val="24"/>
          <w:szCs w:val="24"/>
        </w:rPr>
        <w:t xml:space="preserve">parental </w:t>
      </w:r>
      <w:r w:rsidR="000769E7">
        <w:rPr>
          <w:rFonts w:cstheme="minorHAnsi"/>
          <w:sz w:val="24"/>
          <w:szCs w:val="24"/>
        </w:rPr>
        <w:t xml:space="preserve">school-related </w:t>
      </w:r>
      <w:r w:rsidR="00A966F9">
        <w:rPr>
          <w:rFonts w:cstheme="minorHAnsi"/>
          <w:sz w:val="24"/>
          <w:szCs w:val="24"/>
        </w:rPr>
        <w:t>spending</w:t>
      </w:r>
      <w:r w:rsidR="00AB64CB">
        <w:rPr>
          <w:rFonts w:cstheme="minorHAnsi"/>
          <w:sz w:val="24"/>
          <w:szCs w:val="24"/>
        </w:rPr>
        <w:t xml:space="preserve"> across family types in HUF</w:t>
      </w:r>
      <w:r>
        <w:rPr>
          <w:rFonts w:cstheme="minorHAnsi"/>
          <w:sz w:val="24"/>
          <w:szCs w:val="24"/>
        </w:rPr>
        <w:t>.</w:t>
      </w:r>
    </w:p>
    <w:tbl>
      <w:tblPr>
        <w:tblW w:w="8859" w:type="dxa"/>
        <w:tblLook w:val="04A0" w:firstRow="1" w:lastRow="0" w:firstColumn="1" w:lastColumn="0" w:noHBand="0" w:noVBand="1"/>
      </w:tblPr>
      <w:tblGrid>
        <w:gridCol w:w="947"/>
        <w:gridCol w:w="1605"/>
        <w:gridCol w:w="1559"/>
        <w:gridCol w:w="1559"/>
        <w:gridCol w:w="1560"/>
        <w:gridCol w:w="1629"/>
      </w:tblGrid>
      <w:tr w:rsidR="000769E7" w:rsidRPr="00851D1B" w14:paraId="38A238A0" w14:textId="77777777" w:rsidTr="00A965C3">
        <w:trPr>
          <w:trHeight w:val="814"/>
        </w:trPr>
        <w:tc>
          <w:tcPr>
            <w:tcW w:w="947" w:type="dxa"/>
            <w:tcBorders>
              <w:top w:val="nil"/>
              <w:left w:val="nil"/>
              <w:bottom w:val="single" w:sz="8" w:space="0" w:color="auto"/>
              <w:right w:val="single" w:sz="8" w:space="0" w:color="auto"/>
            </w:tcBorders>
            <w:shd w:val="clear" w:color="auto" w:fill="auto"/>
            <w:noWrap/>
            <w:vAlign w:val="bottom"/>
            <w:hideMark/>
          </w:tcPr>
          <w:p w14:paraId="139BCEAE" w14:textId="0D7CBE58" w:rsidR="003E1CB6" w:rsidRPr="00851D1B" w:rsidRDefault="003E1CB6" w:rsidP="00F00D37">
            <w:pPr>
              <w:spacing w:after="0" w:line="240" w:lineRule="auto"/>
              <w:rPr>
                <w:rFonts w:ascii="Times New Roman" w:eastAsia="Times New Roman" w:hAnsi="Times New Roman" w:cs="Times New Roman"/>
                <w:sz w:val="24"/>
                <w:szCs w:val="24"/>
                <w:lang w:val="en-GB" w:eastAsia="en-GB"/>
              </w:rPr>
            </w:pPr>
          </w:p>
        </w:tc>
        <w:tc>
          <w:tcPr>
            <w:tcW w:w="160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B5495CB" w14:textId="7421498D" w:rsidR="003E1CB6" w:rsidRPr="00851D1B" w:rsidRDefault="00304775"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Textbooks</w:t>
            </w:r>
          </w:p>
        </w:tc>
        <w:tc>
          <w:tcPr>
            <w:tcW w:w="155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7036982" w14:textId="08928B45" w:rsidR="003E1CB6" w:rsidRPr="00851D1B" w:rsidRDefault="00304775"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Transportation</w:t>
            </w:r>
          </w:p>
        </w:tc>
        <w:tc>
          <w:tcPr>
            <w:tcW w:w="155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8F3751F" w14:textId="0DDC46A9" w:rsidR="003E1CB6" w:rsidRPr="00851D1B" w:rsidRDefault="00304775"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Extra classes</w:t>
            </w:r>
          </w:p>
        </w:tc>
        <w:tc>
          <w:tcPr>
            <w:tcW w:w="15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EE0F861" w14:textId="60602888" w:rsidR="003E1CB6" w:rsidRPr="00851D1B" w:rsidRDefault="00304775"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School trips</w:t>
            </w:r>
          </w:p>
        </w:tc>
        <w:tc>
          <w:tcPr>
            <w:tcW w:w="1629"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7A5A470" w14:textId="0DC07972" w:rsidR="003E1CB6" w:rsidRPr="00851D1B"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Total</w:t>
            </w:r>
          </w:p>
        </w:tc>
      </w:tr>
      <w:tr w:rsidR="000769E7" w:rsidRPr="00851D1B" w14:paraId="26493954" w14:textId="77777777" w:rsidTr="00A965C3">
        <w:trPr>
          <w:trHeight w:val="814"/>
        </w:trPr>
        <w:tc>
          <w:tcPr>
            <w:tcW w:w="94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2632718" w14:textId="6BC031BC" w:rsidR="003E1CB6" w:rsidRPr="00851D1B"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3E1CB6" w:rsidRPr="00851D1B">
              <w:rPr>
                <w:rFonts w:ascii="Calibri" w:eastAsia="Times New Roman" w:hAnsi="Calibri" w:cs="Calibri"/>
                <w:color w:val="000000"/>
                <w:lang w:val="en-GB" w:eastAsia="en-GB"/>
              </w:rPr>
              <w:t>ntact</w:t>
            </w:r>
          </w:p>
        </w:tc>
        <w:tc>
          <w:tcPr>
            <w:tcW w:w="16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DF9CCE" w14:textId="3B63E7F8"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26,790.42</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8F89EA" w14:textId="7F035468"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2,111.00</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AAB23F" w14:textId="3C2FFEB5"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1,109.24</w:t>
            </w:r>
          </w:p>
        </w:tc>
        <w:tc>
          <w:tcPr>
            <w:tcW w:w="15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84E55E" w14:textId="3A8BE7F2"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3,763.29</w:t>
            </w:r>
          </w:p>
        </w:tc>
        <w:tc>
          <w:tcPr>
            <w:tcW w:w="16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600FC1" w14:textId="26D413EB"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33,773.95</w:t>
            </w:r>
          </w:p>
        </w:tc>
      </w:tr>
      <w:tr w:rsidR="000769E7" w:rsidRPr="00851D1B" w14:paraId="1BD665E9" w14:textId="77777777" w:rsidTr="00A965C3">
        <w:trPr>
          <w:trHeight w:val="814"/>
        </w:trPr>
        <w:tc>
          <w:tcPr>
            <w:tcW w:w="94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22919AA" w14:textId="4C81CFE7" w:rsidR="003E1CB6" w:rsidRPr="00851D1B"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w:t>
            </w:r>
            <w:r w:rsidR="00101B48">
              <w:rPr>
                <w:rFonts w:ascii="Calibri" w:eastAsia="Times New Roman" w:hAnsi="Calibri" w:cs="Calibri"/>
                <w:color w:val="000000"/>
                <w:lang w:val="en-GB" w:eastAsia="en-GB"/>
              </w:rPr>
              <w:t>on-</w:t>
            </w:r>
            <w:r w:rsidR="003E1CB6" w:rsidRPr="00851D1B">
              <w:rPr>
                <w:rFonts w:ascii="Calibri" w:eastAsia="Times New Roman" w:hAnsi="Calibri" w:cs="Calibri"/>
                <w:color w:val="000000"/>
                <w:lang w:val="en-GB" w:eastAsia="en-GB"/>
              </w:rPr>
              <w:t>intact</w:t>
            </w:r>
          </w:p>
        </w:tc>
        <w:tc>
          <w:tcPr>
            <w:tcW w:w="16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CA79E7" w14:textId="360639D3"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19,559.32</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B38961" w14:textId="4EB4C092"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1,769.54</w:t>
            </w:r>
          </w:p>
        </w:tc>
        <w:tc>
          <w:tcPr>
            <w:tcW w:w="155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AA2EBE" w14:textId="24974C08"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780.85</w:t>
            </w:r>
          </w:p>
        </w:tc>
        <w:tc>
          <w:tcPr>
            <w:tcW w:w="15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D02D6E" w14:textId="5B4CE311"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3,564.46</w:t>
            </w:r>
          </w:p>
        </w:tc>
        <w:tc>
          <w:tcPr>
            <w:tcW w:w="16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6B98EB" w14:textId="2671D705" w:rsidR="003E1CB6" w:rsidRPr="00851D1B" w:rsidRDefault="003E1CB6" w:rsidP="000769E7">
            <w:pPr>
              <w:spacing w:after="0" w:line="240" w:lineRule="auto"/>
              <w:jc w:val="center"/>
              <w:rPr>
                <w:rFonts w:ascii="Calibri" w:eastAsia="Times New Roman" w:hAnsi="Calibri" w:cs="Calibri"/>
                <w:color w:val="000000"/>
                <w:lang w:val="en-GB" w:eastAsia="en-GB"/>
              </w:rPr>
            </w:pPr>
            <w:r w:rsidRPr="00851D1B">
              <w:rPr>
                <w:rFonts w:ascii="Calibri" w:eastAsia="Times New Roman" w:hAnsi="Calibri" w:cs="Calibri"/>
                <w:color w:val="000000"/>
                <w:lang w:val="en-GB" w:eastAsia="en-GB"/>
              </w:rPr>
              <w:t>25,674.17</w:t>
            </w:r>
          </w:p>
        </w:tc>
      </w:tr>
    </w:tbl>
    <w:p w14:paraId="20A3E756" w14:textId="77777777" w:rsidR="008D566D" w:rsidRDefault="008D566D" w:rsidP="003E1CB6">
      <w:pPr>
        <w:spacing w:line="360" w:lineRule="auto"/>
        <w:jc w:val="both"/>
        <w:rPr>
          <w:rFonts w:cstheme="minorHAnsi"/>
          <w:b/>
          <w:bCs/>
          <w:sz w:val="24"/>
          <w:szCs w:val="24"/>
        </w:rPr>
      </w:pPr>
    </w:p>
    <w:p w14:paraId="4A337D2A" w14:textId="36EC31BD" w:rsidR="003E1CB6" w:rsidRDefault="003E1CB6" w:rsidP="003E1CB6">
      <w:pPr>
        <w:spacing w:line="360" w:lineRule="auto"/>
        <w:jc w:val="both"/>
        <w:rPr>
          <w:rFonts w:cstheme="minorHAnsi"/>
          <w:sz w:val="24"/>
          <w:szCs w:val="24"/>
        </w:rPr>
      </w:pPr>
      <w:r w:rsidRPr="000717F2">
        <w:rPr>
          <w:rFonts w:cstheme="minorHAnsi"/>
          <w:b/>
          <w:bCs/>
          <w:sz w:val="24"/>
          <w:szCs w:val="24"/>
        </w:rPr>
        <w:t>Appendix 3.14.</w:t>
      </w:r>
      <w:r>
        <w:rPr>
          <w:rFonts w:cstheme="minorHAnsi"/>
          <w:sz w:val="24"/>
          <w:szCs w:val="24"/>
        </w:rPr>
        <w:t xml:space="preserve"> Number of school changes due to moving</w:t>
      </w:r>
      <w:r w:rsidR="009E5F59">
        <w:rPr>
          <w:rFonts w:cstheme="minorHAnsi"/>
          <w:sz w:val="24"/>
          <w:szCs w:val="24"/>
        </w:rPr>
        <w:t>.</w:t>
      </w:r>
    </w:p>
    <w:tbl>
      <w:tblPr>
        <w:tblW w:w="6840" w:type="dxa"/>
        <w:tblInd w:w="876" w:type="dxa"/>
        <w:tblLook w:val="04A0" w:firstRow="1" w:lastRow="0" w:firstColumn="1" w:lastColumn="0" w:noHBand="0" w:noVBand="1"/>
      </w:tblPr>
      <w:tblGrid>
        <w:gridCol w:w="1602"/>
        <w:gridCol w:w="1602"/>
        <w:gridCol w:w="1602"/>
        <w:gridCol w:w="2034"/>
      </w:tblGrid>
      <w:tr w:rsidR="003E1CB6" w:rsidRPr="00A46020" w14:paraId="2E562BF4" w14:textId="77777777" w:rsidTr="00A965C3">
        <w:trPr>
          <w:trHeight w:val="780"/>
        </w:trPr>
        <w:tc>
          <w:tcPr>
            <w:tcW w:w="1602" w:type="dxa"/>
            <w:tcBorders>
              <w:top w:val="nil"/>
              <w:left w:val="nil"/>
              <w:bottom w:val="nil"/>
              <w:right w:val="single" w:sz="8" w:space="0" w:color="auto"/>
            </w:tcBorders>
            <w:shd w:val="clear" w:color="auto" w:fill="auto"/>
            <w:noWrap/>
            <w:vAlign w:val="bottom"/>
            <w:hideMark/>
          </w:tcPr>
          <w:p w14:paraId="345589AD" w14:textId="77777777" w:rsidR="003E1CB6" w:rsidRPr="00A46020" w:rsidRDefault="003E1CB6" w:rsidP="00F00D37">
            <w:pPr>
              <w:spacing w:after="0" w:line="240" w:lineRule="auto"/>
              <w:rPr>
                <w:rFonts w:ascii="Times New Roman" w:eastAsia="Times New Roman" w:hAnsi="Times New Roman" w:cs="Times New Roman"/>
                <w:sz w:val="24"/>
                <w:szCs w:val="24"/>
                <w:lang w:val="en-GB" w:eastAsia="en-GB"/>
              </w:rPr>
            </w:pPr>
          </w:p>
        </w:tc>
        <w:tc>
          <w:tcPr>
            <w:tcW w:w="5238" w:type="dxa"/>
            <w:gridSpan w:val="3"/>
            <w:tcBorders>
              <w:top w:val="single" w:sz="8" w:space="0" w:color="auto"/>
              <w:left w:val="single" w:sz="8" w:space="0" w:color="auto"/>
              <w:bottom w:val="single" w:sz="8" w:space="0" w:color="auto"/>
              <w:right w:val="single" w:sz="8" w:space="0" w:color="auto"/>
            </w:tcBorders>
            <w:shd w:val="clear" w:color="000000" w:fill="BFBFBF"/>
            <w:vAlign w:val="center"/>
            <w:hideMark/>
          </w:tcPr>
          <w:p w14:paraId="508F8E62"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Family structure</w:t>
            </w:r>
          </w:p>
        </w:tc>
      </w:tr>
      <w:tr w:rsidR="003E1CB6" w:rsidRPr="00A46020" w14:paraId="4CB1B1FE" w14:textId="77777777" w:rsidTr="00A965C3">
        <w:trPr>
          <w:trHeight w:val="1403"/>
        </w:trPr>
        <w:tc>
          <w:tcPr>
            <w:tcW w:w="1602"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3AE10E20" w14:textId="0EC311CE"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No. of school change</w:t>
            </w:r>
            <w:r w:rsidR="00621B61">
              <w:rPr>
                <w:rFonts w:ascii="Calibri" w:eastAsia="Times New Roman" w:hAnsi="Calibri" w:cs="Calibri"/>
                <w:color w:val="000000"/>
                <w:lang w:val="en-GB" w:eastAsia="en-GB"/>
              </w:rPr>
              <w:t xml:space="preserve"> due to moving</w:t>
            </w:r>
          </w:p>
        </w:tc>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6E7BD56" w14:textId="4C46C066" w:rsidR="003E1CB6" w:rsidRPr="00A46020"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I</w:t>
            </w:r>
            <w:r w:rsidR="003E1CB6" w:rsidRPr="00A46020">
              <w:rPr>
                <w:rFonts w:ascii="Calibri" w:eastAsia="Times New Roman" w:hAnsi="Calibri" w:cs="Calibri"/>
                <w:color w:val="000000"/>
                <w:lang w:val="en-GB" w:eastAsia="en-GB"/>
              </w:rPr>
              <w:t>ntact</w:t>
            </w:r>
          </w:p>
        </w:tc>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35772AB" w14:textId="449D1F82" w:rsidR="003E1CB6" w:rsidRPr="00A46020" w:rsidRDefault="00720627" w:rsidP="00F00D37">
            <w:pPr>
              <w:spacing w:after="0" w:line="240" w:lineRule="auto"/>
              <w:jc w:val="center"/>
              <w:rPr>
                <w:rFonts w:ascii="Calibri" w:eastAsia="Times New Roman" w:hAnsi="Calibri" w:cs="Calibri"/>
                <w:color w:val="000000"/>
                <w:lang w:val="en-GB" w:eastAsia="en-GB"/>
              </w:rPr>
            </w:pPr>
            <w:r>
              <w:rPr>
                <w:rFonts w:ascii="Calibri" w:eastAsia="Times New Roman" w:hAnsi="Calibri" w:cs="Calibri"/>
                <w:color w:val="000000"/>
                <w:lang w:val="en-GB" w:eastAsia="en-GB"/>
              </w:rPr>
              <w:t>N</w:t>
            </w:r>
            <w:r w:rsidR="007A3AB0">
              <w:rPr>
                <w:rFonts w:ascii="Calibri" w:eastAsia="Times New Roman" w:hAnsi="Calibri" w:cs="Calibri"/>
                <w:color w:val="000000"/>
                <w:lang w:val="en-GB" w:eastAsia="en-GB"/>
              </w:rPr>
              <w:t>on-</w:t>
            </w:r>
            <w:r w:rsidR="003E1CB6" w:rsidRPr="00A46020">
              <w:rPr>
                <w:rFonts w:ascii="Calibri" w:eastAsia="Times New Roman" w:hAnsi="Calibri" w:cs="Calibri"/>
                <w:color w:val="000000"/>
                <w:lang w:val="en-GB" w:eastAsia="en-GB"/>
              </w:rPr>
              <w:t>intact</w:t>
            </w:r>
          </w:p>
        </w:tc>
        <w:tc>
          <w:tcPr>
            <w:tcW w:w="203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CD6EF93"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Total</w:t>
            </w:r>
          </w:p>
        </w:tc>
      </w:tr>
      <w:tr w:rsidR="003E1CB6" w:rsidRPr="00A46020" w14:paraId="22658336" w14:textId="77777777" w:rsidTr="00A965C3">
        <w:trPr>
          <w:trHeight w:val="458"/>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58064413"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6E6ED6"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93.29%</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9ECABA"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83.34%</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D42A3E"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89.93%</w:t>
            </w:r>
          </w:p>
        </w:tc>
      </w:tr>
      <w:tr w:rsidR="003E1CB6" w:rsidRPr="00A46020" w14:paraId="3E68A415" w14:textId="77777777" w:rsidTr="00A965C3">
        <w:trPr>
          <w:trHeight w:val="458"/>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B677DAB"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4CD4CD"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5.68%</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8C817B"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12.04%</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5030B0"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7.81%</w:t>
            </w:r>
          </w:p>
        </w:tc>
      </w:tr>
      <w:tr w:rsidR="003E1CB6" w:rsidRPr="00A46020" w14:paraId="6ED56958" w14:textId="77777777" w:rsidTr="00A965C3">
        <w:trPr>
          <w:trHeight w:val="458"/>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F6B92CB"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2</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EB556D"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0.84%</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393514"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3.41%</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B60B1E"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1.72%</w:t>
            </w:r>
          </w:p>
        </w:tc>
      </w:tr>
      <w:tr w:rsidR="003E1CB6" w:rsidRPr="00A46020" w14:paraId="4B3064EE" w14:textId="77777777" w:rsidTr="00A965C3">
        <w:trPr>
          <w:trHeight w:val="458"/>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C37411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3</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C8ED64"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0.17%</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47ED9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0.91%</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72B903"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0.43%</w:t>
            </w:r>
          </w:p>
        </w:tc>
      </w:tr>
      <w:tr w:rsidR="003E1CB6" w:rsidRPr="00A46020" w14:paraId="63DBE18C" w14:textId="77777777" w:rsidTr="00A965C3">
        <w:trPr>
          <w:trHeight w:val="482"/>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1A9CEB2F"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4</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F7330F"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0.02%</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6E76C6"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0.29%</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CF9034"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0.11%</w:t>
            </w:r>
          </w:p>
        </w:tc>
      </w:tr>
      <w:tr w:rsidR="003E1CB6" w:rsidRPr="00A46020" w14:paraId="438DF214" w14:textId="77777777" w:rsidTr="00A965C3">
        <w:trPr>
          <w:trHeight w:val="498"/>
        </w:trPr>
        <w:tc>
          <w:tcPr>
            <w:tcW w:w="160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5689CB7"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Total</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50DEB1"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w:t>
            </w:r>
          </w:p>
        </w:tc>
        <w:tc>
          <w:tcPr>
            <w:tcW w:w="16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7BE75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w:t>
            </w:r>
          </w:p>
        </w:tc>
        <w:tc>
          <w:tcPr>
            <w:tcW w:w="203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66F9E8" w14:textId="77777777" w:rsidR="003E1CB6" w:rsidRPr="00A46020" w:rsidRDefault="003E1CB6" w:rsidP="00F00D37">
            <w:pPr>
              <w:spacing w:after="0" w:line="240" w:lineRule="auto"/>
              <w:jc w:val="center"/>
              <w:rPr>
                <w:rFonts w:ascii="Calibri" w:eastAsia="Times New Roman" w:hAnsi="Calibri" w:cs="Calibri"/>
                <w:color w:val="000000"/>
                <w:lang w:val="en-GB" w:eastAsia="en-GB"/>
              </w:rPr>
            </w:pPr>
            <w:r w:rsidRPr="00A46020">
              <w:rPr>
                <w:rFonts w:ascii="Calibri" w:eastAsia="Times New Roman" w:hAnsi="Calibri" w:cs="Calibri"/>
                <w:color w:val="000000"/>
                <w:lang w:val="en-GB" w:eastAsia="en-GB"/>
              </w:rPr>
              <w:t>100%</w:t>
            </w:r>
          </w:p>
        </w:tc>
      </w:tr>
    </w:tbl>
    <w:p w14:paraId="3A998FBB" w14:textId="313F8ED4" w:rsidR="00F06DE1" w:rsidRDefault="00F06DE1" w:rsidP="003E1CB6">
      <w:pPr>
        <w:spacing w:line="360" w:lineRule="auto"/>
        <w:jc w:val="both"/>
        <w:rPr>
          <w:rFonts w:cstheme="minorHAnsi"/>
          <w:noProof/>
          <w:sz w:val="24"/>
          <w:szCs w:val="24"/>
          <w:lang w:val="hu-HU"/>
        </w:rPr>
      </w:pPr>
    </w:p>
    <w:p w14:paraId="6E5729C3" w14:textId="0CCE4644" w:rsidR="000717F2" w:rsidRDefault="000717F2" w:rsidP="000717F2">
      <w:pPr>
        <w:spacing w:line="360" w:lineRule="auto"/>
        <w:jc w:val="center"/>
        <w:rPr>
          <w:rFonts w:cstheme="minorHAnsi"/>
          <w:b/>
          <w:bCs/>
          <w:sz w:val="24"/>
          <w:szCs w:val="24"/>
        </w:rPr>
      </w:pPr>
      <w:r w:rsidRPr="000717F2">
        <w:rPr>
          <w:rFonts w:cstheme="minorHAnsi"/>
          <w:b/>
          <w:bCs/>
          <w:sz w:val="24"/>
          <w:szCs w:val="24"/>
        </w:rPr>
        <w:t>Description of variables</w:t>
      </w:r>
    </w:p>
    <w:p w14:paraId="1C0228BE" w14:textId="23F8558E" w:rsidR="000717F2" w:rsidRPr="00274813" w:rsidRDefault="000717F2" w:rsidP="008D4427">
      <w:pPr>
        <w:spacing w:line="360" w:lineRule="auto"/>
        <w:jc w:val="both"/>
        <w:rPr>
          <w:rFonts w:cstheme="minorHAnsi"/>
          <w:sz w:val="24"/>
          <w:szCs w:val="24"/>
        </w:rPr>
      </w:pPr>
      <w:r>
        <w:rPr>
          <w:rFonts w:cstheme="minorHAnsi"/>
          <w:b/>
          <w:bCs/>
          <w:sz w:val="24"/>
          <w:szCs w:val="24"/>
        </w:rPr>
        <w:t>GPA</w:t>
      </w:r>
      <w:r w:rsidR="008D4427">
        <w:rPr>
          <w:rFonts w:cstheme="minorHAnsi"/>
          <w:b/>
          <w:bCs/>
          <w:sz w:val="24"/>
          <w:szCs w:val="24"/>
        </w:rPr>
        <w:t xml:space="preserve"> (float)</w:t>
      </w:r>
      <w:r>
        <w:rPr>
          <w:rFonts w:cstheme="minorHAnsi"/>
          <w:b/>
          <w:bCs/>
          <w:sz w:val="24"/>
          <w:szCs w:val="24"/>
        </w:rPr>
        <w:t>:</w:t>
      </w:r>
      <w:r w:rsidR="00274813">
        <w:rPr>
          <w:rFonts w:cstheme="minorHAnsi"/>
          <w:b/>
          <w:bCs/>
          <w:sz w:val="24"/>
          <w:szCs w:val="24"/>
        </w:rPr>
        <w:t xml:space="preserve"> </w:t>
      </w:r>
      <w:r w:rsidR="00274813">
        <w:rPr>
          <w:rFonts w:cstheme="minorHAnsi"/>
          <w:sz w:val="24"/>
          <w:szCs w:val="24"/>
        </w:rPr>
        <w:t>The arithmetic average of all subject grades ranging from 1 (fail) to 5 (excellent).</w:t>
      </w:r>
    </w:p>
    <w:p w14:paraId="5BCB27C3" w14:textId="38453D2C" w:rsidR="000717F2" w:rsidRPr="00274813" w:rsidRDefault="000717F2" w:rsidP="008D4427">
      <w:pPr>
        <w:tabs>
          <w:tab w:val="left" w:pos="6237"/>
        </w:tabs>
        <w:spacing w:line="360" w:lineRule="auto"/>
        <w:jc w:val="both"/>
        <w:rPr>
          <w:rFonts w:cstheme="minorHAnsi"/>
          <w:sz w:val="24"/>
          <w:szCs w:val="24"/>
        </w:rPr>
      </w:pPr>
      <w:r>
        <w:rPr>
          <w:rFonts w:cstheme="minorHAnsi"/>
          <w:b/>
          <w:bCs/>
          <w:sz w:val="24"/>
          <w:szCs w:val="24"/>
        </w:rPr>
        <w:t>Roma-origin</w:t>
      </w:r>
      <w:r w:rsidR="008D4427">
        <w:rPr>
          <w:rFonts w:cstheme="minorHAnsi"/>
          <w:b/>
          <w:bCs/>
          <w:sz w:val="24"/>
          <w:szCs w:val="24"/>
        </w:rPr>
        <w:t xml:space="preserve"> (binary)</w:t>
      </w:r>
      <w:r>
        <w:rPr>
          <w:rFonts w:cstheme="minorHAnsi"/>
          <w:b/>
          <w:bCs/>
          <w:sz w:val="24"/>
          <w:szCs w:val="24"/>
        </w:rPr>
        <w:t>:</w:t>
      </w:r>
      <w:r w:rsidR="00274813">
        <w:rPr>
          <w:rFonts w:cstheme="minorHAnsi"/>
          <w:b/>
          <w:bCs/>
          <w:sz w:val="24"/>
          <w:szCs w:val="24"/>
        </w:rPr>
        <w:t xml:space="preserve"> </w:t>
      </w:r>
      <w:r w:rsidR="00274813">
        <w:rPr>
          <w:rFonts w:cstheme="minorHAnsi"/>
          <w:sz w:val="24"/>
          <w:szCs w:val="24"/>
        </w:rPr>
        <w:t xml:space="preserve">The caretaker mother and father of the respondents were asked whether they have a Roma-origin, and if at least one of them identified themselves as a Roma (primarily or secondarily), the dummy of one was assigned to the categorical variable. </w:t>
      </w:r>
    </w:p>
    <w:p w14:paraId="4CD792FA" w14:textId="63DDD015" w:rsidR="000717F2" w:rsidRDefault="000717F2" w:rsidP="008D4427">
      <w:pPr>
        <w:spacing w:line="360" w:lineRule="auto"/>
        <w:jc w:val="both"/>
        <w:rPr>
          <w:rFonts w:cstheme="minorHAnsi"/>
          <w:sz w:val="24"/>
          <w:szCs w:val="24"/>
        </w:rPr>
      </w:pPr>
      <w:r>
        <w:rPr>
          <w:rFonts w:cstheme="minorHAnsi"/>
          <w:b/>
          <w:bCs/>
          <w:sz w:val="24"/>
          <w:szCs w:val="24"/>
        </w:rPr>
        <w:t>Health status</w:t>
      </w:r>
      <w:r w:rsidR="008D4427">
        <w:rPr>
          <w:rFonts w:cstheme="minorHAnsi"/>
          <w:b/>
          <w:bCs/>
          <w:sz w:val="24"/>
          <w:szCs w:val="24"/>
        </w:rPr>
        <w:t xml:space="preserve"> (categorical)</w:t>
      </w:r>
      <w:r>
        <w:rPr>
          <w:rFonts w:cstheme="minorHAnsi"/>
          <w:b/>
          <w:bCs/>
          <w:sz w:val="24"/>
          <w:szCs w:val="24"/>
        </w:rPr>
        <w:t>:</w:t>
      </w:r>
      <w:r w:rsidR="00274813">
        <w:rPr>
          <w:rFonts w:cstheme="minorHAnsi"/>
          <w:b/>
          <w:bCs/>
          <w:sz w:val="24"/>
          <w:szCs w:val="24"/>
        </w:rPr>
        <w:t xml:space="preserve"> </w:t>
      </w:r>
      <w:r w:rsidR="00274813">
        <w:rPr>
          <w:rFonts w:cstheme="minorHAnsi"/>
          <w:sz w:val="24"/>
          <w:szCs w:val="24"/>
        </w:rPr>
        <w:t>Respondents were asked the following question with the options listed below:</w:t>
      </w:r>
    </w:p>
    <w:p w14:paraId="2B524160" w14:textId="63F8FBCE" w:rsidR="008C55E8" w:rsidRPr="00A764F4" w:rsidRDefault="008C55E8" w:rsidP="00A764F4">
      <w:pPr>
        <w:pStyle w:val="kerd"/>
        <w:numPr>
          <w:ilvl w:val="0"/>
          <w:numId w:val="0"/>
        </w:numPr>
        <w:ind w:left="720"/>
        <w:jc w:val="both"/>
        <w:rPr>
          <w:rFonts w:asciiTheme="minorHAnsi" w:eastAsiaTheme="minorHAnsi" w:hAnsiTheme="minorHAnsi" w:cstheme="minorHAnsi"/>
          <w:i/>
          <w:iCs/>
          <w:sz w:val="24"/>
          <w:szCs w:val="24"/>
          <w:lang w:val="en-US" w:eastAsia="en-US"/>
        </w:rPr>
      </w:pPr>
      <w:r w:rsidRPr="00A764F4">
        <w:rPr>
          <w:rFonts w:asciiTheme="minorHAnsi" w:eastAsiaTheme="minorHAnsi" w:hAnsiTheme="minorHAnsi"/>
          <w:i/>
          <w:iCs/>
          <w:sz w:val="24"/>
          <w:szCs w:val="24"/>
          <w:lang w:eastAsia="en-US"/>
        </w:rPr>
        <w:t>How would you rate the state of your health?</w:t>
      </w:r>
    </w:p>
    <w:p w14:paraId="61E0E700" w14:textId="77777777" w:rsidR="008D4427" w:rsidRPr="008D4427" w:rsidRDefault="008D4427" w:rsidP="008D4427">
      <w:pPr>
        <w:pStyle w:val="kerd"/>
        <w:numPr>
          <w:ilvl w:val="0"/>
          <w:numId w:val="0"/>
        </w:numPr>
        <w:ind w:left="720"/>
        <w:jc w:val="both"/>
        <w:rPr>
          <w:rFonts w:asciiTheme="minorHAnsi" w:eastAsiaTheme="minorHAnsi" w:hAnsiTheme="minorHAnsi" w:cstheme="minorHAnsi"/>
          <w:sz w:val="24"/>
          <w:szCs w:val="24"/>
          <w:lang w:val="en-US" w:eastAsia="en-US"/>
        </w:rPr>
      </w:pPr>
    </w:p>
    <w:p w14:paraId="494A6B86" w14:textId="78BA0CB3" w:rsidR="008D4427" w:rsidRPr="008D4427" w:rsidRDefault="008D4427" w:rsidP="008D4427">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1 – Excellent</w:t>
      </w:r>
    </w:p>
    <w:p w14:paraId="470BE0DA" w14:textId="15061622" w:rsidR="008D4427" w:rsidRPr="008D4427" w:rsidRDefault="008D4427" w:rsidP="008D4427">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2 – Good</w:t>
      </w:r>
    </w:p>
    <w:p w14:paraId="2DBDD7A0" w14:textId="76FA6FCF" w:rsidR="008D4427" w:rsidRPr="008D4427" w:rsidRDefault="00F85FFA" w:rsidP="008D4427">
      <w:pPr>
        <w:pStyle w:val="v1"/>
        <w:ind w:left="720" w:firstLine="0"/>
        <w:jc w:val="both"/>
        <w:rPr>
          <w:rFonts w:asciiTheme="minorHAnsi" w:eastAsiaTheme="minorHAnsi" w:hAnsiTheme="minorHAnsi"/>
          <w:sz w:val="24"/>
          <w:szCs w:val="24"/>
          <w:lang w:eastAsia="en-US"/>
        </w:rPr>
      </w:pPr>
      <w:r>
        <w:rPr>
          <w:rFonts w:asciiTheme="minorHAnsi" w:eastAsiaTheme="minorHAnsi" w:hAnsiTheme="minorHAnsi"/>
          <w:sz w:val="24"/>
          <w:szCs w:val="24"/>
          <w:lang w:eastAsia="en-US"/>
        </w:rPr>
        <w:t>3</w:t>
      </w:r>
      <w:r w:rsidR="008D4427" w:rsidRPr="008D4427">
        <w:rPr>
          <w:rFonts w:asciiTheme="minorHAnsi" w:eastAsiaTheme="minorHAnsi" w:hAnsiTheme="minorHAnsi"/>
          <w:sz w:val="24"/>
          <w:szCs w:val="24"/>
          <w:lang w:eastAsia="en-US"/>
        </w:rPr>
        <w:t xml:space="preserve"> – satisfactory or</w:t>
      </w:r>
    </w:p>
    <w:p w14:paraId="72313C45" w14:textId="2DEC85AF" w:rsidR="00274813" w:rsidRDefault="008D4427" w:rsidP="008D4427">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4 – bad?</w:t>
      </w:r>
    </w:p>
    <w:p w14:paraId="1AF06749" w14:textId="77777777" w:rsidR="008D4427" w:rsidRPr="008D4427" w:rsidRDefault="008D4427" w:rsidP="008D4427">
      <w:pPr>
        <w:pStyle w:val="v1"/>
        <w:ind w:left="720" w:firstLine="0"/>
        <w:jc w:val="both"/>
        <w:rPr>
          <w:rFonts w:asciiTheme="minorHAnsi" w:eastAsiaTheme="minorHAnsi" w:hAnsiTheme="minorHAnsi"/>
          <w:sz w:val="24"/>
          <w:szCs w:val="24"/>
          <w:lang w:eastAsia="en-US"/>
        </w:rPr>
      </w:pPr>
    </w:p>
    <w:p w14:paraId="75B45AD4" w14:textId="2A38092F" w:rsidR="008D4427" w:rsidRPr="008D4427" w:rsidRDefault="000717F2" w:rsidP="008D4427">
      <w:pPr>
        <w:spacing w:line="360" w:lineRule="auto"/>
        <w:jc w:val="both"/>
        <w:rPr>
          <w:rFonts w:cstheme="minorHAnsi"/>
          <w:sz w:val="24"/>
          <w:szCs w:val="24"/>
        </w:rPr>
      </w:pPr>
      <w:r>
        <w:rPr>
          <w:rFonts w:cstheme="minorHAnsi"/>
          <w:b/>
          <w:bCs/>
          <w:sz w:val="24"/>
          <w:szCs w:val="24"/>
        </w:rPr>
        <w:t>Birthweight</w:t>
      </w:r>
      <w:r w:rsidR="008D4427">
        <w:rPr>
          <w:rFonts w:cstheme="minorHAnsi"/>
          <w:b/>
          <w:bCs/>
          <w:sz w:val="24"/>
          <w:szCs w:val="24"/>
        </w:rPr>
        <w:t xml:space="preserve"> (binary)</w:t>
      </w:r>
      <w:r>
        <w:rPr>
          <w:rFonts w:cstheme="minorHAnsi"/>
          <w:b/>
          <w:bCs/>
          <w:sz w:val="24"/>
          <w:szCs w:val="24"/>
        </w:rPr>
        <w:t>:</w:t>
      </w:r>
      <w:r w:rsidR="008D4427">
        <w:rPr>
          <w:rFonts w:cstheme="minorHAnsi"/>
          <w:b/>
          <w:bCs/>
          <w:sz w:val="24"/>
          <w:szCs w:val="24"/>
        </w:rPr>
        <w:t xml:space="preserve"> </w:t>
      </w:r>
      <w:r w:rsidR="008D4427">
        <w:rPr>
          <w:rFonts w:cstheme="minorHAnsi"/>
          <w:sz w:val="24"/>
          <w:szCs w:val="24"/>
        </w:rPr>
        <w:t>Reported birthweight in grams. As in the cited literatures, I also used the threshold of 2,500 grams as a measure of low birthweight. Therefore, the variable is a dummy construction which takes one if the respondent born with a low birthweight (below 2,500 grams).</w:t>
      </w:r>
    </w:p>
    <w:p w14:paraId="19427F3C" w14:textId="7EF587C7" w:rsidR="000717F2" w:rsidRPr="006B6553" w:rsidRDefault="000717F2" w:rsidP="003E1CB6">
      <w:pPr>
        <w:spacing w:line="360" w:lineRule="auto"/>
        <w:jc w:val="both"/>
        <w:rPr>
          <w:rFonts w:cstheme="minorHAnsi"/>
          <w:sz w:val="24"/>
          <w:szCs w:val="24"/>
        </w:rPr>
      </w:pPr>
      <w:r>
        <w:rPr>
          <w:rFonts w:cstheme="minorHAnsi"/>
          <w:b/>
          <w:bCs/>
          <w:sz w:val="24"/>
          <w:szCs w:val="24"/>
        </w:rPr>
        <w:lastRenderedPageBreak/>
        <w:t>No. Minors</w:t>
      </w:r>
      <w:r w:rsidR="00CB0F25">
        <w:rPr>
          <w:rFonts w:cstheme="minorHAnsi"/>
          <w:b/>
          <w:bCs/>
          <w:sz w:val="24"/>
          <w:szCs w:val="24"/>
        </w:rPr>
        <w:t xml:space="preserve"> (integer)</w:t>
      </w:r>
      <w:r w:rsidR="00420765">
        <w:rPr>
          <w:rFonts w:cstheme="minorHAnsi"/>
          <w:b/>
          <w:bCs/>
          <w:sz w:val="24"/>
          <w:szCs w:val="24"/>
        </w:rPr>
        <w:t>:</w:t>
      </w:r>
      <w:r w:rsidR="006B6553">
        <w:rPr>
          <w:rFonts w:cstheme="minorHAnsi"/>
          <w:b/>
          <w:bCs/>
          <w:sz w:val="24"/>
          <w:szCs w:val="24"/>
        </w:rPr>
        <w:t xml:space="preserve"> </w:t>
      </w:r>
      <w:r w:rsidR="006B6553">
        <w:rPr>
          <w:rFonts w:cstheme="minorHAnsi"/>
          <w:sz w:val="24"/>
          <w:szCs w:val="24"/>
        </w:rPr>
        <w:t xml:space="preserve">Respondent were asked on the number of </w:t>
      </w:r>
      <w:r w:rsidR="0092022C">
        <w:rPr>
          <w:rFonts w:cstheme="minorHAnsi"/>
          <w:sz w:val="24"/>
          <w:szCs w:val="24"/>
        </w:rPr>
        <w:t>minors in different age groups (0-3, 4-6, 7-14, 15-18 of age) within the household. The variable aggregates all age groups to determine the minor cohabitants.</w:t>
      </w:r>
    </w:p>
    <w:p w14:paraId="0A184BDA" w14:textId="5C8541E5" w:rsidR="000717F2" w:rsidRDefault="000717F2" w:rsidP="003E1CB6">
      <w:pPr>
        <w:spacing w:line="360" w:lineRule="auto"/>
        <w:jc w:val="both"/>
        <w:rPr>
          <w:rFonts w:cstheme="minorHAnsi"/>
          <w:b/>
          <w:bCs/>
          <w:sz w:val="24"/>
          <w:szCs w:val="24"/>
        </w:rPr>
      </w:pPr>
      <w:r>
        <w:rPr>
          <w:rFonts w:cstheme="minorHAnsi"/>
          <w:b/>
          <w:bCs/>
          <w:sz w:val="24"/>
          <w:szCs w:val="24"/>
        </w:rPr>
        <w:t>School Type</w:t>
      </w:r>
      <w:r w:rsidR="00420765">
        <w:rPr>
          <w:rFonts w:cstheme="minorHAnsi"/>
          <w:b/>
          <w:bCs/>
          <w:sz w:val="24"/>
          <w:szCs w:val="24"/>
        </w:rPr>
        <w:t xml:space="preserve"> (categorical)</w:t>
      </w:r>
      <w:r>
        <w:rPr>
          <w:rFonts w:cstheme="minorHAnsi"/>
          <w:b/>
          <w:bCs/>
          <w:sz w:val="24"/>
          <w:szCs w:val="24"/>
        </w:rPr>
        <w:t>:</w:t>
      </w:r>
      <w:r w:rsidR="00186DD4">
        <w:rPr>
          <w:rFonts w:cstheme="minorHAnsi"/>
          <w:b/>
          <w:bCs/>
          <w:sz w:val="24"/>
          <w:szCs w:val="24"/>
        </w:rPr>
        <w:t xml:space="preserve"> </w:t>
      </w:r>
      <w:r w:rsidR="00186DD4">
        <w:rPr>
          <w:rFonts w:cstheme="minorHAnsi"/>
          <w:sz w:val="24"/>
          <w:szCs w:val="24"/>
        </w:rPr>
        <w:t>Respondents were asked the following question with the options listed below:</w:t>
      </w:r>
    </w:p>
    <w:p w14:paraId="35A43CB7" w14:textId="1C38A8A6" w:rsidR="00186DD4" w:rsidRPr="00A764F4" w:rsidRDefault="00186DD4" w:rsidP="00A764F4">
      <w:pPr>
        <w:pStyle w:val="kerd"/>
        <w:numPr>
          <w:ilvl w:val="0"/>
          <w:numId w:val="0"/>
        </w:numPr>
        <w:ind w:left="720"/>
        <w:jc w:val="both"/>
        <w:rPr>
          <w:rFonts w:asciiTheme="minorHAnsi" w:eastAsiaTheme="minorHAnsi" w:hAnsiTheme="minorHAnsi"/>
          <w:i/>
          <w:iCs/>
          <w:sz w:val="24"/>
          <w:szCs w:val="24"/>
          <w:lang w:eastAsia="en-US"/>
        </w:rPr>
      </w:pPr>
      <w:r w:rsidRPr="00A764F4">
        <w:rPr>
          <w:rFonts w:asciiTheme="minorHAnsi" w:eastAsiaTheme="minorHAnsi" w:hAnsiTheme="minorHAnsi"/>
          <w:i/>
          <w:iCs/>
          <w:sz w:val="24"/>
          <w:szCs w:val="24"/>
          <w:lang w:eastAsia="en-US"/>
        </w:rPr>
        <w:t>What type of school does he/she go to?</w:t>
      </w:r>
    </w:p>
    <w:p w14:paraId="44AA9869" w14:textId="77777777" w:rsidR="00186DD4" w:rsidRDefault="00186DD4" w:rsidP="00186DD4">
      <w:pPr>
        <w:pStyle w:val="kerd"/>
        <w:numPr>
          <w:ilvl w:val="0"/>
          <w:numId w:val="0"/>
        </w:numPr>
        <w:ind w:left="720"/>
        <w:jc w:val="both"/>
        <w:rPr>
          <w:rFonts w:asciiTheme="minorHAnsi" w:eastAsiaTheme="minorHAnsi" w:hAnsiTheme="minorHAnsi"/>
          <w:sz w:val="24"/>
          <w:szCs w:val="24"/>
          <w:lang w:eastAsia="en-US"/>
        </w:rPr>
      </w:pPr>
    </w:p>
    <w:p w14:paraId="19347794" w14:textId="673F114C" w:rsidR="00186DD4" w:rsidRPr="008D4427" w:rsidRDefault="00186DD4" w:rsidP="00186DD4">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 xml:space="preserve">1 – </w:t>
      </w:r>
      <w:r w:rsidRPr="00186DD4">
        <w:rPr>
          <w:rFonts w:asciiTheme="minorHAnsi" w:eastAsiaTheme="minorHAnsi" w:hAnsiTheme="minorHAnsi"/>
          <w:sz w:val="24"/>
          <w:szCs w:val="24"/>
          <w:lang w:eastAsia="en-US"/>
        </w:rPr>
        <w:t>general school</w:t>
      </w:r>
    </w:p>
    <w:p w14:paraId="0CDC1A72" w14:textId="00920828" w:rsidR="00186DD4" w:rsidRPr="008D4427" w:rsidRDefault="00186DD4" w:rsidP="00186DD4">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 xml:space="preserve">2 – </w:t>
      </w:r>
      <w:r w:rsidRPr="00186DD4">
        <w:rPr>
          <w:rFonts w:asciiTheme="minorHAnsi" w:eastAsiaTheme="minorHAnsi" w:hAnsiTheme="minorHAnsi"/>
          <w:sz w:val="24"/>
          <w:szCs w:val="24"/>
          <w:lang w:eastAsia="en-US"/>
        </w:rPr>
        <w:t>vocational (formerly: skilled worker) training school</w:t>
      </w:r>
    </w:p>
    <w:p w14:paraId="72EF4B4C" w14:textId="29ADF30D" w:rsidR="00186DD4" w:rsidRPr="008D4427" w:rsidRDefault="00186DD4" w:rsidP="00186DD4">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 xml:space="preserve">3 – </w:t>
      </w:r>
      <w:r w:rsidRPr="00186DD4">
        <w:rPr>
          <w:rFonts w:asciiTheme="minorHAnsi" w:eastAsiaTheme="minorHAnsi" w:hAnsiTheme="minorHAnsi"/>
          <w:sz w:val="24"/>
          <w:szCs w:val="24"/>
          <w:lang w:eastAsia="en-US"/>
        </w:rPr>
        <w:t>vocational secondary school</w:t>
      </w:r>
    </w:p>
    <w:p w14:paraId="6128922D" w14:textId="4AABAA52" w:rsidR="00186DD4" w:rsidRPr="00186DD4" w:rsidRDefault="00186DD4" w:rsidP="00186DD4">
      <w:pPr>
        <w:pStyle w:val="v1"/>
        <w:ind w:left="720" w:firstLine="0"/>
        <w:jc w:val="both"/>
        <w:rPr>
          <w:rFonts w:asciiTheme="minorHAnsi" w:eastAsiaTheme="minorHAnsi" w:hAnsiTheme="minorHAnsi"/>
          <w:sz w:val="24"/>
          <w:szCs w:val="24"/>
          <w:lang w:eastAsia="en-US"/>
        </w:rPr>
      </w:pPr>
      <w:r w:rsidRPr="008D4427">
        <w:rPr>
          <w:rFonts w:asciiTheme="minorHAnsi" w:eastAsiaTheme="minorHAnsi" w:hAnsiTheme="minorHAnsi"/>
          <w:sz w:val="24"/>
          <w:szCs w:val="24"/>
          <w:lang w:eastAsia="en-US"/>
        </w:rPr>
        <w:t xml:space="preserve">4 – </w:t>
      </w:r>
      <w:proofErr w:type="gramStart"/>
      <w:r w:rsidRPr="00186DD4">
        <w:rPr>
          <w:rFonts w:asciiTheme="minorHAnsi" w:eastAsiaTheme="minorHAnsi" w:hAnsiTheme="minorHAnsi"/>
          <w:sz w:val="24"/>
          <w:szCs w:val="24"/>
          <w:lang w:eastAsia="en-US"/>
        </w:rPr>
        <w:t>4 year</w:t>
      </w:r>
      <w:proofErr w:type="gramEnd"/>
      <w:r w:rsidRPr="00186DD4">
        <w:rPr>
          <w:rFonts w:asciiTheme="minorHAnsi" w:eastAsiaTheme="minorHAnsi" w:hAnsiTheme="minorHAnsi"/>
          <w:sz w:val="24"/>
          <w:szCs w:val="24"/>
          <w:lang w:eastAsia="en-US"/>
        </w:rPr>
        <w:t xml:space="preserve"> academic secondary school</w:t>
      </w:r>
    </w:p>
    <w:p w14:paraId="3C6FFC2A" w14:textId="357CC3DD" w:rsidR="00186DD4" w:rsidRDefault="00186DD4" w:rsidP="00186DD4">
      <w:pPr>
        <w:pStyle w:val="v1"/>
        <w:ind w:left="720" w:firstLine="0"/>
        <w:jc w:val="both"/>
        <w:rPr>
          <w:rFonts w:asciiTheme="minorHAnsi" w:eastAsiaTheme="minorHAnsi" w:hAnsiTheme="minorHAnsi"/>
          <w:sz w:val="24"/>
          <w:szCs w:val="24"/>
          <w:lang w:eastAsia="en-US"/>
        </w:rPr>
      </w:pPr>
      <w:r>
        <w:rPr>
          <w:rFonts w:asciiTheme="minorHAnsi" w:eastAsiaTheme="minorHAnsi" w:hAnsiTheme="minorHAnsi"/>
          <w:sz w:val="24"/>
          <w:szCs w:val="24"/>
          <w:lang w:eastAsia="en-US"/>
        </w:rPr>
        <w:t>5</w:t>
      </w:r>
      <w:r w:rsidRPr="008D4427">
        <w:rPr>
          <w:rFonts w:asciiTheme="minorHAnsi" w:eastAsiaTheme="minorHAnsi" w:hAnsiTheme="minorHAnsi"/>
          <w:sz w:val="24"/>
          <w:szCs w:val="24"/>
          <w:lang w:eastAsia="en-US"/>
        </w:rPr>
        <w:t xml:space="preserve"> – </w:t>
      </w:r>
      <w:proofErr w:type="gramStart"/>
      <w:r w:rsidRPr="00186DD4">
        <w:rPr>
          <w:rFonts w:asciiTheme="minorHAnsi" w:eastAsiaTheme="minorHAnsi" w:hAnsiTheme="minorHAnsi"/>
          <w:sz w:val="24"/>
          <w:szCs w:val="24"/>
          <w:lang w:eastAsia="en-US"/>
        </w:rPr>
        <w:t>6 year</w:t>
      </w:r>
      <w:proofErr w:type="gramEnd"/>
      <w:r w:rsidRPr="00186DD4">
        <w:rPr>
          <w:rFonts w:asciiTheme="minorHAnsi" w:eastAsiaTheme="minorHAnsi" w:hAnsiTheme="minorHAnsi"/>
          <w:sz w:val="24"/>
          <w:szCs w:val="24"/>
          <w:lang w:eastAsia="en-US"/>
        </w:rPr>
        <w:t xml:space="preserve"> academic secondary school</w:t>
      </w:r>
    </w:p>
    <w:p w14:paraId="761801BC" w14:textId="67DD27DD" w:rsidR="00186DD4" w:rsidRPr="00186DD4" w:rsidRDefault="00186DD4" w:rsidP="00186DD4">
      <w:pPr>
        <w:pStyle w:val="v1"/>
        <w:ind w:left="720" w:firstLine="0"/>
        <w:jc w:val="both"/>
        <w:rPr>
          <w:rFonts w:asciiTheme="minorHAnsi" w:eastAsiaTheme="minorHAnsi" w:hAnsiTheme="minorHAnsi"/>
          <w:sz w:val="24"/>
          <w:szCs w:val="24"/>
          <w:lang w:eastAsia="en-US"/>
        </w:rPr>
      </w:pPr>
      <w:r>
        <w:rPr>
          <w:rFonts w:asciiTheme="minorHAnsi" w:eastAsiaTheme="minorHAnsi" w:hAnsiTheme="minorHAnsi"/>
          <w:sz w:val="24"/>
          <w:szCs w:val="24"/>
          <w:lang w:eastAsia="en-US"/>
        </w:rPr>
        <w:t>6</w:t>
      </w:r>
      <w:r w:rsidRPr="008D4427">
        <w:rPr>
          <w:rFonts w:asciiTheme="minorHAnsi" w:eastAsiaTheme="minorHAnsi" w:hAnsiTheme="minorHAnsi"/>
          <w:sz w:val="24"/>
          <w:szCs w:val="24"/>
          <w:lang w:eastAsia="en-US"/>
        </w:rPr>
        <w:t xml:space="preserve"> – </w:t>
      </w:r>
      <w:proofErr w:type="gramStart"/>
      <w:r w:rsidRPr="00186DD4">
        <w:rPr>
          <w:rFonts w:asciiTheme="minorHAnsi" w:eastAsiaTheme="minorHAnsi" w:hAnsiTheme="minorHAnsi"/>
          <w:sz w:val="24"/>
          <w:szCs w:val="24"/>
          <w:lang w:eastAsia="en-US"/>
        </w:rPr>
        <w:t>8 year</w:t>
      </w:r>
      <w:proofErr w:type="gramEnd"/>
      <w:r w:rsidRPr="00186DD4">
        <w:rPr>
          <w:rFonts w:asciiTheme="minorHAnsi" w:eastAsiaTheme="minorHAnsi" w:hAnsiTheme="minorHAnsi"/>
          <w:sz w:val="24"/>
          <w:szCs w:val="24"/>
          <w:lang w:eastAsia="en-US"/>
        </w:rPr>
        <w:t xml:space="preserve"> academic secondary school</w:t>
      </w:r>
    </w:p>
    <w:p w14:paraId="12AEA7DB" w14:textId="33AF1CB8" w:rsidR="00CF3FF3" w:rsidRDefault="00186DD4" w:rsidP="00CF3FF3">
      <w:pPr>
        <w:pStyle w:val="v1"/>
        <w:ind w:left="720" w:firstLine="0"/>
        <w:jc w:val="both"/>
        <w:rPr>
          <w:rFonts w:asciiTheme="minorHAnsi" w:eastAsiaTheme="minorHAnsi" w:hAnsiTheme="minorHAnsi"/>
          <w:sz w:val="24"/>
          <w:szCs w:val="24"/>
          <w:lang w:eastAsia="en-US"/>
        </w:rPr>
      </w:pPr>
      <w:r w:rsidRPr="00186DD4">
        <w:rPr>
          <w:rFonts w:asciiTheme="minorHAnsi" w:eastAsiaTheme="minorHAnsi" w:hAnsiTheme="minorHAnsi"/>
          <w:sz w:val="24"/>
          <w:szCs w:val="24"/>
          <w:lang w:eastAsia="en-US"/>
        </w:rPr>
        <w:t xml:space="preserve">7 </w:t>
      </w:r>
      <w:r w:rsidRPr="008D4427">
        <w:rPr>
          <w:rFonts w:asciiTheme="minorHAnsi" w:eastAsiaTheme="minorHAnsi" w:hAnsiTheme="minorHAnsi"/>
          <w:sz w:val="24"/>
          <w:szCs w:val="24"/>
          <w:lang w:eastAsia="en-US"/>
        </w:rPr>
        <w:t>–</w:t>
      </w:r>
      <w:r>
        <w:rPr>
          <w:rFonts w:asciiTheme="minorHAnsi" w:eastAsiaTheme="minorHAnsi" w:hAnsiTheme="minorHAnsi"/>
          <w:sz w:val="24"/>
          <w:szCs w:val="24"/>
          <w:lang w:eastAsia="en-US"/>
        </w:rPr>
        <w:t xml:space="preserve"> other school</w:t>
      </w:r>
    </w:p>
    <w:p w14:paraId="03C1E74F" w14:textId="6DBB9575" w:rsidR="00CF3FF3" w:rsidRDefault="00CF3FF3" w:rsidP="00CF3FF3">
      <w:pPr>
        <w:pStyle w:val="v1"/>
        <w:ind w:left="0" w:firstLine="0"/>
        <w:jc w:val="both"/>
        <w:rPr>
          <w:rFonts w:asciiTheme="minorHAnsi" w:eastAsiaTheme="minorHAnsi" w:hAnsiTheme="minorHAnsi"/>
          <w:sz w:val="24"/>
          <w:szCs w:val="24"/>
          <w:lang w:eastAsia="en-US"/>
        </w:rPr>
      </w:pPr>
    </w:p>
    <w:p w14:paraId="50618C1C" w14:textId="45A1EFCD" w:rsidR="00CF3FF3" w:rsidRPr="00CF3FF3" w:rsidRDefault="00CF3FF3" w:rsidP="00CF3FF3">
      <w:pPr>
        <w:pStyle w:val="v1"/>
        <w:ind w:left="0" w:firstLine="0"/>
        <w:jc w:val="both"/>
        <w:rPr>
          <w:rFonts w:asciiTheme="minorHAnsi" w:eastAsiaTheme="minorHAnsi" w:hAnsiTheme="minorHAnsi" w:cstheme="minorHAnsi"/>
          <w:sz w:val="24"/>
          <w:szCs w:val="24"/>
          <w:lang w:eastAsia="en-US"/>
        </w:rPr>
      </w:pPr>
      <w:r w:rsidRPr="00CF3FF3">
        <w:rPr>
          <w:rFonts w:asciiTheme="minorHAnsi" w:hAnsiTheme="minorHAnsi" w:cstheme="minorHAnsi"/>
          <w:i/>
          <w:iCs/>
          <w:sz w:val="24"/>
          <w:szCs w:val="24"/>
        </w:rPr>
        <w:t>Inputs were reduced to three distinct categories: 1 - vocational or equivalent 2 - high school 3 - other. There were no students who attended general school.</w:t>
      </w:r>
    </w:p>
    <w:p w14:paraId="3960988D" w14:textId="77777777" w:rsidR="00186DD4" w:rsidRPr="00186DD4" w:rsidRDefault="00186DD4" w:rsidP="00186DD4">
      <w:pPr>
        <w:pStyle w:val="v1"/>
        <w:ind w:left="720" w:firstLine="0"/>
        <w:jc w:val="both"/>
        <w:rPr>
          <w:rFonts w:asciiTheme="minorHAnsi" w:eastAsiaTheme="minorHAnsi" w:hAnsiTheme="minorHAnsi"/>
          <w:sz w:val="24"/>
          <w:szCs w:val="24"/>
          <w:lang w:eastAsia="en-US"/>
        </w:rPr>
      </w:pPr>
    </w:p>
    <w:p w14:paraId="60A7B3EA" w14:textId="41405D8B" w:rsidR="000717F2" w:rsidRDefault="000717F2" w:rsidP="003E1CB6">
      <w:pPr>
        <w:spacing w:line="360" w:lineRule="auto"/>
        <w:jc w:val="both"/>
        <w:rPr>
          <w:rFonts w:cstheme="minorHAnsi"/>
          <w:b/>
          <w:bCs/>
          <w:sz w:val="24"/>
          <w:szCs w:val="24"/>
        </w:rPr>
      </w:pPr>
      <w:r>
        <w:rPr>
          <w:rFonts w:cstheme="minorHAnsi"/>
          <w:b/>
          <w:bCs/>
          <w:sz w:val="24"/>
          <w:szCs w:val="24"/>
        </w:rPr>
        <w:t>School Maintainer</w:t>
      </w:r>
      <w:r w:rsidR="0027344D">
        <w:rPr>
          <w:rFonts w:cstheme="minorHAnsi"/>
          <w:b/>
          <w:bCs/>
          <w:sz w:val="24"/>
          <w:szCs w:val="24"/>
        </w:rPr>
        <w:t xml:space="preserve"> (categorical)</w:t>
      </w:r>
      <w:r>
        <w:rPr>
          <w:rFonts w:cstheme="minorHAnsi"/>
          <w:b/>
          <w:bCs/>
          <w:sz w:val="24"/>
          <w:szCs w:val="24"/>
        </w:rPr>
        <w:t>:</w:t>
      </w:r>
      <w:r w:rsidR="003E240F">
        <w:rPr>
          <w:rFonts w:cstheme="minorHAnsi"/>
          <w:b/>
          <w:bCs/>
          <w:sz w:val="24"/>
          <w:szCs w:val="24"/>
        </w:rPr>
        <w:t xml:space="preserve"> </w:t>
      </w:r>
      <w:r w:rsidR="005D68B5">
        <w:rPr>
          <w:rFonts w:cstheme="minorHAnsi"/>
          <w:sz w:val="24"/>
          <w:szCs w:val="24"/>
        </w:rPr>
        <w:t>Respondents were asked the following question with the options listed below:</w:t>
      </w:r>
    </w:p>
    <w:p w14:paraId="21C14A22" w14:textId="548CEC08" w:rsidR="003E240F" w:rsidRPr="00A764F4" w:rsidRDefault="003E240F" w:rsidP="00A764F4">
      <w:pPr>
        <w:pStyle w:val="kerd"/>
        <w:numPr>
          <w:ilvl w:val="0"/>
          <w:numId w:val="0"/>
        </w:numPr>
        <w:ind w:left="720"/>
        <w:jc w:val="both"/>
        <w:rPr>
          <w:rFonts w:asciiTheme="minorHAnsi" w:eastAsiaTheme="minorHAnsi" w:hAnsiTheme="minorHAnsi"/>
          <w:i/>
          <w:iCs/>
          <w:sz w:val="24"/>
          <w:szCs w:val="24"/>
          <w:lang w:eastAsia="en-US"/>
        </w:rPr>
      </w:pPr>
      <w:r w:rsidRPr="00A764F4">
        <w:rPr>
          <w:rFonts w:asciiTheme="minorHAnsi" w:eastAsiaTheme="minorHAnsi" w:hAnsiTheme="minorHAnsi"/>
          <w:i/>
          <w:iCs/>
          <w:sz w:val="24"/>
          <w:szCs w:val="24"/>
          <w:lang w:eastAsia="en-US"/>
        </w:rPr>
        <w:t>What is the school’s educational provider?</w:t>
      </w:r>
    </w:p>
    <w:p w14:paraId="3D47C48D" w14:textId="5CE7DD6C" w:rsidR="003E240F" w:rsidRDefault="003E240F" w:rsidP="003E240F">
      <w:pPr>
        <w:pStyle w:val="kerd"/>
        <w:numPr>
          <w:ilvl w:val="0"/>
          <w:numId w:val="0"/>
        </w:numPr>
        <w:ind w:left="510" w:hanging="510"/>
        <w:jc w:val="both"/>
        <w:rPr>
          <w:rFonts w:asciiTheme="minorHAnsi" w:eastAsiaTheme="minorHAnsi" w:hAnsiTheme="minorHAnsi"/>
          <w:sz w:val="24"/>
          <w:szCs w:val="24"/>
          <w:lang w:eastAsia="en-US"/>
        </w:rPr>
      </w:pPr>
    </w:p>
    <w:p w14:paraId="0B4EA2C0" w14:textId="6FE1997E" w:rsidR="003E240F" w:rsidRPr="003E240F" w:rsidRDefault="003E240F" w:rsidP="003E240F">
      <w:pPr>
        <w:pStyle w:val="v1"/>
        <w:ind w:left="720" w:firstLine="0"/>
        <w:jc w:val="both"/>
        <w:rPr>
          <w:rFonts w:asciiTheme="minorHAnsi" w:eastAsiaTheme="minorHAnsi" w:hAnsiTheme="minorHAnsi"/>
          <w:sz w:val="24"/>
          <w:szCs w:val="24"/>
          <w:lang w:eastAsia="en-US"/>
        </w:rPr>
      </w:pPr>
      <w:r w:rsidRPr="003E240F">
        <w:rPr>
          <w:rFonts w:asciiTheme="minorHAnsi" w:eastAsiaTheme="minorHAnsi" w:hAnsiTheme="minorHAnsi"/>
          <w:sz w:val="24"/>
          <w:szCs w:val="24"/>
          <w:lang w:eastAsia="en-US"/>
        </w:rPr>
        <w:t>1 – the state or a local authority,</w:t>
      </w:r>
    </w:p>
    <w:p w14:paraId="62C64C2E" w14:textId="74FC153B" w:rsidR="003E240F" w:rsidRPr="003E240F" w:rsidRDefault="003E240F" w:rsidP="003E240F">
      <w:pPr>
        <w:pStyle w:val="v1"/>
        <w:ind w:left="720" w:firstLine="0"/>
        <w:jc w:val="both"/>
        <w:rPr>
          <w:rFonts w:asciiTheme="minorHAnsi" w:eastAsiaTheme="minorHAnsi" w:hAnsiTheme="minorHAnsi"/>
          <w:sz w:val="24"/>
          <w:szCs w:val="24"/>
          <w:lang w:eastAsia="en-US"/>
        </w:rPr>
      </w:pPr>
      <w:r w:rsidRPr="003E240F">
        <w:rPr>
          <w:rFonts w:asciiTheme="minorHAnsi" w:eastAsiaTheme="minorHAnsi" w:hAnsiTheme="minorHAnsi"/>
          <w:sz w:val="24"/>
          <w:szCs w:val="24"/>
          <w:lang w:eastAsia="en-US"/>
        </w:rPr>
        <w:t xml:space="preserve">2 – the church, </w:t>
      </w:r>
    </w:p>
    <w:p w14:paraId="6C6575E5" w14:textId="2F593B9E" w:rsidR="003E240F" w:rsidRPr="003E240F" w:rsidRDefault="003E240F" w:rsidP="003E240F">
      <w:pPr>
        <w:pStyle w:val="v1"/>
        <w:ind w:left="720" w:firstLine="0"/>
        <w:jc w:val="both"/>
        <w:rPr>
          <w:rFonts w:asciiTheme="minorHAnsi" w:eastAsiaTheme="minorHAnsi" w:hAnsiTheme="minorHAnsi"/>
          <w:sz w:val="24"/>
          <w:szCs w:val="24"/>
          <w:lang w:eastAsia="en-US"/>
        </w:rPr>
      </w:pPr>
      <w:r w:rsidRPr="003E240F">
        <w:rPr>
          <w:rFonts w:asciiTheme="minorHAnsi" w:eastAsiaTheme="minorHAnsi" w:hAnsiTheme="minorHAnsi"/>
          <w:sz w:val="24"/>
          <w:szCs w:val="24"/>
          <w:lang w:eastAsia="en-US"/>
        </w:rPr>
        <w:t xml:space="preserve">3 – it is a private school run by a foundation or other </w:t>
      </w:r>
      <w:proofErr w:type="gramStart"/>
      <w:r w:rsidRPr="003E240F">
        <w:rPr>
          <w:rFonts w:asciiTheme="minorHAnsi" w:eastAsiaTheme="minorHAnsi" w:hAnsiTheme="minorHAnsi"/>
          <w:sz w:val="24"/>
          <w:szCs w:val="24"/>
          <w:lang w:eastAsia="en-US"/>
        </w:rPr>
        <w:t>source</w:t>
      </w:r>
      <w:proofErr w:type="gramEnd"/>
    </w:p>
    <w:p w14:paraId="2B471031" w14:textId="77777777" w:rsidR="003E240F" w:rsidRPr="003E240F" w:rsidRDefault="003E240F" w:rsidP="005D68B5">
      <w:pPr>
        <w:pStyle w:val="kerd"/>
        <w:numPr>
          <w:ilvl w:val="0"/>
          <w:numId w:val="0"/>
        </w:numPr>
        <w:jc w:val="both"/>
        <w:rPr>
          <w:rFonts w:asciiTheme="minorHAnsi" w:eastAsiaTheme="minorHAnsi" w:hAnsiTheme="minorHAnsi"/>
          <w:sz w:val="24"/>
          <w:szCs w:val="24"/>
          <w:lang w:eastAsia="en-US"/>
        </w:rPr>
      </w:pPr>
    </w:p>
    <w:p w14:paraId="6C13860D" w14:textId="7108C1B8" w:rsidR="000717F2" w:rsidRPr="002D71D0" w:rsidRDefault="000717F2" w:rsidP="003E1CB6">
      <w:pPr>
        <w:spacing w:line="360" w:lineRule="auto"/>
        <w:jc w:val="both"/>
        <w:rPr>
          <w:rFonts w:cstheme="minorHAnsi"/>
          <w:sz w:val="24"/>
          <w:szCs w:val="24"/>
        </w:rPr>
      </w:pPr>
      <w:r>
        <w:rPr>
          <w:rFonts w:cstheme="minorHAnsi"/>
          <w:b/>
          <w:bCs/>
          <w:sz w:val="24"/>
          <w:szCs w:val="24"/>
        </w:rPr>
        <w:t>Household Income</w:t>
      </w:r>
      <w:r w:rsidR="003942DC">
        <w:rPr>
          <w:rFonts w:cstheme="minorHAnsi"/>
          <w:b/>
          <w:bCs/>
          <w:sz w:val="24"/>
          <w:szCs w:val="24"/>
        </w:rPr>
        <w:t xml:space="preserve"> (float)</w:t>
      </w:r>
      <w:r>
        <w:rPr>
          <w:rFonts w:cstheme="minorHAnsi"/>
          <w:b/>
          <w:bCs/>
          <w:sz w:val="24"/>
          <w:szCs w:val="24"/>
        </w:rPr>
        <w:t>:</w:t>
      </w:r>
      <w:r w:rsidR="002D71D0">
        <w:rPr>
          <w:rFonts w:cstheme="minorHAnsi"/>
          <w:b/>
          <w:bCs/>
          <w:sz w:val="24"/>
          <w:szCs w:val="24"/>
        </w:rPr>
        <w:t xml:space="preserve"> </w:t>
      </w:r>
      <w:r w:rsidR="002D71D0">
        <w:rPr>
          <w:rFonts w:cstheme="minorHAnsi"/>
          <w:sz w:val="24"/>
          <w:szCs w:val="24"/>
        </w:rPr>
        <w:t xml:space="preserve">Aggregated reported net monthly income (HUF) of the caretakers in the household on a logarithmic scale. </w:t>
      </w:r>
    </w:p>
    <w:p w14:paraId="2CDE835F" w14:textId="640D5BB6" w:rsidR="000717F2" w:rsidRDefault="000717F2" w:rsidP="003E1CB6">
      <w:pPr>
        <w:spacing w:line="360" w:lineRule="auto"/>
        <w:jc w:val="both"/>
        <w:rPr>
          <w:rFonts w:cstheme="minorHAnsi"/>
          <w:sz w:val="24"/>
          <w:szCs w:val="24"/>
        </w:rPr>
      </w:pPr>
      <w:r>
        <w:rPr>
          <w:rFonts w:cstheme="minorHAnsi"/>
          <w:b/>
          <w:bCs/>
          <w:sz w:val="24"/>
          <w:szCs w:val="24"/>
        </w:rPr>
        <w:t>Welfare</w:t>
      </w:r>
      <w:r w:rsidR="003942DC">
        <w:rPr>
          <w:rFonts w:cstheme="minorHAnsi"/>
          <w:b/>
          <w:bCs/>
          <w:sz w:val="24"/>
          <w:szCs w:val="24"/>
        </w:rPr>
        <w:t xml:space="preserve"> (categorical)</w:t>
      </w:r>
      <w:r>
        <w:rPr>
          <w:rFonts w:cstheme="minorHAnsi"/>
          <w:b/>
          <w:bCs/>
          <w:sz w:val="24"/>
          <w:szCs w:val="24"/>
        </w:rPr>
        <w:t>:</w:t>
      </w:r>
      <w:r w:rsidR="002D71D0">
        <w:rPr>
          <w:rFonts w:cstheme="minorHAnsi"/>
          <w:b/>
          <w:bCs/>
          <w:sz w:val="24"/>
          <w:szCs w:val="24"/>
        </w:rPr>
        <w:t xml:space="preserve"> </w:t>
      </w:r>
      <w:r w:rsidR="002D71D0">
        <w:rPr>
          <w:rFonts w:cstheme="minorHAnsi"/>
          <w:sz w:val="24"/>
          <w:szCs w:val="24"/>
        </w:rPr>
        <w:t>Respondents were asked the following question with the options listed below:</w:t>
      </w:r>
    </w:p>
    <w:p w14:paraId="7D11A3DF" w14:textId="77777777" w:rsidR="00A83082" w:rsidRPr="00A764F4" w:rsidRDefault="00A83082" w:rsidP="00A83082">
      <w:pPr>
        <w:pStyle w:val="kerd"/>
        <w:numPr>
          <w:ilvl w:val="0"/>
          <w:numId w:val="0"/>
        </w:numPr>
        <w:ind w:left="510" w:hanging="113"/>
        <w:jc w:val="both"/>
        <w:rPr>
          <w:rFonts w:asciiTheme="minorHAnsi" w:eastAsiaTheme="minorHAnsi" w:hAnsiTheme="minorHAnsi"/>
          <w:i/>
          <w:iCs/>
          <w:sz w:val="24"/>
          <w:szCs w:val="24"/>
          <w:lang w:eastAsia="en-US"/>
        </w:rPr>
      </w:pPr>
      <w:r w:rsidRPr="00A764F4">
        <w:rPr>
          <w:rFonts w:asciiTheme="minorHAnsi" w:eastAsiaTheme="minorHAnsi" w:hAnsiTheme="minorHAnsi"/>
          <w:i/>
          <w:iCs/>
          <w:sz w:val="24"/>
          <w:szCs w:val="24"/>
          <w:lang w:eastAsia="en-US"/>
        </w:rPr>
        <w:lastRenderedPageBreak/>
        <w:t>Compared to other families, how well does your family live?</w:t>
      </w:r>
    </w:p>
    <w:p w14:paraId="28C88D76" w14:textId="77777777" w:rsidR="00A83082" w:rsidRDefault="00A83082" w:rsidP="00A83082">
      <w:pPr>
        <w:pStyle w:val="kerd"/>
        <w:numPr>
          <w:ilvl w:val="0"/>
          <w:numId w:val="0"/>
        </w:numPr>
        <w:ind w:left="720"/>
        <w:jc w:val="both"/>
        <w:rPr>
          <w:rFonts w:asciiTheme="minorHAnsi" w:eastAsiaTheme="minorHAnsi" w:hAnsiTheme="minorHAnsi"/>
          <w:sz w:val="24"/>
          <w:szCs w:val="24"/>
          <w:lang w:eastAsia="en-US"/>
        </w:rPr>
      </w:pPr>
    </w:p>
    <w:p w14:paraId="30E7ADA0" w14:textId="77777777" w:rsidR="00A83082" w:rsidRPr="00777D19" w:rsidRDefault="00A83082" w:rsidP="00A83082">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 xml:space="preserve">1 – They get on very badly, </w:t>
      </w:r>
      <w:proofErr w:type="gramStart"/>
      <w:r w:rsidRPr="00777D19">
        <w:rPr>
          <w:rFonts w:asciiTheme="minorHAnsi" w:eastAsiaTheme="minorHAnsi" w:hAnsiTheme="minorHAnsi"/>
          <w:sz w:val="24"/>
          <w:szCs w:val="24"/>
          <w:lang w:eastAsia="en-US"/>
        </w:rPr>
        <w:t>have to</w:t>
      </w:r>
      <w:proofErr w:type="gramEnd"/>
      <w:r w:rsidRPr="00777D19">
        <w:rPr>
          <w:rFonts w:asciiTheme="minorHAnsi" w:eastAsiaTheme="minorHAnsi" w:hAnsiTheme="minorHAnsi"/>
          <w:sz w:val="24"/>
          <w:szCs w:val="24"/>
          <w:lang w:eastAsia="en-US"/>
        </w:rPr>
        <w:t xml:space="preserve"> give up many things. </w:t>
      </w:r>
    </w:p>
    <w:p w14:paraId="42FCB116" w14:textId="77777777" w:rsidR="00A83082" w:rsidRPr="00777D19" w:rsidRDefault="00A83082" w:rsidP="00A83082">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 xml:space="preserve">2 – They can only get on badly. </w:t>
      </w:r>
    </w:p>
    <w:p w14:paraId="73226A49" w14:textId="77777777" w:rsidR="00A83082" w:rsidRPr="00777D19" w:rsidRDefault="00A83082" w:rsidP="00A83082">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3 – They live on an average level.</w:t>
      </w:r>
    </w:p>
    <w:p w14:paraId="0A5475CC" w14:textId="77777777" w:rsidR="00A83082" w:rsidRPr="00777D19" w:rsidRDefault="00A83082" w:rsidP="00A83082">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 xml:space="preserve">4 – They live better than the average. </w:t>
      </w:r>
    </w:p>
    <w:p w14:paraId="6537CF93" w14:textId="77777777" w:rsidR="00A83082" w:rsidRPr="00777D19" w:rsidRDefault="00A83082" w:rsidP="00A83082">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5 – They live very well, can allow almost everything.</w:t>
      </w:r>
    </w:p>
    <w:p w14:paraId="6F84523F" w14:textId="77777777" w:rsidR="00A83082" w:rsidRDefault="00A83082" w:rsidP="003E1CB6">
      <w:pPr>
        <w:spacing w:line="360" w:lineRule="auto"/>
        <w:jc w:val="both"/>
        <w:rPr>
          <w:rFonts w:cstheme="minorHAnsi"/>
          <w:sz w:val="24"/>
          <w:szCs w:val="24"/>
        </w:rPr>
      </w:pPr>
    </w:p>
    <w:p w14:paraId="482DA878" w14:textId="0EBB567A" w:rsidR="006D67C1" w:rsidRDefault="000717F2" w:rsidP="006D67C1">
      <w:pPr>
        <w:spacing w:line="360" w:lineRule="auto"/>
        <w:jc w:val="both"/>
        <w:rPr>
          <w:rFonts w:cstheme="minorHAnsi"/>
          <w:sz w:val="24"/>
          <w:szCs w:val="24"/>
        </w:rPr>
      </w:pPr>
      <w:r>
        <w:rPr>
          <w:rFonts w:cstheme="minorHAnsi"/>
          <w:b/>
          <w:bCs/>
          <w:sz w:val="24"/>
          <w:szCs w:val="24"/>
        </w:rPr>
        <w:t>Maternal Degree</w:t>
      </w:r>
      <w:r w:rsidR="00881E40">
        <w:rPr>
          <w:rFonts w:cstheme="minorHAnsi"/>
          <w:b/>
          <w:bCs/>
          <w:sz w:val="24"/>
          <w:szCs w:val="24"/>
        </w:rPr>
        <w:t xml:space="preserve"> (categorical)</w:t>
      </w:r>
      <w:r>
        <w:rPr>
          <w:rFonts w:cstheme="minorHAnsi"/>
          <w:b/>
          <w:bCs/>
          <w:sz w:val="24"/>
          <w:szCs w:val="24"/>
        </w:rPr>
        <w:t>:</w:t>
      </w:r>
      <w:r w:rsidR="006D67C1">
        <w:rPr>
          <w:rFonts w:cstheme="minorHAnsi"/>
          <w:b/>
          <w:bCs/>
          <w:sz w:val="24"/>
          <w:szCs w:val="24"/>
        </w:rPr>
        <w:t xml:space="preserve"> </w:t>
      </w:r>
      <w:r w:rsidR="006D67C1">
        <w:rPr>
          <w:rFonts w:cstheme="minorHAnsi"/>
          <w:sz w:val="24"/>
          <w:szCs w:val="24"/>
        </w:rPr>
        <w:t xml:space="preserve">Female caretakers were asked the report their educational attainment </w:t>
      </w:r>
      <w:proofErr w:type="gramStart"/>
      <w:r w:rsidR="006D67C1">
        <w:rPr>
          <w:rFonts w:cstheme="minorHAnsi"/>
          <w:sz w:val="24"/>
          <w:szCs w:val="24"/>
        </w:rPr>
        <w:t>on the basis of</w:t>
      </w:r>
      <w:proofErr w:type="gramEnd"/>
      <w:r w:rsidR="006D67C1">
        <w:rPr>
          <w:rFonts w:cstheme="minorHAnsi"/>
          <w:sz w:val="24"/>
          <w:szCs w:val="24"/>
        </w:rPr>
        <w:t xml:space="preserve"> the following categories:</w:t>
      </w:r>
    </w:p>
    <w:p w14:paraId="234C5F6A" w14:textId="3E46D3B6"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 xml:space="preserve">00 – general school age or pre-school age </w:t>
      </w:r>
    </w:p>
    <w:p w14:paraId="43F52F2A" w14:textId="268C7D96"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01 – less than lower secondary school</w:t>
      </w:r>
    </w:p>
    <w:p w14:paraId="301F26F1" w14:textId="2F6B1CA7"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02 – lower secondary school</w:t>
      </w:r>
    </w:p>
    <w:p w14:paraId="3625A65F" w14:textId="60DB54D5"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03 – basic vocational education (uncertified)</w:t>
      </w:r>
    </w:p>
    <w:p w14:paraId="5D6C548A" w14:textId="792337AF"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04 – vocational certificate</w:t>
      </w:r>
    </w:p>
    <w:p w14:paraId="1FF41DA8" w14:textId="09D76D8F"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05 –maturity certificate in vocational secondary school</w:t>
      </w:r>
    </w:p>
    <w:p w14:paraId="7322829B" w14:textId="5F91AF88"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06 – maturity certificate in academic secondary school</w:t>
      </w:r>
    </w:p>
    <w:p w14:paraId="0DF96694" w14:textId="78F2B908"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07 – post secondary, non-tertiary education</w:t>
      </w:r>
    </w:p>
    <w:p w14:paraId="33E0EF64" w14:textId="26A24DD6"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08 – college level or BA</w:t>
      </w:r>
    </w:p>
    <w:p w14:paraId="574CAEEF" w14:textId="0C82A9DB"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09 – university level or MA</w:t>
      </w:r>
    </w:p>
    <w:p w14:paraId="6BA78498" w14:textId="761D4B82" w:rsidR="006D67C1" w:rsidRPr="00777D19" w:rsidRDefault="006D67C1" w:rsidP="00777D19">
      <w:pPr>
        <w:pStyle w:val="v1"/>
        <w:ind w:left="720" w:firstLine="0"/>
        <w:jc w:val="both"/>
        <w:rPr>
          <w:rFonts w:asciiTheme="minorHAnsi" w:eastAsiaTheme="minorHAnsi" w:hAnsiTheme="minorHAnsi"/>
          <w:sz w:val="24"/>
          <w:szCs w:val="24"/>
          <w:lang w:eastAsia="en-US"/>
        </w:rPr>
      </w:pPr>
      <w:r w:rsidRPr="00777D19">
        <w:rPr>
          <w:rFonts w:asciiTheme="minorHAnsi" w:eastAsiaTheme="minorHAnsi" w:hAnsiTheme="minorHAnsi"/>
          <w:sz w:val="24"/>
          <w:szCs w:val="24"/>
          <w:lang w:eastAsia="en-US"/>
        </w:rPr>
        <w:t>10 – doctoral or equivalent level (PhD, DLA)</w:t>
      </w:r>
    </w:p>
    <w:p w14:paraId="5E173269" w14:textId="77777777" w:rsidR="003C4099" w:rsidRDefault="003C4099" w:rsidP="003E1CB6">
      <w:pPr>
        <w:spacing w:line="360" w:lineRule="auto"/>
        <w:jc w:val="both"/>
        <w:rPr>
          <w:rFonts w:cstheme="minorHAnsi"/>
          <w:b/>
          <w:bCs/>
          <w:sz w:val="24"/>
          <w:szCs w:val="24"/>
        </w:rPr>
      </w:pPr>
    </w:p>
    <w:p w14:paraId="125C8268" w14:textId="4C4715AC" w:rsidR="00177F7B" w:rsidRDefault="000717F2" w:rsidP="003E1CB6">
      <w:pPr>
        <w:spacing w:line="360" w:lineRule="auto"/>
        <w:jc w:val="both"/>
        <w:rPr>
          <w:rFonts w:cstheme="minorHAnsi"/>
          <w:sz w:val="24"/>
          <w:szCs w:val="24"/>
        </w:rPr>
      </w:pPr>
      <w:r>
        <w:rPr>
          <w:rFonts w:cstheme="minorHAnsi"/>
          <w:b/>
          <w:bCs/>
          <w:sz w:val="24"/>
          <w:szCs w:val="24"/>
        </w:rPr>
        <w:t xml:space="preserve">Parental School </w:t>
      </w:r>
      <w:r w:rsidR="00770735">
        <w:rPr>
          <w:rFonts w:cstheme="minorHAnsi"/>
          <w:b/>
          <w:bCs/>
          <w:sz w:val="24"/>
          <w:szCs w:val="24"/>
        </w:rPr>
        <w:t>Involvement</w:t>
      </w:r>
      <w:r>
        <w:rPr>
          <w:rFonts w:cstheme="minorHAnsi"/>
          <w:b/>
          <w:bCs/>
          <w:sz w:val="24"/>
          <w:szCs w:val="24"/>
        </w:rPr>
        <w:t xml:space="preserve"> (PSI)</w:t>
      </w:r>
      <w:r w:rsidR="00881E40">
        <w:rPr>
          <w:rFonts w:cstheme="minorHAnsi"/>
          <w:b/>
          <w:bCs/>
          <w:sz w:val="24"/>
          <w:szCs w:val="24"/>
        </w:rPr>
        <w:t xml:space="preserve"> (integer)</w:t>
      </w:r>
      <w:r>
        <w:rPr>
          <w:rFonts w:cstheme="minorHAnsi"/>
          <w:b/>
          <w:bCs/>
          <w:sz w:val="24"/>
          <w:szCs w:val="24"/>
        </w:rPr>
        <w:t>:</w:t>
      </w:r>
      <w:r w:rsidR="00777D19">
        <w:rPr>
          <w:rFonts w:cstheme="minorHAnsi"/>
          <w:b/>
          <w:bCs/>
          <w:sz w:val="24"/>
          <w:szCs w:val="24"/>
        </w:rPr>
        <w:t xml:space="preserve"> </w:t>
      </w:r>
      <w:r w:rsidR="00777D19" w:rsidRPr="00C52E32">
        <w:rPr>
          <w:rFonts w:cstheme="minorHAnsi"/>
          <w:sz w:val="24"/>
          <w:szCs w:val="24"/>
        </w:rPr>
        <w:t>We can distinguish two variables (1) Parental school engagement rate</w:t>
      </w:r>
      <w:r w:rsidR="002C4778">
        <w:rPr>
          <w:rFonts w:cstheme="minorHAnsi"/>
          <w:sz w:val="24"/>
          <w:szCs w:val="24"/>
        </w:rPr>
        <w:t xml:space="preserve"> (frequency of parent-teacher talk and attending parent conferences</w:t>
      </w:r>
      <w:r w:rsidR="00A92900">
        <w:rPr>
          <w:rFonts w:cstheme="minorHAnsi"/>
          <w:sz w:val="24"/>
          <w:szCs w:val="24"/>
        </w:rPr>
        <w:t>)</w:t>
      </w:r>
      <w:r w:rsidR="00777D19" w:rsidRPr="00C52E32">
        <w:rPr>
          <w:rFonts w:cstheme="minorHAnsi"/>
          <w:sz w:val="24"/>
          <w:szCs w:val="24"/>
        </w:rPr>
        <w:t xml:space="preserve">, and </w:t>
      </w:r>
      <w:r w:rsidR="00C52E32" w:rsidRPr="00C52E32">
        <w:rPr>
          <w:rFonts w:cstheme="minorHAnsi"/>
          <w:sz w:val="24"/>
          <w:szCs w:val="24"/>
        </w:rPr>
        <w:t xml:space="preserve">the </w:t>
      </w:r>
      <w:r w:rsidR="00777D19" w:rsidRPr="00C52E32">
        <w:rPr>
          <w:rFonts w:cstheme="minorHAnsi"/>
          <w:sz w:val="24"/>
          <w:szCs w:val="24"/>
        </w:rPr>
        <w:t>(2)</w:t>
      </w:r>
      <w:r w:rsidR="00C52E32" w:rsidRPr="00C52E32">
        <w:rPr>
          <w:rFonts w:cstheme="minorHAnsi"/>
          <w:sz w:val="24"/>
          <w:szCs w:val="24"/>
        </w:rPr>
        <w:t xml:space="preserve"> </w:t>
      </w:r>
      <w:r w:rsidR="00770735">
        <w:rPr>
          <w:rFonts w:cstheme="minorHAnsi"/>
          <w:sz w:val="24"/>
          <w:szCs w:val="24"/>
        </w:rPr>
        <w:t xml:space="preserve">monthly </w:t>
      </w:r>
      <w:r w:rsidR="00B843C7">
        <w:rPr>
          <w:rFonts w:cstheme="minorHAnsi"/>
          <w:sz w:val="24"/>
          <w:szCs w:val="24"/>
        </w:rPr>
        <w:t xml:space="preserve">aggregated </w:t>
      </w:r>
      <w:r w:rsidR="00770735">
        <w:rPr>
          <w:rFonts w:cstheme="minorHAnsi"/>
          <w:sz w:val="24"/>
          <w:szCs w:val="24"/>
        </w:rPr>
        <w:t>school</w:t>
      </w:r>
      <w:r w:rsidR="00C52E32" w:rsidRPr="00C52E32">
        <w:rPr>
          <w:rFonts w:cstheme="minorHAnsi"/>
          <w:sz w:val="24"/>
          <w:szCs w:val="24"/>
        </w:rPr>
        <w:t xml:space="preserve"> </w:t>
      </w:r>
      <w:r w:rsidR="00770735">
        <w:rPr>
          <w:rFonts w:cstheme="minorHAnsi"/>
          <w:sz w:val="24"/>
          <w:szCs w:val="24"/>
        </w:rPr>
        <w:t>investments</w:t>
      </w:r>
      <w:r w:rsidR="00B843C7">
        <w:rPr>
          <w:rFonts w:cstheme="minorHAnsi"/>
          <w:sz w:val="24"/>
          <w:szCs w:val="24"/>
        </w:rPr>
        <w:t xml:space="preserve"> (HUF)</w:t>
      </w:r>
      <w:r w:rsidR="00770735">
        <w:rPr>
          <w:rFonts w:cstheme="minorHAnsi"/>
          <w:sz w:val="24"/>
          <w:szCs w:val="24"/>
        </w:rPr>
        <w:t xml:space="preserve"> on textbooks or </w:t>
      </w:r>
      <w:r w:rsidR="00A92900">
        <w:rPr>
          <w:rFonts w:cstheme="minorHAnsi"/>
          <w:sz w:val="24"/>
          <w:szCs w:val="24"/>
        </w:rPr>
        <w:t>equipment</w:t>
      </w:r>
      <w:r w:rsidR="00770735">
        <w:rPr>
          <w:rFonts w:cstheme="minorHAnsi"/>
          <w:sz w:val="24"/>
          <w:szCs w:val="24"/>
        </w:rPr>
        <w:t>, transportation costs (</w:t>
      </w:r>
      <w:r w:rsidR="000B785B">
        <w:rPr>
          <w:rFonts w:cstheme="minorHAnsi"/>
          <w:sz w:val="24"/>
          <w:szCs w:val="24"/>
        </w:rPr>
        <w:t>e.g.,</w:t>
      </w:r>
      <w:r w:rsidR="00770735">
        <w:rPr>
          <w:rFonts w:cstheme="minorHAnsi"/>
          <w:sz w:val="24"/>
          <w:szCs w:val="24"/>
        </w:rPr>
        <w:t xml:space="preserve"> public transportation passes, petrol to personal vehicle, etc.), school trips and extra classes</w:t>
      </w:r>
      <w:r w:rsidR="00B843C7">
        <w:rPr>
          <w:rFonts w:cstheme="minorHAnsi"/>
          <w:sz w:val="24"/>
          <w:szCs w:val="24"/>
        </w:rPr>
        <w:t xml:space="preserve"> on a logarithmic scale</w:t>
      </w:r>
      <w:r w:rsidR="00C52E32">
        <w:rPr>
          <w:rFonts w:cstheme="minorHAnsi"/>
          <w:sz w:val="24"/>
          <w:szCs w:val="24"/>
        </w:rPr>
        <w:t>.</w:t>
      </w:r>
      <w:r w:rsidR="00770735">
        <w:rPr>
          <w:rFonts w:cstheme="minorHAnsi"/>
          <w:sz w:val="24"/>
          <w:szCs w:val="24"/>
        </w:rPr>
        <w:t xml:space="preserve"> The </w:t>
      </w:r>
      <w:r w:rsidR="000B785B">
        <w:rPr>
          <w:rFonts w:cstheme="minorHAnsi"/>
          <w:sz w:val="24"/>
          <w:szCs w:val="24"/>
        </w:rPr>
        <w:t>former</w:t>
      </w:r>
      <w:r w:rsidR="00770735">
        <w:rPr>
          <w:rFonts w:cstheme="minorHAnsi"/>
          <w:sz w:val="24"/>
          <w:szCs w:val="24"/>
        </w:rPr>
        <w:t xml:space="preserve"> indicator is the sum of the given categories </w:t>
      </w:r>
      <w:r w:rsidR="000B785B">
        <w:rPr>
          <w:rFonts w:cstheme="minorHAnsi"/>
          <w:sz w:val="24"/>
          <w:szCs w:val="24"/>
        </w:rPr>
        <w:t xml:space="preserve">given in the two questions below </w:t>
      </w:r>
      <w:r w:rsidR="00770735">
        <w:rPr>
          <w:rFonts w:cstheme="minorHAnsi"/>
          <w:sz w:val="24"/>
          <w:szCs w:val="24"/>
        </w:rPr>
        <w:t>multiplied by negative one, so the higher, the bette</w:t>
      </w:r>
      <w:r w:rsidR="000B785B">
        <w:rPr>
          <w:rFonts w:cstheme="minorHAnsi"/>
          <w:sz w:val="24"/>
          <w:szCs w:val="24"/>
        </w:rPr>
        <w:t xml:space="preserve">r the </w:t>
      </w:r>
      <w:r w:rsidR="00177F7B">
        <w:rPr>
          <w:rFonts w:cstheme="minorHAnsi"/>
          <w:sz w:val="24"/>
          <w:szCs w:val="24"/>
        </w:rPr>
        <w:t>e</w:t>
      </w:r>
      <w:r w:rsidR="000B785B">
        <w:rPr>
          <w:rFonts w:cstheme="minorHAnsi"/>
          <w:sz w:val="24"/>
          <w:szCs w:val="24"/>
        </w:rPr>
        <w:t>ngagement</w:t>
      </w:r>
      <w:r w:rsidR="00770735">
        <w:rPr>
          <w:rFonts w:cstheme="minorHAnsi"/>
          <w:sz w:val="24"/>
          <w:szCs w:val="24"/>
        </w:rPr>
        <w:t>.</w:t>
      </w:r>
    </w:p>
    <w:p w14:paraId="60D114AE" w14:textId="77777777" w:rsidR="00177F7B" w:rsidRDefault="00177F7B" w:rsidP="00177F7B">
      <w:pPr>
        <w:pStyle w:val="kerd"/>
        <w:numPr>
          <w:ilvl w:val="0"/>
          <w:numId w:val="0"/>
        </w:numPr>
        <w:ind w:left="510" w:hanging="113"/>
        <w:jc w:val="both"/>
        <w:rPr>
          <w:rFonts w:asciiTheme="minorHAnsi" w:eastAsiaTheme="minorHAnsi" w:hAnsiTheme="minorHAnsi"/>
          <w:i/>
          <w:iCs/>
          <w:sz w:val="24"/>
          <w:szCs w:val="24"/>
          <w:lang w:eastAsia="en-US"/>
        </w:rPr>
      </w:pPr>
      <w:r w:rsidRPr="00C52E32">
        <w:rPr>
          <w:rFonts w:asciiTheme="minorHAnsi" w:eastAsiaTheme="minorHAnsi" w:hAnsiTheme="minorHAnsi"/>
          <w:i/>
          <w:iCs/>
          <w:sz w:val="24"/>
          <w:szCs w:val="24"/>
          <w:lang w:eastAsia="en-US"/>
        </w:rPr>
        <w:lastRenderedPageBreak/>
        <w:t>How often did they attend ..................’s parent-teacher conferences since 5th grade?</w:t>
      </w:r>
    </w:p>
    <w:p w14:paraId="501343A2" w14:textId="77777777" w:rsidR="00177F7B" w:rsidRPr="00C52E32" w:rsidRDefault="00177F7B" w:rsidP="00177F7B">
      <w:pPr>
        <w:pStyle w:val="kerd"/>
        <w:numPr>
          <w:ilvl w:val="0"/>
          <w:numId w:val="0"/>
        </w:numPr>
        <w:ind w:left="510" w:hanging="510"/>
        <w:jc w:val="both"/>
        <w:rPr>
          <w:rFonts w:asciiTheme="minorHAnsi" w:eastAsiaTheme="minorHAnsi" w:hAnsiTheme="minorHAnsi"/>
          <w:i/>
          <w:iCs/>
          <w:sz w:val="24"/>
          <w:szCs w:val="24"/>
          <w:lang w:eastAsia="en-US"/>
        </w:rPr>
      </w:pPr>
      <w:r>
        <w:rPr>
          <w:rFonts w:asciiTheme="minorHAnsi" w:eastAsiaTheme="minorHAnsi" w:hAnsiTheme="minorHAnsi"/>
          <w:i/>
          <w:iCs/>
          <w:sz w:val="24"/>
          <w:szCs w:val="24"/>
          <w:lang w:eastAsia="en-US"/>
        </w:rPr>
        <w:tab/>
      </w:r>
    </w:p>
    <w:p w14:paraId="0E167153" w14:textId="77777777" w:rsidR="00177F7B" w:rsidRPr="00C52E32" w:rsidRDefault="00177F7B" w:rsidP="00177F7B">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1 – almost always,</w:t>
      </w:r>
    </w:p>
    <w:p w14:paraId="0E063DF8" w14:textId="77777777" w:rsidR="00177F7B" w:rsidRPr="00C52E32" w:rsidRDefault="00177F7B" w:rsidP="00177F7B">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2 – usually,</w:t>
      </w:r>
    </w:p>
    <w:p w14:paraId="20840B24" w14:textId="77777777" w:rsidR="00177F7B" w:rsidRPr="00C52E32" w:rsidRDefault="00177F7B" w:rsidP="00177F7B">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3 – a few times, or</w:t>
      </w:r>
    </w:p>
    <w:p w14:paraId="04AC38D3" w14:textId="24089DFF" w:rsidR="00177F7B" w:rsidRDefault="00177F7B" w:rsidP="00177F7B">
      <w:pPr>
        <w:pStyle w:val="v1"/>
        <w:ind w:left="720" w:firstLine="0"/>
        <w:jc w:val="both"/>
        <w:rPr>
          <w:rFonts w:asciiTheme="minorHAnsi" w:eastAsiaTheme="minorHAnsi" w:hAnsiTheme="minorHAnsi"/>
          <w:sz w:val="24"/>
          <w:szCs w:val="24"/>
          <w:lang w:eastAsia="en-US"/>
        </w:rPr>
      </w:pPr>
      <w:r w:rsidRPr="00C52E32">
        <w:rPr>
          <w:rFonts w:asciiTheme="minorHAnsi" w:eastAsiaTheme="minorHAnsi" w:hAnsiTheme="minorHAnsi"/>
          <w:sz w:val="24"/>
          <w:szCs w:val="24"/>
          <w:lang w:eastAsia="en-US"/>
        </w:rPr>
        <w:t xml:space="preserve">4 – almost never attend </w:t>
      </w:r>
      <w:proofErr w:type="gramStart"/>
      <w:r w:rsidRPr="00C52E32">
        <w:rPr>
          <w:rFonts w:asciiTheme="minorHAnsi" w:eastAsiaTheme="minorHAnsi" w:hAnsiTheme="minorHAnsi"/>
          <w:sz w:val="24"/>
          <w:szCs w:val="24"/>
          <w:lang w:eastAsia="en-US"/>
        </w:rPr>
        <w:t>them</w:t>
      </w:r>
      <w:proofErr w:type="gramEnd"/>
    </w:p>
    <w:p w14:paraId="79A2119B" w14:textId="77777777" w:rsidR="00A83082" w:rsidRDefault="00A83082" w:rsidP="00177F7B">
      <w:pPr>
        <w:pStyle w:val="v1"/>
        <w:ind w:left="720" w:firstLine="0"/>
        <w:jc w:val="both"/>
        <w:rPr>
          <w:rFonts w:asciiTheme="minorHAnsi" w:eastAsiaTheme="minorHAnsi" w:hAnsiTheme="minorHAnsi"/>
          <w:sz w:val="24"/>
          <w:szCs w:val="24"/>
          <w:lang w:eastAsia="en-US"/>
        </w:rPr>
      </w:pPr>
    </w:p>
    <w:p w14:paraId="7E394E51" w14:textId="77777777" w:rsidR="00A83082" w:rsidRDefault="00A83082" w:rsidP="00A83082">
      <w:pPr>
        <w:pStyle w:val="kerd"/>
        <w:numPr>
          <w:ilvl w:val="0"/>
          <w:numId w:val="0"/>
        </w:numPr>
        <w:ind w:left="510" w:hanging="113"/>
        <w:jc w:val="both"/>
        <w:rPr>
          <w:rFonts w:asciiTheme="minorHAnsi" w:eastAsiaTheme="minorHAnsi" w:hAnsiTheme="minorHAnsi"/>
          <w:i/>
          <w:iCs/>
          <w:sz w:val="24"/>
          <w:szCs w:val="24"/>
          <w:lang w:eastAsia="en-US"/>
        </w:rPr>
      </w:pPr>
      <w:r w:rsidRPr="00C52E32">
        <w:rPr>
          <w:rFonts w:asciiTheme="minorHAnsi" w:eastAsiaTheme="minorHAnsi" w:hAnsiTheme="minorHAnsi"/>
          <w:i/>
          <w:iCs/>
          <w:sz w:val="24"/>
          <w:szCs w:val="24"/>
          <w:lang w:eastAsia="en-US"/>
        </w:rPr>
        <w:t>Apart from parent-teacher conferences, how often have they seen the teachers since</w:t>
      </w:r>
      <w:r>
        <w:rPr>
          <w:rFonts w:asciiTheme="minorHAnsi" w:eastAsiaTheme="minorHAnsi" w:hAnsiTheme="minorHAnsi"/>
          <w:i/>
          <w:iCs/>
          <w:sz w:val="24"/>
          <w:szCs w:val="24"/>
          <w:lang w:eastAsia="en-US"/>
        </w:rPr>
        <w:t xml:space="preserve"> </w:t>
      </w:r>
      <w:r w:rsidRPr="00C52E32">
        <w:rPr>
          <w:rFonts w:asciiTheme="minorHAnsi" w:eastAsiaTheme="minorHAnsi" w:hAnsiTheme="minorHAnsi"/>
          <w:i/>
          <w:iCs/>
          <w:sz w:val="24"/>
          <w:szCs w:val="24"/>
          <w:lang w:eastAsia="en-US"/>
        </w:rPr>
        <w:t>................... went to 5th grade?</w:t>
      </w:r>
    </w:p>
    <w:p w14:paraId="777E683E" w14:textId="77777777" w:rsidR="00A83082" w:rsidRPr="00C52E32" w:rsidRDefault="00A83082" w:rsidP="00A83082">
      <w:pPr>
        <w:pStyle w:val="kerd"/>
        <w:numPr>
          <w:ilvl w:val="0"/>
          <w:numId w:val="0"/>
        </w:numPr>
        <w:ind w:left="510" w:hanging="113"/>
        <w:jc w:val="both"/>
        <w:rPr>
          <w:rFonts w:asciiTheme="minorHAnsi" w:eastAsiaTheme="minorHAnsi" w:hAnsiTheme="minorHAnsi"/>
          <w:i/>
          <w:iCs/>
          <w:sz w:val="24"/>
          <w:szCs w:val="24"/>
          <w:lang w:eastAsia="en-US"/>
        </w:rPr>
      </w:pPr>
    </w:p>
    <w:p w14:paraId="4772053D" w14:textId="77777777" w:rsidR="00A83082" w:rsidRDefault="00A83082" w:rsidP="00A83082">
      <w:pPr>
        <w:pStyle w:val="vk"/>
      </w:pPr>
    </w:p>
    <w:p w14:paraId="7C3FD298" w14:textId="77777777" w:rsidR="00A83082" w:rsidRPr="00C52E32" w:rsidRDefault="00A83082" w:rsidP="00A83082">
      <w:pPr>
        <w:pStyle w:val="v1"/>
        <w:ind w:left="720" w:firstLine="0"/>
        <w:jc w:val="both"/>
        <w:rPr>
          <w:rFonts w:asciiTheme="minorHAnsi" w:eastAsiaTheme="minorHAnsi" w:hAnsiTheme="minorHAnsi"/>
          <w:sz w:val="24"/>
          <w:szCs w:val="24"/>
          <w:lang w:eastAsia="en-US"/>
        </w:rPr>
      </w:pPr>
      <w:proofErr w:type="gramStart"/>
      <w:r w:rsidRPr="00C52E32">
        <w:rPr>
          <w:rFonts w:asciiTheme="minorHAnsi" w:eastAsiaTheme="minorHAnsi" w:hAnsiTheme="minorHAnsi"/>
          <w:sz w:val="24"/>
          <w:szCs w:val="24"/>
          <w:lang w:eastAsia="en-US"/>
        </w:rPr>
        <w:t>1  –</w:t>
      </w:r>
      <w:proofErr w:type="gramEnd"/>
      <w:r w:rsidRPr="00C52E32">
        <w:rPr>
          <w:rFonts w:asciiTheme="minorHAnsi" w:eastAsiaTheme="minorHAnsi" w:hAnsiTheme="minorHAnsi"/>
          <w:sz w:val="24"/>
          <w:szCs w:val="24"/>
          <w:lang w:eastAsia="en-US"/>
        </w:rPr>
        <w:t xml:space="preserve">  Often,</w:t>
      </w:r>
    </w:p>
    <w:p w14:paraId="377EFE77" w14:textId="77777777" w:rsidR="00A83082" w:rsidRPr="00C52E32" w:rsidRDefault="00A83082" w:rsidP="00A83082">
      <w:pPr>
        <w:pStyle w:val="v1"/>
        <w:ind w:left="720" w:firstLine="0"/>
        <w:jc w:val="both"/>
        <w:rPr>
          <w:rFonts w:asciiTheme="minorHAnsi" w:eastAsiaTheme="minorHAnsi" w:hAnsiTheme="minorHAnsi"/>
          <w:sz w:val="24"/>
          <w:szCs w:val="24"/>
          <w:lang w:eastAsia="en-US"/>
        </w:rPr>
      </w:pPr>
      <w:proofErr w:type="gramStart"/>
      <w:r w:rsidRPr="00C52E32">
        <w:rPr>
          <w:rFonts w:asciiTheme="minorHAnsi" w:eastAsiaTheme="minorHAnsi" w:hAnsiTheme="minorHAnsi"/>
          <w:sz w:val="24"/>
          <w:szCs w:val="24"/>
          <w:lang w:eastAsia="en-US"/>
        </w:rPr>
        <w:t>2  –</w:t>
      </w:r>
      <w:proofErr w:type="gramEnd"/>
      <w:r w:rsidRPr="00C52E32">
        <w:rPr>
          <w:rFonts w:asciiTheme="minorHAnsi" w:eastAsiaTheme="minorHAnsi" w:hAnsiTheme="minorHAnsi"/>
          <w:sz w:val="24"/>
          <w:szCs w:val="24"/>
          <w:lang w:eastAsia="en-US"/>
        </w:rPr>
        <w:t xml:space="preserve">  rarely, or</w:t>
      </w:r>
    </w:p>
    <w:p w14:paraId="1DF4EEC7" w14:textId="77777777" w:rsidR="00A83082" w:rsidRDefault="00A83082" w:rsidP="00A83082">
      <w:pPr>
        <w:pStyle w:val="v1"/>
        <w:ind w:left="720" w:firstLine="0"/>
        <w:jc w:val="both"/>
        <w:rPr>
          <w:rFonts w:asciiTheme="minorHAnsi" w:eastAsiaTheme="minorHAnsi" w:hAnsiTheme="minorHAnsi"/>
          <w:sz w:val="24"/>
          <w:szCs w:val="24"/>
          <w:lang w:eastAsia="en-US"/>
        </w:rPr>
      </w:pPr>
      <w:proofErr w:type="gramStart"/>
      <w:r w:rsidRPr="00C52E32">
        <w:rPr>
          <w:rFonts w:asciiTheme="minorHAnsi" w:eastAsiaTheme="minorHAnsi" w:hAnsiTheme="minorHAnsi"/>
          <w:sz w:val="24"/>
          <w:szCs w:val="24"/>
          <w:lang w:eastAsia="en-US"/>
        </w:rPr>
        <w:t>3  –</w:t>
      </w:r>
      <w:proofErr w:type="gramEnd"/>
      <w:r w:rsidRPr="00C52E32">
        <w:rPr>
          <w:rFonts w:asciiTheme="minorHAnsi" w:eastAsiaTheme="minorHAnsi" w:hAnsiTheme="minorHAnsi"/>
          <w:sz w:val="24"/>
          <w:szCs w:val="24"/>
          <w:lang w:eastAsia="en-US"/>
        </w:rPr>
        <w:t xml:space="preserve">  never?</w:t>
      </w:r>
    </w:p>
    <w:p w14:paraId="37EB6BF6" w14:textId="77777777" w:rsidR="008F222E" w:rsidRDefault="008F222E" w:rsidP="003E1CB6">
      <w:pPr>
        <w:spacing w:line="360" w:lineRule="auto"/>
        <w:jc w:val="both"/>
        <w:rPr>
          <w:rFonts w:cstheme="minorHAnsi"/>
          <w:sz w:val="24"/>
          <w:szCs w:val="24"/>
        </w:rPr>
      </w:pPr>
    </w:p>
    <w:p w14:paraId="653D8AF4" w14:textId="7EBA7351" w:rsidR="000717F2" w:rsidRPr="008F222E" w:rsidRDefault="000717F2" w:rsidP="003E1CB6">
      <w:pPr>
        <w:spacing w:line="360" w:lineRule="auto"/>
        <w:jc w:val="both"/>
        <w:rPr>
          <w:rFonts w:cstheme="minorHAnsi"/>
          <w:sz w:val="24"/>
          <w:szCs w:val="24"/>
        </w:rPr>
      </w:pPr>
      <w:r>
        <w:rPr>
          <w:rFonts w:cstheme="minorHAnsi"/>
          <w:b/>
          <w:bCs/>
          <w:sz w:val="24"/>
          <w:szCs w:val="24"/>
        </w:rPr>
        <w:t>Residential Mobility</w:t>
      </w:r>
      <w:r w:rsidR="00881E40">
        <w:rPr>
          <w:rFonts w:cstheme="minorHAnsi"/>
          <w:b/>
          <w:bCs/>
          <w:sz w:val="24"/>
          <w:szCs w:val="24"/>
        </w:rPr>
        <w:t xml:space="preserve"> (integer)</w:t>
      </w:r>
      <w:r>
        <w:rPr>
          <w:rFonts w:cstheme="minorHAnsi"/>
          <w:b/>
          <w:bCs/>
          <w:sz w:val="24"/>
          <w:szCs w:val="24"/>
        </w:rPr>
        <w:t>:</w:t>
      </w:r>
      <w:r w:rsidR="008F222E">
        <w:rPr>
          <w:rFonts w:cstheme="minorHAnsi"/>
          <w:b/>
          <w:bCs/>
          <w:sz w:val="24"/>
          <w:szCs w:val="24"/>
        </w:rPr>
        <w:t xml:space="preserve"> </w:t>
      </w:r>
      <w:r w:rsidR="008F222E" w:rsidRPr="008F222E">
        <w:rPr>
          <w:rFonts w:cstheme="minorHAnsi"/>
          <w:sz w:val="24"/>
          <w:szCs w:val="24"/>
        </w:rPr>
        <w:t xml:space="preserve">Respondents were asked to list all the schools he/she attended </w:t>
      </w:r>
      <w:r w:rsidR="008F222E">
        <w:rPr>
          <w:rFonts w:cstheme="minorHAnsi"/>
          <w:sz w:val="24"/>
          <w:szCs w:val="24"/>
        </w:rPr>
        <w:t>until 2006</w:t>
      </w:r>
      <w:r w:rsidR="008F222E" w:rsidRPr="008F222E">
        <w:rPr>
          <w:rFonts w:cstheme="minorHAnsi"/>
          <w:sz w:val="24"/>
          <w:szCs w:val="24"/>
        </w:rPr>
        <w:t xml:space="preserve"> and why did he/she switch from one to another.</w:t>
      </w:r>
      <w:r w:rsidR="008F222E">
        <w:rPr>
          <w:rFonts w:cstheme="minorHAnsi"/>
          <w:sz w:val="24"/>
          <w:szCs w:val="24"/>
        </w:rPr>
        <w:t xml:space="preserve"> The number of school changes due to </w:t>
      </w:r>
      <w:r w:rsidR="003C4099">
        <w:rPr>
          <w:rFonts w:cstheme="minorHAnsi"/>
          <w:sz w:val="24"/>
          <w:szCs w:val="24"/>
        </w:rPr>
        <w:t>moving</w:t>
      </w:r>
      <w:r w:rsidR="008F222E">
        <w:rPr>
          <w:rFonts w:cstheme="minorHAnsi"/>
          <w:sz w:val="24"/>
          <w:szCs w:val="24"/>
        </w:rPr>
        <w:t xml:space="preserve"> were summed up to determine the mobility rate of the student in the pre-treatment period.</w:t>
      </w:r>
    </w:p>
    <w:sectPr w:rsidR="000717F2" w:rsidRPr="008F222E" w:rsidSect="007B2452">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2F96" w14:textId="77777777" w:rsidR="00B76B5A" w:rsidRDefault="00B76B5A" w:rsidP="00F63A55">
      <w:pPr>
        <w:spacing w:after="0" w:line="240" w:lineRule="auto"/>
      </w:pPr>
      <w:r>
        <w:separator/>
      </w:r>
    </w:p>
  </w:endnote>
  <w:endnote w:type="continuationSeparator" w:id="0">
    <w:p w14:paraId="21A2B434" w14:textId="77777777" w:rsidR="00B76B5A" w:rsidRDefault="00B76B5A" w:rsidP="00F63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12174" w14:textId="1B918BF2" w:rsidR="004E5911" w:rsidRDefault="004E5911">
    <w:pPr>
      <w:pStyle w:val="Footer"/>
    </w:pPr>
  </w:p>
  <w:p w14:paraId="39B275CB" w14:textId="77777777" w:rsidR="004E5911" w:rsidRDefault="004E5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468E7" w14:textId="77777777" w:rsidR="00B76B5A" w:rsidRDefault="00B76B5A" w:rsidP="00F63A55">
      <w:pPr>
        <w:spacing w:after="0" w:line="240" w:lineRule="auto"/>
      </w:pPr>
      <w:r>
        <w:separator/>
      </w:r>
    </w:p>
  </w:footnote>
  <w:footnote w:type="continuationSeparator" w:id="0">
    <w:p w14:paraId="217E2CA8" w14:textId="77777777" w:rsidR="00B76B5A" w:rsidRDefault="00B76B5A" w:rsidP="00F63A55">
      <w:pPr>
        <w:spacing w:after="0" w:line="240" w:lineRule="auto"/>
      </w:pPr>
      <w:r>
        <w:continuationSeparator/>
      </w:r>
    </w:p>
  </w:footnote>
  <w:footnote w:id="1">
    <w:p w14:paraId="473C7221" w14:textId="32AEAC9C" w:rsidR="004E5911" w:rsidRPr="00F579E5" w:rsidRDefault="004E5911" w:rsidP="008F3A56">
      <w:pPr>
        <w:pStyle w:val="FootnoteText"/>
        <w:rPr>
          <w:lang w:val="hu-HU"/>
        </w:rPr>
      </w:pPr>
      <w:r w:rsidRPr="00457C48">
        <w:rPr>
          <w:rStyle w:val="FootnoteReference"/>
        </w:rPr>
        <w:footnoteRef/>
      </w:r>
      <w:r w:rsidRPr="00F579E5">
        <w:t xml:space="preserve"> </w:t>
      </w:r>
      <w:r w:rsidRPr="00F579E5">
        <w:rPr>
          <w:rFonts w:cstheme="minorHAnsi"/>
        </w:rPr>
        <w:t xml:space="preserve">Children who experienced a divorce before 14 and possibly </w:t>
      </w:r>
      <w:r>
        <w:rPr>
          <w:rFonts w:cstheme="minorHAnsi"/>
        </w:rPr>
        <w:t>add</w:t>
      </w:r>
      <w:r w:rsidRPr="00F579E5">
        <w:rPr>
          <w:rFonts w:cstheme="minorHAnsi"/>
        </w:rPr>
        <w:t>itional family transition but the structure was stable between the waves</w:t>
      </w:r>
      <w:r>
        <w:rPr>
          <w:rFonts w:cstheme="minorHAnsi"/>
        </w:rPr>
        <w:t>.</w:t>
      </w:r>
    </w:p>
  </w:footnote>
  <w:footnote w:id="2">
    <w:p w14:paraId="74F337FF" w14:textId="77777777" w:rsidR="004E5911" w:rsidRPr="00F579E5" w:rsidRDefault="004E5911" w:rsidP="008F3A56">
      <w:pPr>
        <w:pStyle w:val="FootnoteText"/>
        <w:rPr>
          <w:lang w:val="hu-HU"/>
        </w:rPr>
      </w:pPr>
      <w:r w:rsidRPr="00457C48">
        <w:rPr>
          <w:rStyle w:val="FootnoteReference"/>
        </w:rPr>
        <w:footnoteRef/>
      </w:r>
      <w:r w:rsidRPr="00F579E5">
        <w:t xml:space="preserve"> </w:t>
      </w:r>
      <w:r w:rsidRPr="00F579E5">
        <w:rPr>
          <w:rFonts w:cstheme="minorHAnsi"/>
        </w:rPr>
        <w:t>Children who experienced a divorce before 14 and the transition was in-between the waves</w:t>
      </w:r>
      <w:r>
        <w:rPr>
          <w:rFonts w:cstheme="min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232347"/>
      <w:docPartObj>
        <w:docPartGallery w:val="Page Numbers (Top of Page)"/>
        <w:docPartUnique/>
      </w:docPartObj>
    </w:sdtPr>
    <w:sdtEndPr>
      <w:rPr>
        <w:noProof/>
      </w:rPr>
    </w:sdtEndPr>
    <w:sdtContent>
      <w:p w14:paraId="26F0CF01" w14:textId="2C049BBB" w:rsidR="004E5911" w:rsidRDefault="004E5911">
        <w:pPr>
          <w:pStyle w:val="Header"/>
        </w:pPr>
        <w:r>
          <w:fldChar w:fldCharType="begin"/>
        </w:r>
        <w:r>
          <w:instrText xml:space="preserve"> PAGE   \* MERGEFORMAT </w:instrText>
        </w:r>
        <w:r>
          <w:fldChar w:fldCharType="separate"/>
        </w:r>
        <w:r>
          <w:rPr>
            <w:noProof/>
          </w:rPr>
          <w:t>2</w:t>
        </w:r>
        <w:r>
          <w:rPr>
            <w:noProof/>
          </w:rPr>
          <w:fldChar w:fldCharType="end"/>
        </w:r>
        <w:r>
          <w:rPr>
            <w:noProof/>
          </w:rPr>
          <w:tab/>
        </w:r>
        <w:r>
          <w:rPr>
            <w:noProof/>
          </w:rPr>
          <w:fldChar w:fldCharType="begin"/>
        </w:r>
        <w:r>
          <w:rPr>
            <w:noProof/>
          </w:rPr>
          <w:instrText xml:space="preserve"> STYLEREF  "Heading 1"  \* MERGEFORMAT </w:instrText>
        </w:r>
        <w:r>
          <w:rPr>
            <w:noProof/>
          </w:rPr>
          <w:fldChar w:fldCharType="separate"/>
        </w:r>
        <w:r w:rsidR="001C35E6">
          <w:rPr>
            <w:noProof/>
          </w:rPr>
          <w:t>Appendix</w:t>
        </w:r>
        <w:r>
          <w:rPr>
            <w:noProof/>
          </w:rPr>
          <w:fldChar w:fldCharType="end"/>
        </w:r>
      </w:p>
    </w:sdtContent>
  </w:sdt>
  <w:p w14:paraId="6350929D" w14:textId="483EA946" w:rsidR="004E5911" w:rsidRPr="00D00A76" w:rsidRDefault="004E5911">
    <w:pPr>
      <w:pStyle w:val="Header"/>
      <w:rPr>
        <w:lang w:val="hu-H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987D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A7CAB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2A2E9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F2EB89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470FDE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04AAD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7425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6284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B8A9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7E27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D87C56"/>
    <w:multiLevelType w:val="multilevel"/>
    <w:tmpl w:val="0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1" w15:restartNumberingAfterBreak="0">
    <w:nsid w:val="289D36F7"/>
    <w:multiLevelType w:val="multilevel"/>
    <w:tmpl w:val="B3F8D5D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703673"/>
    <w:multiLevelType w:val="hybridMultilevel"/>
    <w:tmpl w:val="71A0A720"/>
    <w:lvl w:ilvl="0" w:tplc="0809000F">
      <w:start w:val="28"/>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556AA4"/>
    <w:multiLevelType w:val="hybridMultilevel"/>
    <w:tmpl w:val="CDFE430E"/>
    <w:lvl w:ilvl="0" w:tplc="0809000F">
      <w:start w:val="8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FA48D7"/>
    <w:multiLevelType w:val="multilevel"/>
    <w:tmpl w:val="5BB2529E"/>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2C246D"/>
    <w:multiLevelType w:val="multilevel"/>
    <w:tmpl w:val="B3F8D5D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62794F"/>
    <w:multiLevelType w:val="hybridMultilevel"/>
    <w:tmpl w:val="83EEAD98"/>
    <w:lvl w:ilvl="0" w:tplc="C84829F4">
      <w:start w:val="1"/>
      <w:numFmt w:val="decimal"/>
      <w:lvlText w:val="%1."/>
      <w:lvlJc w:val="left"/>
      <w:pPr>
        <w:ind w:left="720" w:hanging="36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C914FF"/>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56E56AA2"/>
    <w:multiLevelType w:val="multilevel"/>
    <w:tmpl w:val="B3F8D5D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8B86300"/>
    <w:multiLevelType w:val="multilevel"/>
    <w:tmpl w:val="903CCBAA"/>
    <w:lvl w:ilvl="0">
      <w:start w:val="1"/>
      <w:numFmt w:val="decimal"/>
      <w:lvlText w:val="%1."/>
      <w:lvlJc w:val="left"/>
      <w:pPr>
        <w:ind w:left="360" w:hanging="360"/>
      </w:pPr>
      <w:rPr>
        <w:rFonts w:eastAsiaTheme="minorHAnsi" w:cstheme="minorHAnsi" w:hint="default"/>
        <w:b/>
        <w:color w:val="0563C1" w:themeColor="hyperlink"/>
        <w:u w:val="single"/>
      </w:rPr>
    </w:lvl>
    <w:lvl w:ilvl="1">
      <w:start w:val="1"/>
      <w:numFmt w:val="decimal"/>
      <w:lvlText w:val="%1.%2."/>
      <w:lvlJc w:val="left"/>
      <w:pPr>
        <w:ind w:left="360" w:hanging="360"/>
      </w:pPr>
      <w:rPr>
        <w:rFonts w:eastAsiaTheme="minorHAnsi" w:cstheme="minorHAnsi" w:hint="default"/>
        <w:b/>
        <w:color w:val="0563C1" w:themeColor="hyperlink"/>
        <w:u w:val="single"/>
      </w:rPr>
    </w:lvl>
    <w:lvl w:ilvl="2">
      <w:start w:val="1"/>
      <w:numFmt w:val="decimal"/>
      <w:lvlText w:val="%1.%2.%3."/>
      <w:lvlJc w:val="left"/>
      <w:pPr>
        <w:ind w:left="720" w:hanging="720"/>
      </w:pPr>
      <w:rPr>
        <w:rFonts w:eastAsiaTheme="minorHAnsi" w:cstheme="minorHAnsi" w:hint="default"/>
        <w:b/>
        <w:color w:val="0563C1" w:themeColor="hyperlink"/>
        <w:u w:val="single"/>
      </w:rPr>
    </w:lvl>
    <w:lvl w:ilvl="3">
      <w:start w:val="1"/>
      <w:numFmt w:val="decimal"/>
      <w:lvlText w:val="%1.%2.%3.%4."/>
      <w:lvlJc w:val="left"/>
      <w:pPr>
        <w:ind w:left="720" w:hanging="720"/>
      </w:pPr>
      <w:rPr>
        <w:rFonts w:eastAsiaTheme="minorHAnsi" w:cstheme="minorHAnsi" w:hint="default"/>
        <w:b/>
        <w:color w:val="0563C1" w:themeColor="hyperlink"/>
        <w:u w:val="single"/>
      </w:rPr>
    </w:lvl>
    <w:lvl w:ilvl="4">
      <w:start w:val="1"/>
      <w:numFmt w:val="decimal"/>
      <w:lvlText w:val="%1.%2.%3.%4.%5."/>
      <w:lvlJc w:val="left"/>
      <w:pPr>
        <w:ind w:left="1080" w:hanging="1080"/>
      </w:pPr>
      <w:rPr>
        <w:rFonts w:eastAsiaTheme="minorHAnsi" w:cstheme="minorHAnsi" w:hint="default"/>
        <w:b/>
        <w:color w:val="0563C1" w:themeColor="hyperlink"/>
        <w:u w:val="single"/>
      </w:rPr>
    </w:lvl>
    <w:lvl w:ilvl="5">
      <w:start w:val="1"/>
      <w:numFmt w:val="decimal"/>
      <w:lvlText w:val="%1.%2.%3.%4.%5.%6."/>
      <w:lvlJc w:val="left"/>
      <w:pPr>
        <w:ind w:left="1080" w:hanging="1080"/>
      </w:pPr>
      <w:rPr>
        <w:rFonts w:eastAsiaTheme="minorHAnsi" w:cstheme="minorHAnsi" w:hint="default"/>
        <w:b/>
        <w:color w:val="0563C1" w:themeColor="hyperlink"/>
        <w:u w:val="single"/>
      </w:rPr>
    </w:lvl>
    <w:lvl w:ilvl="6">
      <w:start w:val="1"/>
      <w:numFmt w:val="decimal"/>
      <w:lvlText w:val="%1.%2.%3.%4.%5.%6.%7."/>
      <w:lvlJc w:val="left"/>
      <w:pPr>
        <w:ind w:left="1440" w:hanging="1440"/>
      </w:pPr>
      <w:rPr>
        <w:rFonts w:eastAsiaTheme="minorHAnsi" w:cstheme="minorHAnsi" w:hint="default"/>
        <w:b/>
        <w:color w:val="0563C1" w:themeColor="hyperlink"/>
        <w:u w:val="single"/>
      </w:rPr>
    </w:lvl>
    <w:lvl w:ilvl="7">
      <w:start w:val="1"/>
      <w:numFmt w:val="decimal"/>
      <w:lvlText w:val="%1.%2.%3.%4.%5.%6.%7.%8."/>
      <w:lvlJc w:val="left"/>
      <w:pPr>
        <w:ind w:left="1440" w:hanging="1440"/>
      </w:pPr>
      <w:rPr>
        <w:rFonts w:eastAsiaTheme="minorHAnsi" w:cstheme="minorHAnsi" w:hint="default"/>
        <w:b/>
        <w:color w:val="0563C1" w:themeColor="hyperlink"/>
        <w:u w:val="single"/>
      </w:rPr>
    </w:lvl>
    <w:lvl w:ilvl="8">
      <w:start w:val="1"/>
      <w:numFmt w:val="decimal"/>
      <w:lvlText w:val="%1.%2.%3.%4.%5.%6.%7.%8.%9."/>
      <w:lvlJc w:val="left"/>
      <w:pPr>
        <w:ind w:left="1800" w:hanging="1800"/>
      </w:pPr>
      <w:rPr>
        <w:rFonts w:eastAsiaTheme="minorHAnsi" w:cstheme="minorHAnsi" w:hint="default"/>
        <w:b/>
        <w:color w:val="0563C1" w:themeColor="hyperlink"/>
        <w:u w:val="single"/>
      </w:rPr>
    </w:lvl>
  </w:abstractNum>
  <w:abstractNum w:abstractNumId="20" w15:restartNumberingAfterBreak="0">
    <w:nsid w:val="5CEC0D0F"/>
    <w:multiLevelType w:val="multilevel"/>
    <w:tmpl w:val="718437F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val="0"/>
        <w:bCs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5D674C"/>
    <w:multiLevelType w:val="multilevel"/>
    <w:tmpl w:val="58E4AA2E"/>
    <w:lvl w:ilvl="0">
      <w:start w:val="1"/>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728329D"/>
    <w:multiLevelType w:val="multilevel"/>
    <w:tmpl w:val="40205AAC"/>
    <w:lvl w:ilvl="0">
      <w:start w:val="1"/>
      <w:numFmt w:val="decimal"/>
      <w:pStyle w:val="kerd"/>
      <w:lvlText w:val="%1."/>
      <w:lvlJc w:val="left"/>
      <w:pPr>
        <w:tabs>
          <w:tab w:val="num" w:pos="510"/>
        </w:tabs>
        <w:ind w:left="510" w:hanging="510"/>
      </w:pPr>
      <w:rPr>
        <w:rFonts w:ascii="Arial" w:hAnsi="Arial" w:hint="default"/>
        <w:b/>
        <w:i w:val="0"/>
        <w:sz w:val="22"/>
        <w:u w:val="none"/>
      </w:rPr>
    </w:lvl>
    <w:lvl w:ilvl="1">
      <w:start w:val="1"/>
      <w:numFmt w:val="upperLetter"/>
      <w:lvlText w:val="%2."/>
      <w:lvlJc w:val="left"/>
      <w:pPr>
        <w:tabs>
          <w:tab w:val="num" w:pos="0"/>
        </w:tabs>
        <w:ind w:left="1218" w:hanging="708"/>
      </w:pPr>
      <w:rPr>
        <w:rFonts w:hint="default"/>
      </w:rPr>
    </w:lvl>
    <w:lvl w:ilvl="2">
      <w:start w:val="1"/>
      <w:numFmt w:val="decimal"/>
      <w:lvlText w:val="%3."/>
      <w:lvlJc w:val="left"/>
      <w:pPr>
        <w:tabs>
          <w:tab w:val="num" w:pos="0"/>
        </w:tabs>
        <w:ind w:left="1926" w:hanging="708"/>
      </w:pPr>
      <w:rPr>
        <w:rFonts w:hint="default"/>
      </w:rPr>
    </w:lvl>
    <w:lvl w:ilvl="3">
      <w:start w:val="1"/>
      <w:numFmt w:val="lowerLetter"/>
      <w:lvlText w:val="%4)"/>
      <w:lvlJc w:val="left"/>
      <w:pPr>
        <w:tabs>
          <w:tab w:val="num" w:pos="0"/>
        </w:tabs>
        <w:ind w:left="2634" w:hanging="708"/>
      </w:pPr>
      <w:rPr>
        <w:rFonts w:hint="default"/>
      </w:rPr>
    </w:lvl>
    <w:lvl w:ilvl="4">
      <w:start w:val="1"/>
      <w:numFmt w:val="decimal"/>
      <w:lvlText w:val="(%5)"/>
      <w:lvlJc w:val="left"/>
      <w:pPr>
        <w:tabs>
          <w:tab w:val="num" w:pos="0"/>
        </w:tabs>
        <w:ind w:left="3342" w:hanging="708"/>
      </w:pPr>
      <w:rPr>
        <w:rFonts w:hint="default"/>
      </w:rPr>
    </w:lvl>
    <w:lvl w:ilvl="5">
      <w:start w:val="1"/>
      <w:numFmt w:val="lowerLetter"/>
      <w:lvlText w:val="(%6)"/>
      <w:lvlJc w:val="left"/>
      <w:pPr>
        <w:tabs>
          <w:tab w:val="num" w:pos="0"/>
        </w:tabs>
        <w:ind w:left="4050" w:hanging="708"/>
      </w:pPr>
      <w:rPr>
        <w:rFonts w:hint="default"/>
      </w:rPr>
    </w:lvl>
    <w:lvl w:ilvl="6">
      <w:start w:val="1"/>
      <w:numFmt w:val="lowerRoman"/>
      <w:lvlText w:val="(%7)"/>
      <w:lvlJc w:val="left"/>
      <w:pPr>
        <w:tabs>
          <w:tab w:val="num" w:pos="0"/>
        </w:tabs>
        <w:ind w:left="4758" w:hanging="708"/>
      </w:pPr>
      <w:rPr>
        <w:rFonts w:hint="default"/>
      </w:rPr>
    </w:lvl>
    <w:lvl w:ilvl="7">
      <w:start w:val="1"/>
      <w:numFmt w:val="lowerLetter"/>
      <w:lvlText w:val="(%8)"/>
      <w:lvlJc w:val="left"/>
      <w:pPr>
        <w:tabs>
          <w:tab w:val="num" w:pos="0"/>
        </w:tabs>
        <w:ind w:left="5466" w:hanging="708"/>
      </w:pPr>
      <w:rPr>
        <w:rFonts w:hint="default"/>
      </w:rPr>
    </w:lvl>
    <w:lvl w:ilvl="8">
      <w:start w:val="1"/>
      <w:numFmt w:val="lowerRoman"/>
      <w:lvlText w:val="(%9)"/>
      <w:lvlJc w:val="left"/>
      <w:pPr>
        <w:tabs>
          <w:tab w:val="num" w:pos="0"/>
        </w:tabs>
        <w:ind w:left="6174" w:hanging="708"/>
      </w:pPr>
      <w:rPr>
        <w:rFonts w:hint="default"/>
      </w:rPr>
    </w:lvl>
  </w:abstractNum>
  <w:abstractNum w:abstractNumId="23" w15:restartNumberingAfterBreak="0">
    <w:nsid w:val="68D27CF4"/>
    <w:multiLevelType w:val="hybridMultilevel"/>
    <w:tmpl w:val="88268628"/>
    <w:lvl w:ilvl="0" w:tplc="DEEEE2A6">
      <w:start w:val="92"/>
      <w:numFmt w:val="decimal"/>
      <w:lvlText w:val="%1."/>
      <w:lvlJc w:val="left"/>
      <w:pPr>
        <w:ind w:left="810" w:hanging="450"/>
      </w:pPr>
      <w:rPr>
        <w:rFonts w:eastAsiaTheme="majorEastAsia" w:cstheme="minorHAnsi"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20"/>
  </w:num>
  <w:num w:numId="3">
    <w:abstractNumId w:val="21"/>
  </w:num>
  <w:num w:numId="4">
    <w:abstractNumId w:val="10"/>
  </w:num>
  <w:num w:numId="5">
    <w:abstractNumId w:val="17"/>
  </w:num>
  <w:num w:numId="6">
    <w:abstractNumId w:val="11"/>
  </w:num>
  <w:num w:numId="7">
    <w:abstractNumId w:val="18"/>
  </w:num>
  <w:num w:numId="8">
    <w:abstractNumId w:val="14"/>
  </w:num>
  <w:num w:numId="9">
    <w:abstractNumId w:val="15"/>
  </w:num>
  <w:num w:numId="10">
    <w:abstractNumId w:val="1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12"/>
  </w:num>
  <w:num w:numId="23">
    <w:abstractNumId w:val="23"/>
  </w:num>
  <w:num w:numId="24">
    <w:abstractNumId w:val="22"/>
  </w:num>
  <w:num w:numId="25">
    <w:abstractNumId w:val="22"/>
  </w:num>
  <w:num w:numId="26">
    <w:abstractNumId w:val="13"/>
  </w:num>
  <w:num w:numId="27">
    <w:abstractNumId w:val="22"/>
  </w:num>
  <w:num w:numId="28">
    <w:abstractNumId w:val="2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W1MDWwNDE1sDA3NjRW0lEKTi0uzszPAykwN64FAGub2+ItAAAA"/>
  </w:docVars>
  <w:rsids>
    <w:rsidRoot w:val="00D2600F"/>
    <w:rsid w:val="00001404"/>
    <w:rsid w:val="000047BF"/>
    <w:rsid w:val="00004A83"/>
    <w:rsid w:val="000111E9"/>
    <w:rsid w:val="00011463"/>
    <w:rsid w:val="000145B6"/>
    <w:rsid w:val="000153A5"/>
    <w:rsid w:val="00015D81"/>
    <w:rsid w:val="00015E83"/>
    <w:rsid w:val="000160A4"/>
    <w:rsid w:val="0001739E"/>
    <w:rsid w:val="00021798"/>
    <w:rsid w:val="000217F2"/>
    <w:rsid w:val="000220AE"/>
    <w:rsid w:val="00024330"/>
    <w:rsid w:val="000272B5"/>
    <w:rsid w:val="00031EC0"/>
    <w:rsid w:val="000336ED"/>
    <w:rsid w:val="00033A4D"/>
    <w:rsid w:val="0003594D"/>
    <w:rsid w:val="00035C15"/>
    <w:rsid w:val="00036992"/>
    <w:rsid w:val="000374CA"/>
    <w:rsid w:val="0004010F"/>
    <w:rsid w:val="00041111"/>
    <w:rsid w:val="00043B6C"/>
    <w:rsid w:val="00050DB3"/>
    <w:rsid w:val="00051F90"/>
    <w:rsid w:val="00052910"/>
    <w:rsid w:val="000537FA"/>
    <w:rsid w:val="00057DF6"/>
    <w:rsid w:val="0006055D"/>
    <w:rsid w:val="00060EC2"/>
    <w:rsid w:val="00062B99"/>
    <w:rsid w:val="0006499A"/>
    <w:rsid w:val="00065FA7"/>
    <w:rsid w:val="00066BFF"/>
    <w:rsid w:val="00070F26"/>
    <w:rsid w:val="000717F2"/>
    <w:rsid w:val="00072F93"/>
    <w:rsid w:val="000769E7"/>
    <w:rsid w:val="00080794"/>
    <w:rsid w:val="00080B99"/>
    <w:rsid w:val="00081537"/>
    <w:rsid w:val="000821B8"/>
    <w:rsid w:val="0008535E"/>
    <w:rsid w:val="00086DC6"/>
    <w:rsid w:val="00086FE7"/>
    <w:rsid w:val="00090849"/>
    <w:rsid w:val="000925C5"/>
    <w:rsid w:val="00094B5A"/>
    <w:rsid w:val="000957F5"/>
    <w:rsid w:val="000971F6"/>
    <w:rsid w:val="000A0BCE"/>
    <w:rsid w:val="000A284D"/>
    <w:rsid w:val="000A4093"/>
    <w:rsid w:val="000A50B2"/>
    <w:rsid w:val="000A76BB"/>
    <w:rsid w:val="000A7C88"/>
    <w:rsid w:val="000B1C0F"/>
    <w:rsid w:val="000B3080"/>
    <w:rsid w:val="000B3DAE"/>
    <w:rsid w:val="000B42C3"/>
    <w:rsid w:val="000B785B"/>
    <w:rsid w:val="000C003F"/>
    <w:rsid w:val="000C03D2"/>
    <w:rsid w:val="000C2F26"/>
    <w:rsid w:val="000C439B"/>
    <w:rsid w:val="000C44CF"/>
    <w:rsid w:val="000C599D"/>
    <w:rsid w:val="000C5BE2"/>
    <w:rsid w:val="000C7038"/>
    <w:rsid w:val="000D1676"/>
    <w:rsid w:val="000D1734"/>
    <w:rsid w:val="000D229E"/>
    <w:rsid w:val="000D2649"/>
    <w:rsid w:val="000D2DFB"/>
    <w:rsid w:val="000D2FFE"/>
    <w:rsid w:val="000D3F4D"/>
    <w:rsid w:val="000D43A7"/>
    <w:rsid w:val="000D4E0E"/>
    <w:rsid w:val="000D6380"/>
    <w:rsid w:val="000D6D13"/>
    <w:rsid w:val="000D7C9D"/>
    <w:rsid w:val="000E0A56"/>
    <w:rsid w:val="000E1323"/>
    <w:rsid w:val="000E2774"/>
    <w:rsid w:val="000E34B7"/>
    <w:rsid w:val="000E5D48"/>
    <w:rsid w:val="000E5EB7"/>
    <w:rsid w:val="000F290E"/>
    <w:rsid w:val="000F497B"/>
    <w:rsid w:val="000F4F90"/>
    <w:rsid w:val="000F54B0"/>
    <w:rsid w:val="001000CF"/>
    <w:rsid w:val="00101B48"/>
    <w:rsid w:val="00102087"/>
    <w:rsid w:val="0010271A"/>
    <w:rsid w:val="00102DED"/>
    <w:rsid w:val="00106BD2"/>
    <w:rsid w:val="001117C6"/>
    <w:rsid w:val="00112EEF"/>
    <w:rsid w:val="00115B1A"/>
    <w:rsid w:val="00116E2B"/>
    <w:rsid w:val="001222FB"/>
    <w:rsid w:val="00124CB8"/>
    <w:rsid w:val="00126457"/>
    <w:rsid w:val="001279B7"/>
    <w:rsid w:val="00127DB2"/>
    <w:rsid w:val="00132F93"/>
    <w:rsid w:val="0013307A"/>
    <w:rsid w:val="00133188"/>
    <w:rsid w:val="001359C7"/>
    <w:rsid w:val="00135F3D"/>
    <w:rsid w:val="001402AC"/>
    <w:rsid w:val="001404D0"/>
    <w:rsid w:val="00140912"/>
    <w:rsid w:val="00144E59"/>
    <w:rsid w:val="00147052"/>
    <w:rsid w:val="00150E97"/>
    <w:rsid w:val="00152A63"/>
    <w:rsid w:val="0015335F"/>
    <w:rsid w:val="00155C8A"/>
    <w:rsid w:val="001577B3"/>
    <w:rsid w:val="0016021D"/>
    <w:rsid w:val="001612D7"/>
    <w:rsid w:val="001616BA"/>
    <w:rsid w:val="00163F60"/>
    <w:rsid w:val="001641D9"/>
    <w:rsid w:val="00165494"/>
    <w:rsid w:val="001669AC"/>
    <w:rsid w:val="001669FF"/>
    <w:rsid w:val="00166DD3"/>
    <w:rsid w:val="00167DE7"/>
    <w:rsid w:val="00171CFE"/>
    <w:rsid w:val="00172A4C"/>
    <w:rsid w:val="001736FC"/>
    <w:rsid w:val="001757F9"/>
    <w:rsid w:val="001767F5"/>
    <w:rsid w:val="00176CEA"/>
    <w:rsid w:val="00177493"/>
    <w:rsid w:val="00177D72"/>
    <w:rsid w:val="00177F7B"/>
    <w:rsid w:val="0018070F"/>
    <w:rsid w:val="00181B37"/>
    <w:rsid w:val="001826E3"/>
    <w:rsid w:val="00182ED5"/>
    <w:rsid w:val="001854D4"/>
    <w:rsid w:val="0018570D"/>
    <w:rsid w:val="00186DD4"/>
    <w:rsid w:val="0018735F"/>
    <w:rsid w:val="001911FC"/>
    <w:rsid w:val="0019199C"/>
    <w:rsid w:val="0019231D"/>
    <w:rsid w:val="001931B7"/>
    <w:rsid w:val="00193DAD"/>
    <w:rsid w:val="00194167"/>
    <w:rsid w:val="001957AC"/>
    <w:rsid w:val="00195FFA"/>
    <w:rsid w:val="00196B34"/>
    <w:rsid w:val="001A083D"/>
    <w:rsid w:val="001A16E8"/>
    <w:rsid w:val="001A1904"/>
    <w:rsid w:val="001A2A29"/>
    <w:rsid w:val="001A2BC9"/>
    <w:rsid w:val="001A2CD8"/>
    <w:rsid w:val="001A312F"/>
    <w:rsid w:val="001A32C7"/>
    <w:rsid w:val="001A3599"/>
    <w:rsid w:val="001A6F2C"/>
    <w:rsid w:val="001B1FBA"/>
    <w:rsid w:val="001B2DEA"/>
    <w:rsid w:val="001B30AA"/>
    <w:rsid w:val="001B3BE0"/>
    <w:rsid w:val="001B3C6B"/>
    <w:rsid w:val="001B4956"/>
    <w:rsid w:val="001C035E"/>
    <w:rsid w:val="001C08BF"/>
    <w:rsid w:val="001C27F7"/>
    <w:rsid w:val="001C35E6"/>
    <w:rsid w:val="001C3CA7"/>
    <w:rsid w:val="001C6C2D"/>
    <w:rsid w:val="001C70F5"/>
    <w:rsid w:val="001C713C"/>
    <w:rsid w:val="001C7C49"/>
    <w:rsid w:val="001D15D9"/>
    <w:rsid w:val="001D277A"/>
    <w:rsid w:val="001D325D"/>
    <w:rsid w:val="001D385D"/>
    <w:rsid w:val="001D4B6E"/>
    <w:rsid w:val="001D4CBC"/>
    <w:rsid w:val="001D703F"/>
    <w:rsid w:val="001D7122"/>
    <w:rsid w:val="001D7162"/>
    <w:rsid w:val="001D7392"/>
    <w:rsid w:val="001D7456"/>
    <w:rsid w:val="001E132B"/>
    <w:rsid w:val="001E1443"/>
    <w:rsid w:val="001E193E"/>
    <w:rsid w:val="001E25FF"/>
    <w:rsid w:val="001E555D"/>
    <w:rsid w:val="001F1DD0"/>
    <w:rsid w:val="001F1F3F"/>
    <w:rsid w:val="001F2B93"/>
    <w:rsid w:val="001F42A7"/>
    <w:rsid w:val="001F5B73"/>
    <w:rsid w:val="001F70CA"/>
    <w:rsid w:val="001F7C5B"/>
    <w:rsid w:val="00200128"/>
    <w:rsid w:val="00201BCE"/>
    <w:rsid w:val="00202834"/>
    <w:rsid w:val="00203018"/>
    <w:rsid w:val="0020316A"/>
    <w:rsid w:val="00203F7A"/>
    <w:rsid w:val="00204645"/>
    <w:rsid w:val="00204E52"/>
    <w:rsid w:val="00205818"/>
    <w:rsid w:val="0020596E"/>
    <w:rsid w:val="00206DCB"/>
    <w:rsid w:val="00207BF6"/>
    <w:rsid w:val="00207E95"/>
    <w:rsid w:val="00207EC1"/>
    <w:rsid w:val="00210133"/>
    <w:rsid w:val="00211386"/>
    <w:rsid w:val="00211858"/>
    <w:rsid w:val="00211A69"/>
    <w:rsid w:val="00213CB9"/>
    <w:rsid w:val="00214CA1"/>
    <w:rsid w:val="002156AB"/>
    <w:rsid w:val="0021581D"/>
    <w:rsid w:val="00216253"/>
    <w:rsid w:val="00216528"/>
    <w:rsid w:val="0021679A"/>
    <w:rsid w:val="002202BE"/>
    <w:rsid w:val="002216BB"/>
    <w:rsid w:val="00222433"/>
    <w:rsid w:val="00225582"/>
    <w:rsid w:val="00230E00"/>
    <w:rsid w:val="0023157B"/>
    <w:rsid w:val="00231E35"/>
    <w:rsid w:val="0023209F"/>
    <w:rsid w:val="00232297"/>
    <w:rsid w:val="002325A0"/>
    <w:rsid w:val="00233470"/>
    <w:rsid w:val="002416C0"/>
    <w:rsid w:val="00241AEA"/>
    <w:rsid w:val="00241D38"/>
    <w:rsid w:val="00242591"/>
    <w:rsid w:val="00242DC5"/>
    <w:rsid w:val="00243447"/>
    <w:rsid w:val="00243B12"/>
    <w:rsid w:val="00245362"/>
    <w:rsid w:val="00246729"/>
    <w:rsid w:val="002510E3"/>
    <w:rsid w:val="0025254F"/>
    <w:rsid w:val="00252929"/>
    <w:rsid w:val="00252CF0"/>
    <w:rsid w:val="0025312E"/>
    <w:rsid w:val="0025369A"/>
    <w:rsid w:val="00254B3A"/>
    <w:rsid w:val="00256C75"/>
    <w:rsid w:val="0025735E"/>
    <w:rsid w:val="00257B95"/>
    <w:rsid w:val="00257E92"/>
    <w:rsid w:val="00261DC3"/>
    <w:rsid w:val="00262932"/>
    <w:rsid w:val="002629D1"/>
    <w:rsid w:val="00263710"/>
    <w:rsid w:val="00263B7B"/>
    <w:rsid w:val="0026465B"/>
    <w:rsid w:val="002654EC"/>
    <w:rsid w:val="00265F59"/>
    <w:rsid w:val="002662CF"/>
    <w:rsid w:val="00266E22"/>
    <w:rsid w:val="002716ED"/>
    <w:rsid w:val="00271A28"/>
    <w:rsid w:val="002720A9"/>
    <w:rsid w:val="002725FB"/>
    <w:rsid w:val="00272675"/>
    <w:rsid w:val="0027344D"/>
    <w:rsid w:val="00274070"/>
    <w:rsid w:val="00274813"/>
    <w:rsid w:val="002753D3"/>
    <w:rsid w:val="0027559F"/>
    <w:rsid w:val="00275CC6"/>
    <w:rsid w:val="00276036"/>
    <w:rsid w:val="002779DD"/>
    <w:rsid w:val="00280D2D"/>
    <w:rsid w:val="002810AD"/>
    <w:rsid w:val="00281598"/>
    <w:rsid w:val="00281B0E"/>
    <w:rsid w:val="0028226F"/>
    <w:rsid w:val="002825C1"/>
    <w:rsid w:val="00282DAE"/>
    <w:rsid w:val="0028382C"/>
    <w:rsid w:val="00284A93"/>
    <w:rsid w:val="00286522"/>
    <w:rsid w:val="0028669B"/>
    <w:rsid w:val="0028703A"/>
    <w:rsid w:val="002902F4"/>
    <w:rsid w:val="00290441"/>
    <w:rsid w:val="00290B10"/>
    <w:rsid w:val="002923E4"/>
    <w:rsid w:val="00292D00"/>
    <w:rsid w:val="002933A6"/>
    <w:rsid w:val="00293847"/>
    <w:rsid w:val="00293C13"/>
    <w:rsid w:val="00295968"/>
    <w:rsid w:val="002962E7"/>
    <w:rsid w:val="002A1BAB"/>
    <w:rsid w:val="002A1BE1"/>
    <w:rsid w:val="002A4098"/>
    <w:rsid w:val="002A6A23"/>
    <w:rsid w:val="002A7660"/>
    <w:rsid w:val="002B010D"/>
    <w:rsid w:val="002B0CA4"/>
    <w:rsid w:val="002B11A9"/>
    <w:rsid w:val="002B14CC"/>
    <w:rsid w:val="002B2030"/>
    <w:rsid w:val="002B5232"/>
    <w:rsid w:val="002B6410"/>
    <w:rsid w:val="002B76DF"/>
    <w:rsid w:val="002C0677"/>
    <w:rsid w:val="002C0B1F"/>
    <w:rsid w:val="002C1C6C"/>
    <w:rsid w:val="002C1D83"/>
    <w:rsid w:val="002C2CE3"/>
    <w:rsid w:val="002C4118"/>
    <w:rsid w:val="002C4778"/>
    <w:rsid w:val="002C66AF"/>
    <w:rsid w:val="002C7F74"/>
    <w:rsid w:val="002D0205"/>
    <w:rsid w:val="002D1B50"/>
    <w:rsid w:val="002D2E58"/>
    <w:rsid w:val="002D41AE"/>
    <w:rsid w:val="002D4F1E"/>
    <w:rsid w:val="002D526E"/>
    <w:rsid w:val="002D5288"/>
    <w:rsid w:val="002D71D0"/>
    <w:rsid w:val="002E19CF"/>
    <w:rsid w:val="002E2A62"/>
    <w:rsid w:val="002E58D3"/>
    <w:rsid w:val="002F1CF4"/>
    <w:rsid w:val="002F1E4E"/>
    <w:rsid w:val="002F235B"/>
    <w:rsid w:val="002F35FB"/>
    <w:rsid w:val="002F4937"/>
    <w:rsid w:val="003004AF"/>
    <w:rsid w:val="003006C8"/>
    <w:rsid w:val="0030080E"/>
    <w:rsid w:val="003017D8"/>
    <w:rsid w:val="00304775"/>
    <w:rsid w:val="00305700"/>
    <w:rsid w:val="00305EEE"/>
    <w:rsid w:val="00306408"/>
    <w:rsid w:val="00312005"/>
    <w:rsid w:val="00312889"/>
    <w:rsid w:val="0031292B"/>
    <w:rsid w:val="00313841"/>
    <w:rsid w:val="00314244"/>
    <w:rsid w:val="003165BC"/>
    <w:rsid w:val="0031675D"/>
    <w:rsid w:val="00317A6E"/>
    <w:rsid w:val="00322FB8"/>
    <w:rsid w:val="003248D3"/>
    <w:rsid w:val="00325781"/>
    <w:rsid w:val="00333823"/>
    <w:rsid w:val="00334920"/>
    <w:rsid w:val="00334A2B"/>
    <w:rsid w:val="0033502F"/>
    <w:rsid w:val="00335402"/>
    <w:rsid w:val="00337979"/>
    <w:rsid w:val="00340E6B"/>
    <w:rsid w:val="00341A77"/>
    <w:rsid w:val="0034214B"/>
    <w:rsid w:val="00342C19"/>
    <w:rsid w:val="003449B0"/>
    <w:rsid w:val="003500C9"/>
    <w:rsid w:val="00350561"/>
    <w:rsid w:val="00350586"/>
    <w:rsid w:val="00351414"/>
    <w:rsid w:val="00353506"/>
    <w:rsid w:val="003562C5"/>
    <w:rsid w:val="0036596B"/>
    <w:rsid w:val="003677EF"/>
    <w:rsid w:val="00367EFB"/>
    <w:rsid w:val="0037038C"/>
    <w:rsid w:val="00370EBD"/>
    <w:rsid w:val="00374371"/>
    <w:rsid w:val="003752D5"/>
    <w:rsid w:val="00375FC2"/>
    <w:rsid w:val="00376503"/>
    <w:rsid w:val="00377D67"/>
    <w:rsid w:val="00377DA9"/>
    <w:rsid w:val="003817F2"/>
    <w:rsid w:val="0038185E"/>
    <w:rsid w:val="00381F7F"/>
    <w:rsid w:val="00383455"/>
    <w:rsid w:val="003841CA"/>
    <w:rsid w:val="003848E5"/>
    <w:rsid w:val="00385B60"/>
    <w:rsid w:val="00386AF1"/>
    <w:rsid w:val="0038771B"/>
    <w:rsid w:val="00387F5E"/>
    <w:rsid w:val="0039033D"/>
    <w:rsid w:val="00390774"/>
    <w:rsid w:val="00391379"/>
    <w:rsid w:val="00391435"/>
    <w:rsid w:val="003942DC"/>
    <w:rsid w:val="003963CC"/>
    <w:rsid w:val="0039792F"/>
    <w:rsid w:val="00397D0D"/>
    <w:rsid w:val="003A0A0C"/>
    <w:rsid w:val="003A120E"/>
    <w:rsid w:val="003A286C"/>
    <w:rsid w:val="003A44AD"/>
    <w:rsid w:val="003A4AC6"/>
    <w:rsid w:val="003A673A"/>
    <w:rsid w:val="003B1B9F"/>
    <w:rsid w:val="003B23C7"/>
    <w:rsid w:val="003B5F0B"/>
    <w:rsid w:val="003B6562"/>
    <w:rsid w:val="003B668D"/>
    <w:rsid w:val="003B6C0D"/>
    <w:rsid w:val="003C0610"/>
    <w:rsid w:val="003C0D6A"/>
    <w:rsid w:val="003C2CF4"/>
    <w:rsid w:val="003C3963"/>
    <w:rsid w:val="003C4099"/>
    <w:rsid w:val="003C4BEB"/>
    <w:rsid w:val="003D085C"/>
    <w:rsid w:val="003D0D85"/>
    <w:rsid w:val="003D1C99"/>
    <w:rsid w:val="003D1F87"/>
    <w:rsid w:val="003D396E"/>
    <w:rsid w:val="003D4696"/>
    <w:rsid w:val="003D49E5"/>
    <w:rsid w:val="003D57F2"/>
    <w:rsid w:val="003D65ED"/>
    <w:rsid w:val="003D6C5B"/>
    <w:rsid w:val="003D6DE5"/>
    <w:rsid w:val="003D7BA0"/>
    <w:rsid w:val="003E08B1"/>
    <w:rsid w:val="003E1CB6"/>
    <w:rsid w:val="003E240F"/>
    <w:rsid w:val="003E2EF9"/>
    <w:rsid w:val="003E31B0"/>
    <w:rsid w:val="003E32C7"/>
    <w:rsid w:val="003E5371"/>
    <w:rsid w:val="003E63B7"/>
    <w:rsid w:val="003F2275"/>
    <w:rsid w:val="003F5723"/>
    <w:rsid w:val="003F6443"/>
    <w:rsid w:val="0040009D"/>
    <w:rsid w:val="00404000"/>
    <w:rsid w:val="00404110"/>
    <w:rsid w:val="004048E5"/>
    <w:rsid w:val="00404C10"/>
    <w:rsid w:val="00404CD5"/>
    <w:rsid w:val="004053AD"/>
    <w:rsid w:val="0040584E"/>
    <w:rsid w:val="00405EDC"/>
    <w:rsid w:val="00406C81"/>
    <w:rsid w:val="00407F32"/>
    <w:rsid w:val="004102B8"/>
    <w:rsid w:val="004111C6"/>
    <w:rsid w:val="004149E2"/>
    <w:rsid w:val="00417B55"/>
    <w:rsid w:val="00417D58"/>
    <w:rsid w:val="00420765"/>
    <w:rsid w:val="004244BF"/>
    <w:rsid w:val="004247F1"/>
    <w:rsid w:val="00425F74"/>
    <w:rsid w:val="00430A1D"/>
    <w:rsid w:val="0043142F"/>
    <w:rsid w:val="00431D81"/>
    <w:rsid w:val="004324A5"/>
    <w:rsid w:val="00433EA6"/>
    <w:rsid w:val="0043480D"/>
    <w:rsid w:val="00435212"/>
    <w:rsid w:val="00435875"/>
    <w:rsid w:val="00435995"/>
    <w:rsid w:val="004362B3"/>
    <w:rsid w:val="00436F07"/>
    <w:rsid w:val="00437450"/>
    <w:rsid w:val="004374C5"/>
    <w:rsid w:val="004374D2"/>
    <w:rsid w:val="0044061C"/>
    <w:rsid w:val="004410AC"/>
    <w:rsid w:val="00443843"/>
    <w:rsid w:val="00445392"/>
    <w:rsid w:val="00447DA7"/>
    <w:rsid w:val="00450154"/>
    <w:rsid w:val="00450D60"/>
    <w:rsid w:val="00451AFD"/>
    <w:rsid w:val="00452478"/>
    <w:rsid w:val="004526E0"/>
    <w:rsid w:val="00452BE4"/>
    <w:rsid w:val="00452CEA"/>
    <w:rsid w:val="00453457"/>
    <w:rsid w:val="00453B51"/>
    <w:rsid w:val="00454671"/>
    <w:rsid w:val="00454FC5"/>
    <w:rsid w:val="00454FE4"/>
    <w:rsid w:val="004563E8"/>
    <w:rsid w:val="0045754C"/>
    <w:rsid w:val="00457C48"/>
    <w:rsid w:val="00460319"/>
    <w:rsid w:val="00460CC0"/>
    <w:rsid w:val="0046110D"/>
    <w:rsid w:val="0046124D"/>
    <w:rsid w:val="00461C9E"/>
    <w:rsid w:val="00462671"/>
    <w:rsid w:val="00462998"/>
    <w:rsid w:val="0046342D"/>
    <w:rsid w:val="00464885"/>
    <w:rsid w:val="00467087"/>
    <w:rsid w:val="00470F86"/>
    <w:rsid w:val="004715C6"/>
    <w:rsid w:val="004720EF"/>
    <w:rsid w:val="00473659"/>
    <w:rsid w:val="00473F5C"/>
    <w:rsid w:val="004744B7"/>
    <w:rsid w:val="004756D3"/>
    <w:rsid w:val="00475B46"/>
    <w:rsid w:val="00476113"/>
    <w:rsid w:val="00476C0A"/>
    <w:rsid w:val="00480AF7"/>
    <w:rsid w:val="0048367C"/>
    <w:rsid w:val="0048439F"/>
    <w:rsid w:val="00485BD4"/>
    <w:rsid w:val="004902BF"/>
    <w:rsid w:val="0049287B"/>
    <w:rsid w:val="00493545"/>
    <w:rsid w:val="004936C8"/>
    <w:rsid w:val="004950E0"/>
    <w:rsid w:val="004A125A"/>
    <w:rsid w:val="004A1708"/>
    <w:rsid w:val="004A17F8"/>
    <w:rsid w:val="004A4364"/>
    <w:rsid w:val="004A504E"/>
    <w:rsid w:val="004A5D7E"/>
    <w:rsid w:val="004A659E"/>
    <w:rsid w:val="004B1782"/>
    <w:rsid w:val="004B5A53"/>
    <w:rsid w:val="004B72C9"/>
    <w:rsid w:val="004B73DC"/>
    <w:rsid w:val="004C128D"/>
    <w:rsid w:val="004C3C7F"/>
    <w:rsid w:val="004C3CB1"/>
    <w:rsid w:val="004C6A98"/>
    <w:rsid w:val="004C7EDD"/>
    <w:rsid w:val="004D0754"/>
    <w:rsid w:val="004D2F8F"/>
    <w:rsid w:val="004D52A7"/>
    <w:rsid w:val="004D5379"/>
    <w:rsid w:val="004E1279"/>
    <w:rsid w:val="004E224B"/>
    <w:rsid w:val="004E24E5"/>
    <w:rsid w:val="004E2B13"/>
    <w:rsid w:val="004E51E3"/>
    <w:rsid w:val="004E5911"/>
    <w:rsid w:val="004E7BF2"/>
    <w:rsid w:val="004F1198"/>
    <w:rsid w:val="004F368D"/>
    <w:rsid w:val="004F4BA5"/>
    <w:rsid w:val="004F7042"/>
    <w:rsid w:val="004F713C"/>
    <w:rsid w:val="00500CF9"/>
    <w:rsid w:val="0050171E"/>
    <w:rsid w:val="00503045"/>
    <w:rsid w:val="00503954"/>
    <w:rsid w:val="00507517"/>
    <w:rsid w:val="00507760"/>
    <w:rsid w:val="00507854"/>
    <w:rsid w:val="00510857"/>
    <w:rsid w:val="00510EF2"/>
    <w:rsid w:val="00510FFF"/>
    <w:rsid w:val="00512475"/>
    <w:rsid w:val="00512DAE"/>
    <w:rsid w:val="00516F1F"/>
    <w:rsid w:val="00517AAF"/>
    <w:rsid w:val="00520A91"/>
    <w:rsid w:val="00521162"/>
    <w:rsid w:val="00521B17"/>
    <w:rsid w:val="0052318F"/>
    <w:rsid w:val="00524BD7"/>
    <w:rsid w:val="00525507"/>
    <w:rsid w:val="0052644D"/>
    <w:rsid w:val="005312EB"/>
    <w:rsid w:val="005323C3"/>
    <w:rsid w:val="00533417"/>
    <w:rsid w:val="00535564"/>
    <w:rsid w:val="00535B0F"/>
    <w:rsid w:val="005433D8"/>
    <w:rsid w:val="005447A1"/>
    <w:rsid w:val="00547A90"/>
    <w:rsid w:val="00556D8D"/>
    <w:rsid w:val="00557026"/>
    <w:rsid w:val="00557447"/>
    <w:rsid w:val="00557F82"/>
    <w:rsid w:val="00560B38"/>
    <w:rsid w:val="0056216B"/>
    <w:rsid w:val="00562858"/>
    <w:rsid w:val="0056308D"/>
    <w:rsid w:val="00564271"/>
    <w:rsid w:val="00565551"/>
    <w:rsid w:val="00566FED"/>
    <w:rsid w:val="00567936"/>
    <w:rsid w:val="00570388"/>
    <w:rsid w:val="005712E2"/>
    <w:rsid w:val="005713EC"/>
    <w:rsid w:val="005724F6"/>
    <w:rsid w:val="00573619"/>
    <w:rsid w:val="0057410B"/>
    <w:rsid w:val="005776A9"/>
    <w:rsid w:val="00584106"/>
    <w:rsid w:val="00585803"/>
    <w:rsid w:val="00586EF4"/>
    <w:rsid w:val="005870B8"/>
    <w:rsid w:val="00587760"/>
    <w:rsid w:val="0059069A"/>
    <w:rsid w:val="00591473"/>
    <w:rsid w:val="00592C4B"/>
    <w:rsid w:val="00593368"/>
    <w:rsid w:val="00594367"/>
    <w:rsid w:val="005944F8"/>
    <w:rsid w:val="005945E2"/>
    <w:rsid w:val="00595329"/>
    <w:rsid w:val="00595EEC"/>
    <w:rsid w:val="00596747"/>
    <w:rsid w:val="005970EF"/>
    <w:rsid w:val="005971EE"/>
    <w:rsid w:val="0059778C"/>
    <w:rsid w:val="005A0458"/>
    <w:rsid w:val="005A17BD"/>
    <w:rsid w:val="005A235F"/>
    <w:rsid w:val="005A30B7"/>
    <w:rsid w:val="005A3438"/>
    <w:rsid w:val="005A3C7C"/>
    <w:rsid w:val="005A4368"/>
    <w:rsid w:val="005A48D4"/>
    <w:rsid w:val="005A556D"/>
    <w:rsid w:val="005A5BF1"/>
    <w:rsid w:val="005B248C"/>
    <w:rsid w:val="005B2BAA"/>
    <w:rsid w:val="005B3E03"/>
    <w:rsid w:val="005B4152"/>
    <w:rsid w:val="005B4CDC"/>
    <w:rsid w:val="005B5136"/>
    <w:rsid w:val="005B55D5"/>
    <w:rsid w:val="005B6746"/>
    <w:rsid w:val="005B763A"/>
    <w:rsid w:val="005B7B2B"/>
    <w:rsid w:val="005C2793"/>
    <w:rsid w:val="005C584A"/>
    <w:rsid w:val="005C7747"/>
    <w:rsid w:val="005D13AA"/>
    <w:rsid w:val="005D3D16"/>
    <w:rsid w:val="005D447F"/>
    <w:rsid w:val="005D45F4"/>
    <w:rsid w:val="005D4A89"/>
    <w:rsid w:val="005D61A5"/>
    <w:rsid w:val="005D61E5"/>
    <w:rsid w:val="005D68B5"/>
    <w:rsid w:val="005D7F40"/>
    <w:rsid w:val="005E1B7C"/>
    <w:rsid w:val="005E2289"/>
    <w:rsid w:val="005E2D49"/>
    <w:rsid w:val="005E4B77"/>
    <w:rsid w:val="005E772F"/>
    <w:rsid w:val="005F11EC"/>
    <w:rsid w:val="005F16B5"/>
    <w:rsid w:val="005F25ED"/>
    <w:rsid w:val="005F418C"/>
    <w:rsid w:val="005F44BC"/>
    <w:rsid w:val="005F69DA"/>
    <w:rsid w:val="00600CFE"/>
    <w:rsid w:val="00602133"/>
    <w:rsid w:val="00602941"/>
    <w:rsid w:val="00602A83"/>
    <w:rsid w:val="00604CF6"/>
    <w:rsid w:val="00605175"/>
    <w:rsid w:val="006056E2"/>
    <w:rsid w:val="006068DC"/>
    <w:rsid w:val="00611476"/>
    <w:rsid w:val="00611629"/>
    <w:rsid w:val="00612663"/>
    <w:rsid w:val="00616EB2"/>
    <w:rsid w:val="00617EEB"/>
    <w:rsid w:val="00621B61"/>
    <w:rsid w:val="00621D53"/>
    <w:rsid w:val="006236A1"/>
    <w:rsid w:val="00623C9B"/>
    <w:rsid w:val="006254D8"/>
    <w:rsid w:val="006259AD"/>
    <w:rsid w:val="00626236"/>
    <w:rsid w:val="00626CDE"/>
    <w:rsid w:val="00627625"/>
    <w:rsid w:val="00627786"/>
    <w:rsid w:val="00630DF4"/>
    <w:rsid w:val="0063144F"/>
    <w:rsid w:val="00632461"/>
    <w:rsid w:val="00632F73"/>
    <w:rsid w:val="00633825"/>
    <w:rsid w:val="00634AE4"/>
    <w:rsid w:val="00640CD9"/>
    <w:rsid w:val="0064232E"/>
    <w:rsid w:val="00642331"/>
    <w:rsid w:val="00644656"/>
    <w:rsid w:val="00644A80"/>
    <w:rsid w:val="00644D47"/>
    <w:rsid w:val="00645144"/>
    <w:rsid w:val="006457B5"/>
    <w:rsid w:val="006470BF"/>
    <w:rsid w:val="00650AC4"/>
    <w:rsid w:val="00652B3C"/>
    <w:rsid w:val="006531E8"/>
    <w:rsid w:val="0065380A"/>
    <w:rsid w:val="006548FE"/>
    <w:rsid w:val="006554A2"/>
    <w:rsid w:val="006574A9"/>
    <w:rsid w:val="006605DB"/>
    <w:rsid w:val="0066169D"/>
    <w:rsid w:val="0066178E"/>
    <w:rsid w:val="00661D8F"/>
    <w:rsid w:val="00661F95"/>
    <w:rsid w:val="006641BB"/>
    <w:rsid w:val="006648C1"/>
    <w:rsid w:val="0066651E"/>
    <w:rsid w:val="00666968"/>
    <w:rsid w:val="006669D3"/>
    <w:rsid w:val="00667CF6"/>
    <w:rsid w:val="0067062D"/>
    <w:rsid w:val="006710B8"/>
    <w:rsid w:val="00671857"/>
    <w:rsid w:val="00671860"/>
    <w:rsid w:val="00672C63"/>
    <w:rsid w:val="0067376C"/>
    <w:rsid w:val="00673AE0"/>
    <w:rsid w:val="006742BF"/>
    <w:rsid w:val="0067559B"/>
    <w:rsid w:val="006779BA"/>
    <w:rsid w:val="00683D5C"/>
    <w:rsid w:val="0068421C"/>
    <w:rsid w:val="00687681"/>
    <w:rsid w:val="00691600"/>
    <w:rsid w:val="006922F7"/>
    <w:rsid w:val="006924D4"/>
    <w:rsid w:val="00692E9B"/>
    <w:rsid w:val="00693C7A"/>
    <w:rsid w:val="00694B63"/>
    <w:rsid w:val="0069547B"/>
    <w:rsid w:val="006A19A8"/>
    <w:rsid w:val="006A26FB"/>
    <w:rsid w:val="006A39C7"/>
    <w:rsid w:val="006A441B"/>
    <w:rsid w:val="006A4DED"/>
    <w:rsid w:val="006A532A"/>
    <w:rsid w:val="006A5DAC"/>
    <w:rsid w:val="006A5F28"/>
    <w:rsid w:val="006A6072"/>
    <w:rsid w:val="006A6A06"/>
    <w:rsid w:val="006B0C3C"/>
    <w:rsid w:val="006B191A"/>
    <w:rsid w:val="006B2018"/>
    <w:rsid w:val="006B22BA"/>
    <w:rsid w:val="006B2A38"/>
    <w:rsid w:val="006B58C8"/>
    <w:rsid w:val="006B64E1"/>
    <w:rsid w:val="006B6553"/>
    <w:rsid w:val="006C019D"/>
    <w:rsid w:val="006C1D44"/>
    <w:rsid w:val="006C3D47"/>
    <w:rsid w:val="006C4EDF"/>
    <w:rsid w:val="006C7DDB"/>
    <w:rsid w:val="006D12A1"/>
    <w:rsid w:val="006D15E8"/>
    <w:rsid w:val="006D161A"/>
    <w:rsid w:val="006D2DDD"/>
    <w:rsid w:val="006D5F2A"/>
    <w:rsid w:val="006D67C1"/>
    <w:rsid w:val="006E0548"/>
    <w:rsid w:val="006E1A6D"/>
    <w:rsid w:val="006E1E07"/>
    <w:rsid w:val="006E2B80"/>
    <w:rsid w:val="006E491C"/>
    <w:rsid w:val="006E4AF2"/>
    <w:rsid w:val="006E5ACA"/>
    <w:rsid w:val="006E74EF"/>
    <w:rsid w:val="006F2F0E"/>
    <w:rsid w:val="006F3B43"/>
    <w:rsid w:val="006F4539"/>
    <w:rsid w:val="006F480F"/>
    <w:rsid w:val="00700735"/>
    <w:rsid w:val="00700A5B"/>
    <w:rsid w:val="007012B5"/>
    <w:rsid w:val="007039FB"/>
    <w:rsid w:val="00704E4F"/>
    <w:rsid w:val="007050F8"/>
    <w:rsid w:val="00706384"/>
    <w:rsid w:val="00710D8F"/>
    <w:rsid w:val="00711488"/>
    <w:rsid w:val="00711B98"/>
    <w:rsid w:val="00712E90"/>
    <w:rsid w:val="007136FC"/>
    <w:rsid w:val="00713783"/>
    <w:rsid w:val="00714853"/>
    <w:rsid w:val="00714B62"/>
    <w:rsid w:val="00716BFA"/>
    <w:rsid w:val="00720627"/>
    <w:rsid w:val="00720FE1"/>
    <w:rsid w:val="00721E83"/>
    <w:rsid w:val="007228A2"/>
    <w:rsid w:val="007228D6"/>
    <w:rsid w:val="00723102"/>
    <w:rsid w:val="007258C0"/>
    <w:rsid w:val="00725D85"/>
    <w:rsid w:val="00726382"/>
    <w:rsid w:val="0072653F"/>
    <w:rsid w:val="007277FA"/>
    <w:rsid w:val="00732126"/>
    <w:rsid w:val="007330B6"/>
    <w:rsid w:val="007330DB"/>
    <w:rsid w:val="00734456"/>
    <w:rsid w:val="00734FBC"/>
    <w:rsid w:val="00735665"/>
    <w:rsid w:val="007359BB"/>
    <w:rsid w:val="00737003"/>
    <w:rsid w:val="00740440"/>
    <w:rsid w:val="0074074E"/>
    <w:rsid w:val="00740EDE"/>
    <w:rsid w:val="00740F94"/>
    <w:rsid w:val="00741D35"/>
    <w:rsid w:val="00744B7B"/>
    <w:rsid w:val="007461E8"/>
    <w:rsid w:val="00746A1C"/>
    <w:rsid w:val="00747A40"/>
    <w:rsid w:val="00747A4F"/>
    <w:rsid w:val="007500EC"/>
    <w:rsid w:val="00750719"/>
    <w:rsid w:val="00753283"/>
    <w:rsid w:val="00754098"/>
    <w:rsid w:val="00754D49"/>
    <w:rsid w:val="00760591"/>
    <w:rsid w:val="00762C38"/>
    <w:rsid w:val="00765A62"/>
    <w:rsid w:val="00765EFD"/>
    <w:rsid w:val="00766C1D"/>
    <w:rsid w:val="007674E6"/>
    <w:rsid w:val="0076769A"/>
    <w:rsid w:val="00767C8A"/>
    <w:rsid w:val="00767F8A"/>
    <w:rsid w:val="00770735"/>
    <w:rsid w:val="00771927"/>
    <w:rsid w:val="00772021"/>
    <w:rsid w:val="00772A4C"/>
    <w:rsid w:val="00773673"/>
    <w:rsid w:val="00774CCB"/>
    <w:rsid w:val="00774FDC"/>
    <w:rsid w:val="00775218"/>
    <w:rsid w:val="00775D6B"/>
    <w:rsid w:val="00777960"/>
    <w:rsid w:val="00777D19"/>
    <w:rsid w:val="00783708"/>
    <w:rsid w:val="0078486B"/>
    <w:rsid w:val="00786C8D"/>
    <w:rsid w:val="00787853"/>
    <w:rsid w:val="00790CEA"/>
    <w:rsid w:val="00791A8C"/>
    <w:rsid w:val="00793ED6"/>
    <w:rsid w:val="00795825"/>
    <w:rsid w:val="007A0A4D"/>
    <w:rsid w:val="007A2E43"/>
    <w:rsid w:val="007A3277"/>
    <w:rsid w:val="007A3A0B"/>
    <w:rsid w:val="007A3AB0"/>
    <w:rsid w:val="007A5774"/>
    <w:rsid w:val="007A582C"/>
    <w:rsid w:val="007A6345"/>
    <w:rsid w:val="007A638E"/>
    <w:rsid w:val="007A6B34"/>
    <w:rsid w:val="007A75A3"/>
    <w:rsid w:val="007B2452"/>
    <w:rsid w:val="007B4998"/>
    <w:rsid w:val="007B6835"/>
    <w:rsid w:val="007B6CFB"/>
    <w:rsid w:val="007C13F4"/>
    <w:rsid w:val="007C194A"/>
    <w:rsid w:val="007C2983"/>
    <w:rsid w:val="007C5062"/>
    <w:rsid w:val="007D14E8"/>
    <w:rsid w:val="007D1630"/>
    <w:rsid w:val="007D17CA"/>
    <w:rsid w:val="007D18B9"/>
    <w:rsid w:val="007D2A96"/>
    <w:rsid w:val="007D2D9D"/>
    <w:rsid w:val="007D4531"/>
    <w:rsid w:val="007D4EBF"/>
    <w:rsid w:val="007D54F7"/>
    <w:rsid w:val="007D66E0"/>
    <w:rsid w:val="007D7828"/>
    <w:rsid w:val="007D7B53"/>
    <w:rsid w:val="007E1661"/>
    <w:rsid w:val="007E1C81"/>
    <w:rsid w:val="007E5DDD"/>
    <w:rsid w:val="007E5EFA"/>
    <w:rsid w:val="007E6B71"/>
    <w:rsid w:val="007E77B5"/>
    <w:rsid w:val="007E7DDF"/>
    <w:rsid w:val="007F003B"/>
    <w:rsid w:val="007F1C4B"/>
    <w:rsid w:val="007F2AC8"/>
    <w:rsid w:val="007F3D04"/>
    <w:rsid w:val="007F67BA"/>
    <w:rsid w:val="007F7921"/>
    <w:rsid w:val="007F7BFA"/>
    <w:rsid w:val="0080103D"/>
    <w:rsid w:val="008016F6"/>
    <w:rsid w:val="0080274C"/>
    <w:rsid w:val="00803861"/>
    <w:rsid w:val="0080394D"/>
    <w:rsid w:val="008074F9"/>
    <w:rsid w:val="008079C2"/>
    <w:rsid w:val="00807D9D"/>
    <w:rsid w:val="008114FA"/>
    <w:rsid w:val="00812260"/>
    <w:rsid w:val="008133C5"/>
    <w:rsid w:val="00813403"/>
    <w:rsid w:val="0081369B"/>
    <w:rsid w:val="00813A9C"/>
    <w:rsid w:val="008147A2"/>
    <w:rsid w:val="00814D18"/>
    <w:rsid w:val="008151FA"/>
    <w:rsid w:val="0082003E"/>
    <w:rsid w:val="00821179"/>
    <w:rsid w:val="00821519"/>
    <w:rsid w:val="008216EF"/>
    <w:rsid w:val="00821D41"/>
    <w:rsid w:val="00822E39"/>
    <w:rsid w:val="008231A0"/>
    <w:rsid w:val="008257B4"/>
    <w:rsid w:val="00827503"/>
    <w:rsid w:val="008277FC"/>
    <w:rsid w:val="008314B7"/>
    <w:rsid w:val="008316BE"/>
    <w:rsid w:val="00832AE9"/>
    <w:rsid w:val="00835641"/>
    <w:rsid w:val="00837065"/>
    <w:rsid w:val="00837195"/>
    <w:rsid w:val="00837B88"/>
    <w:rsid w:val="00840B95"/>
    <w:rsid w:val="00841522"/>
    <w:rsid w:val="00843301"/>
    <w:rsid w:val="0084432D"/>
    <w:rsid w:val="00844A31"/>
    <w:rsid w:val="008475EE"/>
    <w:rsid w:val="00847B97"/>
    <w:rsid w:val="008504B8"/>
    <w:rsid w:val="00850AE1"/>
    <w:rsid w:val="008524B1"/>
    <w:rsid w:val="008537EF"/>
    <w:rsid w:val="0085603E"/>
    <w:rsid w:val="00857B2C"/>
    <w:rsid w:val="00857B67"/>
    <w:rsid w:val="008600B9"/>
    <w:rsid w:val="0086134E"/>
    <w:rsid w:val="00861E0C"/>
    <w:rsid w:val="00864B95"/>
    <w:rsid w:val="00871A22"/>
    <w:rsid w:val="00871AEC"/>
    <w:rsid w:val="00871CEC"/>
    <w:rsid w:val="00872140"/>
    <w:rsid w:val="00872369"/>
    <w:rsid w:val="00872C38"/>
    <w:rsid w:val="008759AD"/>
    <w:rsid w:val="008759BB"/>
    <w:rsid w:val="00876BBA"/>
    <w:rsid w:val="00881333"/>
    <w:rsid w:val="00881E40"/>
    <w:rsid w:val="00881FD8"/>
    <w:rsid w:val="0088237C"/>
    <w:rsid w:val="008839DF"/>
    <w:rsid w:val="00887AA1"/>
    <w:rsid w:val="00890D0A"/>
    <w:rsid w:val="0089181A"/>
    <w:rsid w:val="00891C82"/>
    <w:rsid w:val="00893793"/>
    <w:rsid w:val="00893A90"/>
    <w:rsid w:val="008951EA"/>
    <w:rsid w:val="008967ED"/>
    <w:rsid w:val="00896BCE"/>
    <w:rsid w:val="00897BA4"/>
    <w:rsid w:val="00897F6B"/>
    <w:rsid w:val="008A0679"/>
    <w:rsid w:val="008A2ED6"/>
    <w:rsid w:val="008A306F"/>
    <w:rsid w:val="008A59A0"/>
    <w:rsid w:val="008A73AD"/>
    <w:rsid w:val="008A7A72"/>
    <w:rsid w:val="008B03BB"/>
    <w:rsid w:val="008B15E1"/>
    <w:rsid w:val="008B2968"/>
    <w:rsid w:val="008B3A35"/>
    <w:rsid w:val="008B5370"/>
    <w:rsid w:val="008B58CC"/>
    <w:rsid w:val="008B6C85"/>
    <w:rsid w:val="008C0172"/>
    <w:rsid w:val="008C0B81"/>
    <w:rsid w:val="008C19B6"/>
    <w:rsid w:val="008C4D2B"/>
    <w:rsid w:val="008C55E8"/>
    <w:rsid w:val="008D053D"/>
    <w:rsid w:val="008D06D0"/>
    <w:rsid w:val="008D4427"/>
    <w:rsid w:val="008D566D"/>
    <w:rsid w:val="008D6F28"/>
    <w:rsid w:val="008E172E"/>
    <w:rsid w:val="008E3966"/>
    <w:rsid w:val="008E3B23"/>
    <w:rsid w:val="008E58C4"/>
    <w:rsid w:val="008E6C81"/>
    <w:rsid w:val="008E71E2"/>
    <w:rsid w:val="008F1E51"/>
    <w:rsid w:val="008F2196"/>
    <w:rsid w:val="008F222E"/>
    <w:rsid w:val="008F29E0"/>
    <w:rsid w:val="008F2B1C"/>
    <w:rsid w:val="008F2D34"/>
    <w:rsid w:val="008F3A56"/>
    <w:rsid w:val="008F549A"/>
    <w:rsid w:val="00901F21"/>
    <w:rsid w:val="00904050"/>
    <w:rsid w:val="009044AF"/>
    <w:rsid w:val="00904678"/>
    <w:rsid w:val="009059BA"/>
    <w:rsid w:val="009069D7"/>
    <w:rsid w:val="009076D7"/>
    <w:rsid w:val="00910C46"/>
    <w:rsid w:val="00911E23"/>
    <w:rsid w:val="00911F96"/>
    <w:rsid w:val="0091437F"/>
    <w:rsid w:val="00915D4D"/>
    <w:rsid w:val="0091602E"/>
    <w:rsid w:val="009171B6"/>
    <w:rsid w:val="00917D7E"/>
    <w:rsid w:val="0092022C"/>
    <w:rsid w:val="00921DD9"/>
    <w:rsid w:val="009236F6"/>
    <w:rsid w:val="00924CC1"/>
    <w:rsid w:val="00925331"/>
    <w:rsid w:val="00925BC6"/>
    <w:rsid w:val="00925CC5"/>
    <w:rsid w:val="00926622"/>
    <w:rsid w:val="00927511"/>
    <w:rsid w:val="0092755E"/>
    <w:rsid w:val="009312C1"/>
    <w:rsid w:val="009338B2"/>
    <w:rsid w:val="0093423F"/>
    <w:rsid w:val="0093783D"/>
    <w:rsid w:val="00937B63"/>
    <w:rsid w:val="00937CCA"/>
    <w:rsid w:val="0094054D"/>
    <w:rsid w:val="009441C4"/>
    <w:rsid w:val="00944CED"/>
    <w:rsid w:val="00946A6A"/>
    <w:rsid w:val="00947707"/>
    <w:rsid w:val="009514A2"/>
    <w:rsid w:val="0095212D"/>
    <w:rsid w:val="00953F6C"/>
    <w:rsid w:val="009546F3"/>
    <w:rsid w:val="00955B5B"/>
    <w:rsid w:val="00956689"/>
    <w:rsid w:val="00956821"/>
    <w:rsid w:val="0095733E"/>
    <w:rsid w:val="00957DAC"/>
    <w:rsid w:val="009601AF"/>
    <w:rsid w:val="00961140"/>
    <w:rsid w:val="00961B58"/>
    <w:rsid w:val="00961C76"/>
    <w:rsid w:val="00963827"/>
    <w:rsid w:val="00963B59"/>
    <w:rsid w:val="00965280"/>
    <w:rsid w:val="009658B1"/>
    <w:rsid w:val="0097019E"/>
    <w:rsid w:val="00971973"/>
    <w:rsid w:val="009719DF"/>
    <w:rsid w:val="00971C1A"/>
    <w:rsid w:val="0097589F"/>
    <w:rsid w:val="00976626"/>
    <w:rsid w:val="00984642"/>
    <w:rsid w:val="0098650D"/>
    <w:rsid w:val="009865A7"/>
    <w:rsid w:val="00986FB1"/>
    <w:rsid w:val="00987963"/>
    <w:rsid w:val="00991FA2"/>
    <w:rsid w:val="00992F8E"/>
    <w:rsid w:val="009936DE"/>
    <w:rsid w:val="00993979"/>
    <w:rsid w:val="009943E7"/>
    <w:rsid w:val="00994B9F"/>
    <w:rsid w:val="00995852"/>
    <w:rsid w:val="009958BE"/>
    <w:rsid w:val="0099667D"/>
    <w:rsid w:val="00997883"/>
    <w:rsid w:val="009A0095"/>
    <w:rsid w:val="009A1308"/>
    <w:rsid w:val="009A31EB"/>
    <w:rsid w:val="009A3907"/>
    <w:rsid w:val="009A47E2"/>
    <w:rsid w:val="009A5184"/>
    <w:rsid w:val="009A56A7"/>
    <w:rsid w:val="009A5BE7"/>
    <w:rsid w:val="009A61DC"/>
    <w:rsid w:val="009A63DF"/>
    <w:rsid w:val="009A7CD2"/>
    <w:rsid w:val="009B05F5"/>
    <w:rsid w:val="009B7D60"/>
    <w:rsid w:val="009C205E"/>
    <w:rsid w:val="009C2DA2"/>
    <w:rsid w:val="009C320B"/>
    <w:rsid w:val="009C6475"/>
    <w:rsid w:val="009D1475"/>
    <w:rsid w:val="009D1B1E"/>
    <w:rsid w:val="009D1CE7"/>
    <w:rsid w:val="009D35D0"/>
    <w:rsid w:val="009D3CC1"/>
    <w:rsid w:val="009D5F5E"/>
    <w:rsid w:val="009D6AE0"/>
    <w:rsid w:val="009D6B04"/>
    <w:rsid w:val="009D6D81"/>
    <w:rsid w:val="009D75CA"/>
    <w:rsid w:val="009E102A"/>
    <w:rsid w:val="009E1218"/>
    <w:rsid w:val="009E183C"/>
    <w:rsid w:val="009E2360"/>
    <w:rsid w:val="009E357D"/>
    <w:rsid w:val="009E54A3"/>
    <w:rsid w:val="009E576E"/>
    <w:rsid w:val="009E5D04"/>
    <w:rsid w:val="009E5F59"/>
    <w:rsid w:val="009E6BA0"/>
    <w:rsid w:val="009E6D59"/>
    <w:rsid w:val="009F0424"/>
    <w:rsid w:val="009F1857"/>
    <w:rsid w:val="009F5554"/>
    <w:rsid w:val="00A0167A"/>
    <w:rsid w:val="00A020FD"/>
    <w:rsid w:val="00A05EF9"/>
    <w:rsid w:val="00A071A1"/>
    <w:rsid w:val="00A07359"/>
    <w:rsid w:val="00A07890"/>
    <w:rsid w:val="00A1038C"/>
    <w:rsid w:val="00A11076"/>
    <w:rsid w:val="00A11A77"/>
    <w:rsid w:val="00A165D8"/>
    <w:rsid w:val="00A1797B"/>
    <w:rsid w:val="00A179A0"/>
    <w:rsid w:val="00A17BB9"/>
    <w:rsid w:val="00A23055"/>
    <w:rsid w:val="00A24D85"/>
    <w:rsid w:val="00A25203"/>
    <w:rsid w:val="00A26590"/>
    <w:rsid w:val="00A2700B"/>
    <w:rsid w:val="00A27464"/>
    <w:rsid w:val="00A27D71"/>
    <w:rsid w:val="00A32720"/>
    <w:rsid w:val="00A33713"/>
    <w:rsid w:val="00A34A93"/>
    <w:rsid w:val="00A35468"/>
    <w:rsid w:val="00A41319"/>
    <w:rsid w:val="00A41AC0"/>
    <w:rsid w:val="00A4237A"/>
    <w:rsid w:val="00A43CD3"/>
    <w:rsid w:val="00A445DA"/>
    <w:rsid w:val="00A45E5C"/>
    <w:rsid w:val="00A47631"/>
    <w:rsid w:val="00A478EF"/>
    <w:rsid w:val="00A50689"/>
    <w:rsid w:val="00A556D9"/>
    <w:rsid w:val="00A5653A"/>
    <w:rsid w:val="00A56A46"/>
    <w:rsid w:val="00A60965"/>
    <w:rsid w:val="00A61136"/>
    <w:rsid w:val="00A66C53"/>
    <w:rsid w:val="00A67473"/>
    <w:rsid w:val="00A67C18"/>
    <w:rsid w:val="00A7104F"/>
    <w:rsid w:val="00A715BF"/>
    <w:rsid w:val="00A718A0"/>
    <w:rsid w:val="00A729C0"/>
    <w:rsid w:val="00A7350C"/>
    <w:rsid w:val="00A74150"/>
    <w:rsid w:val="00A764A1"/>
    <w:rsid w:val="00A764F4"/>
    <w:rsid w:val="00A77ACC"/>
    <w:rsid w:val="00A83082"/>
    <w:rsid w:val="00A8350A"/>
    <w:rsid w:val="00A8787C"/>
    <w:rsid w:val="00A87E86"/>
    <w:rsid w:val="00A9039B"/>
    <w:rsid w:val="00A92900"/>
    <w:rsid w:val="00A94ED7"/>
    <w:rsid w:val="00A95D70"/>
    <w:rsid w:val="00A9647A"/>
    <w:rsid w:val="00A965C3"/>
    <w:rsid w:val="00A966F9"/>
    <w:rsid w:val="00AA2F9D"/>
    <w:rsid w:val="00AA35A7"/>
    <w:rsid w:val="00AA4333"/>
    <w:rsid w:val="00AA4EC2"/>
    <w:rsid w:val="00AA4F26"/>
    <w:rsid w:val="00AA5DB2"/>
    <w:rsid w:val="00AA672F"/>
    <w:rsid w:val="00AB2041"/>
    <w:rsid w:val="00AB25D3"/>
    <w:rsid w:val="00AB317B"/>
    <w:rsid w:val="00AB3494"/>
    <w:rsid w:val="00AB3801"/>
    <w:rsid w:val="00AB4D22"/>
    <w:rsid w:val="00AB62AF"/>
    <w:rsid w:val="00AB64CB"/>
    <w:rsid w:val="00AB6734"/>
    <w:rsid w:val="00AB74B7"/>
    <w:rsid w:val="00AC02F8"/>
    <w:rsid w:val="00AC0E47"/>
    <w:rsid w:val="00AC284B"/>
    <w:rsid w:val="00AC3422"/>
    <w:rsid w:val="00AC44AC"/>
    <w:rsid w:val="00AC48C0"/>
    <w:rsid w:val="00AC7651"/>
    <w:rsid w:val="00AD0E48"/>
    <w:rsid w:val="00AD18E9"/>
    <w:rsid w:val="00AD1936"/>
    <w:rsid w:val="00AD3359"/>
    <w:rsid w:val="00AD5997"/>
    <w:rsid w:val="00AE0761"/>
    <w:rsid w:val="00AE2104"/>
    <w:rsid w:val="00AE23E5"/>
    <w:rsid w:val="00AE27B7"/>
    <w:rsid w:val="00AE3E3E"/>
    <w:rsid w:val="00AE4583"/>
    <w:rsid w:val="00AE48E3"/>
    <w:rsid w:val="00AE60C5"/>
    <w:rsid w:val="00AE68D9"/>
    <w:rsid w:val="00AF0152"/>
    <w:rsid w:val="00AF133F"/>
    <w:rsid w:val="00AF1D11"/>
    <w:rsid w:val="00AF30A1"/>
    <w:rsid w:val="00AF35B9"/>
    <w:rsid w:val="00AF3C93"/>
    <w:rsid w:val="00AF54F9"/>
    <w:rsid w:val="00AF5EE3"/>
    <w:rsid w:val="00AF6064"/>
    <w:rsid w:val="00AF708C"/>
    <w:rsid w:val="00B00CF1"/>
    <w:rsid w:val="00B02BCE"/>
    <w:rsid w:val="00B0388F"/>
    <w:rsid w:val="00B05DCB"/>
    <w:rsid w:val="00B0644F"/>
    <w:rsid w:val="00B06BD7"/>
    <w:rsid w:val="00B10D23"/>
    <w:rsid w:val="00B11A57"/>
    <w:rsid w:val="00B11ACD"/>
    <w:rsid w:val="00B121BB"/>
    <w:rsid w:val="00B12688"/>
    <w:rsid w:val="00B12DBC"/>
    <w:rsid w:val="00B13858"/>
    <w:rsid w:val="00B15D53"/>
    <w:rsid w:val="00B16237"/>
    <w:rsid w:val="00B20AC7"/>
    <w:rsid w:val="00B20BA4"/>
    <w:rsid w:val="00B23872"/>
    <w:rsid w:val="00B24082"/>
    <w:rsid w:val="00B2428B"/>
    <w:rsid w:val="00B25ECB"/>
    <w:rsid w:val="00B30157"/>
    <w:rsid w:val="00B310CF"/>
    <w:rsid w:val="00B31825"/>
    <w:rsid w:val="00B31DCD"/>
    <w:rsid w:val="00B326A9"/>
    <w:rsid w:val="00B3377A"/>
    <w:rsid w:val="00B349F6"/>
    <w:rsid w:val="00B352E9"/>
    <w:rsid w:val="00B37C7C"/>
    <w:rsid w:val="00B4076D"/>
    <w:rsid w:val="00B418EA"/>
    <w:rsid w:val="00B42BF0"/>
    <w:rsid w:val="00B44548"/>
    <w:rsid w:val="00B458D2"/>
    <w:rsid w:val="00B46DD5"/>
    <w:rsid w:val="00B46E39"/>
    <w:rsid w:val="00B479C4"/>
    <w:rsid w:val="00B5176F"/>
    <w:rsid w:val="00B52213"/>
    <w:rsid w:val="00B523D6"/>
    <w:rsid w:val="00B5476B"/>
    <w:rsid w:val="00B56FDE"/>
    <w:rsid w:val="00B600B7"/>
    <w:rsid w:val="00B65A0C"/>
    <w:rsid w:val="00B677EC"/>
    <w:rsid w:val="00B7042B"/>
    <w:rsid w:val="00B705E7"/>
    <w:rsid w:val="00B70C69"/>
    <w:rsid w:val="00B7204D"/>
    <w:rsid w:val="00B72472"/>
    <w:rsid w:val="00B737E8"/>
    <w:rsid w:val="00B73A24"/>
    <w:rsid w:val="00B75694"/>
    <w:rsid w:val="00B76B5A"/>
    <w:rsid w:val="00B779E7"/>
    <w:rsid w:val="00B80B25"/>
    <w:rsid w:val="00B843C7"/>
    <w:rsid w:val="00B84C87"/>
    <w:rsid w:val="00B86B03"/>
    <w:rsid w:val="00B8733A"/>
    <w:rsid w:val="00B87B5F"/>
    <w:rsid w:val="00B90A6F"/>
    <w:rsid w:val="00B946C3"/>
    <w:rsid w:val="00B94FB3"/>
    <w:rsid w:val="00B96EAE"/>
    <w:rsid w:val="00BA04ED"/>
    <w:rsid w:val="00BA19A6"/>
    <w:rsid w:val="00BA1C68"/>
    <w:rsid w:val="00BA287E"/>
    <w:rsid w:val="00BA40B5"/>
    <w:rsid w:val="00BA4108"/>
    <w:rsid w:val="00BA41D8"/>
    <w:rsid w:val="00BA677E"/>
    <w:rsid w:val="00BA73F6"/>
    <w:rsid w:val="00BB09FD"/>
    <w:rsid w:val="00BB1074"/>
    <w:rsid w:val="00BB119A"/>
    <w:rsid w:val="00BB1842"/>
    <w:rsid w:val="00BB1DE9"/>
    <w:rsid w:val="00BB2675"/>
    <w:rsid w:val="00BB3067"/>
    <w:rsid w:val="00BB3913"/>
    <w:rsid w:val="00BB4BCE"/>
    <w:rsid w:val="00BC019C"/>
    <w:rsid w:val="00BC15FE"/>
    <w:rsid w:val="00BC2759"/>
    <w:rsid w:val="00BC30A7"/>
    <w:rsid w:val="00BC337D"/>
    <w:rsid w:val="00BC42CE"/>
    <w:rsid w:val="00BC571F"/>
    <w:rsid w:val="00BC7122"/>
    <w:rsid w:val="00BD1255"/>
    <w:rsid w:val="00BD2D59"/>
    <w:rsid w:val="00BD364A"/>
    <w:rsid w:val="00BD7645"/>
    <w:rsid w:val="00BE5AE7"/>
    <w:rsid w:val="00BE6674"/>
    <w:rsid w:val="00BE7E38"/>
    <w:rsid w:val="00BF22D0"/>
    <w:rsid w:val="00BF434F"/>
    <w:rsid w:val="00BF4BE5"/>
    <w:rsid w:val="00BF5AC7"/>
    <w:rsid w:val="00C0241B"/>
    <w:rsid w:val="00C0280E"/>
    <w:rsid w:val="00C0412C"/>
    <w:rsid w:val="00C058D9"/>
    <w:rsid w:val="00C05C1E"/>
    <w:rsid w:val="00C06B48"/>
    <w:rsid w:val="00C10193"/>
    <w:rsid w:val="00C10A2E"/>
    <w:rsid w:val="00C11A4D"/>
    <w:rsid w:val="00C11D28"/>
    <w:rsid w:val="00C13713"/>
    <w:rsid w:val="00C1559B"/>
    <w:rsid w:val="00C1567D"/>
    <w:rsid w:val="00C2160A"/>
    <w:rsid w:val="00C21FB5"/>
    <w:rsid w:val="00C221F3"/>
    <w:rsid w:val="00C228C5"/>
    <w:rsid w:val="00C24323"/>
    <w:rsid w:val="00C2464D"/>
    <w:rsid w:val="00C25B69"/>
    <w:rsid w:val="00C27E30"/>
    <w:rsid w:val="00C27F04"/>
    <w:rsid w:val="00C304EB"/>
    <w:rsid w:val="00C31030"/>
    <w:rsid w:val="00C31373"/>
    <w:rsid w:val="00C31905"/>
    <w:rsid w:val="00C31C48"/>
    <w:rsid w:val="00C35AD1"/>
    <w:rsid w:val="00C36CD2"/>
    <w:rsid w:val="00C40D26"/>
    <w:rsid w:val="00C410A8"/>
    <w:rsid w:val="00C42044"/>
    <w:rsid w:val="00C420F7"/>
    <w:rsid w:val="00C42BEF"/>
    <w:rsid w:val="00C4327D"/>
    <w:rsid w:val="00C443C7"/>
    <w:rsid w:val="00C462A2"/>
    <w:rsid w:val="00C50F2D"/>
    <w:rsid w:val="00C5246A"/>
    <w:rsid w:val="00C52C31"/>
    <w:rsid w:val="00C52E32"/>
    <w:rsid w:val="00C54254"/>
    <w:rsid w:val="00C5666C"/>
    <w:rsid w:val="00C57021"/>
    <w:rsid w:val="00C62016"/>
    <w:rsid w:val="00C62096"/>
    <w:rsid w:val="00C62E92"/>
    <w:rsid w:val="00C66752"/>
    <w:rsid w:val="00C70302"/>
    <w:rsid w:val="00C70383"/>
    <w:rsid w:val="00C706A7"/>
    <w:rsid w:val="00C70FC4"/>
    <w:rsid w:val="00C72689"/>
    <w:rsid w:val="00C72DB4"/>
    <w:rsid w:val="00C740E4"/>
    <w:rsid w:val="00C76433"/>
    <w:rsid w:val="00C76CE1"/>
    <w:rsid w:val="00C77F32"/>
    <w:rsid w:val="00C82C40"/>
    <w:rsid w:val="00C83B4F"/>
    <w:rsid w:val="00C842E2"/>
    <w:rsid w:val="00C86345"/>
    <w:rsid w:val="00C875A8"/>
    <w:rsid w:val="00C90526"/>
    <w:rsid w:val="00C915BE"/>
    <w:rsid w:val="00C91FA8"/>
    <w:rsid w:val="00C92D9A"/>
    <w:rsid w:val="00C930E4"/>
    <w:rsid w:val="00C94C7F"/>
    <w:rsid w:val="00C95C9F"/>
    <w:rsid w:val="00C96335"/>
    <w:rsid w:val="00CA12C5"/>
    <w:rsid w:val="00CA14E8"/>
    <w:rsid w:val="00CA203D"/>
    <w:rsid w:val="00CA2A4D"/>
    <w:rsid w:val="00CA2CA0"/>
    <w:rsid w:val="00CA3077"/>
    <w:rsid w:val="00CA352B"/>
    <w:rsid w:val="00CA4DC0"/>
    <w:rsid w:val="00CA58D9"/>
    <w:rsid w:val="00CA70E6"/>
    <w:rsid w:val="00CB0F25"/>
    <w:rsid w:val="00CB3C67"/>
    <w:rsid w:val="00CB5E2B"/>
    <w:rsid w:val="00CB7BDB"/>
    <w:rsid w:val="00CB7D14"/>
    <w:rsid w:val="00CC1722"/>
    <w:rsid w:val="00CC1F0B"/>
    <w:rsid w:val="00CC2F82"/>
    <w:rsid w:val="00CC4265"/>
    <w:rsid w:val="00CC4BE3"/>
    <w:rsid w:val="00CC5116"/>
    <w:rsid w:val="00CD2A35"/>
    <w:rsid w:val="00CD3B42"/>
    <w:rsid w:val="00CD4346"/>
    <w:rsid w:val="00CD4644"/>
    <w:rsid w:val="00CD5047"/>
    <w:rsid w:val="00CD55EE"/>
    <w:rsid w:val="00CD63C0"/>
    <w:rsid w:val="00CD64D5"/>
    <w:rsid w:val="00CD6A58"/>
    <w:rsid w:val="00CD77B7"/>
    <w:rsid w:val="00CE09F7"/>
    <w:rsid w:val="00CE1934"/>
    <w:rsid w:val="00CE1D0D"/>
    <w:rsid w:val="00CE2C1F"/>
    <w:rsid w:val="00CE31C5"/>
    <w:rsid w:val="00CF0890"/>
    <w:rsid w:val="00CF134B"/>
    <w:rsid w:val="00CF1F21"/>
    <w:rsid w:val="00CF3259"/>
    <w:rsid w:val="00CF3FF3"/>
    <w:rsid w:val="00CF4785"/>
    <w:rsid w:val="00CF4D46"/>
    <w:rsid w:val="00CF6545"/>
    <w:rsid w:val="00D00A76"/>
    <w:rsid w:val="00D00A82"/>
    <w:rsid w:val="00D00ACF"/>
    <w:rsid w:val="00D03989"/>
    <w:rsid w:val="00D045DF"/>
    <w:rsid w:val="00D056A2"/>
    <w:rsid w:val="00D05BF5"/>
    <w:rsid w:val="00D10ED0"/>
    <w:rsid w:val="00D1149F"/>
    <w:rsid w:val="00D1323C"/>
    <w:rsid w:val="00D13704"/>
    <w:rsid w:val="00D14832"/>
    <w:rsid w:val="00D14B40"/>
    <w:rsid w:val="00D14D43"/>
    <w:rsid w:val="00D15F4A"/>
    <w:rsid w:val="00D166D1"/>
    <w:rsid w:val="00D16C26"/>
    <w:rsid w:val="00D16FE1"/>
    <w:rsid w:val="00D20D00"/>
    <w:rsid w:val="00D22637"/>
    <w:rsid w:val="00D235AD"/>
    <w:rsid w:val="00D24858"/>
    <w:rsid w:val="00D2600F"/>
    <w:rsid w:val="00D26B2C"/>
    <w:rsid w:val="00D27060"/>
    <w:rsid w:val="00D2734A"/>
    <w:rsid w:val="00D31067"/>
    <w:rsid w:val="00D34562"/>
    <w:rsid w:val="00D40334"/>
    <w:rsid w:val="00D4066C"/>
    <w:rsid w:val="00D42221"/>
    <w:rsid w:val="00D422E1"/>
    <w:rsid w:val="00D42EA0"/>
    <w:rsid w:val="00D439D6"/>
    <w:rsid w:val="00D43F99"/>
    <w:rsid w:val="00D45DF5"/>
    <w:rsid w:val="00D47323"/>
    <w:rsid w:val="00D47715"/>
    <w:rsid w:val="00D514A7"/>
    <w:rsid w:val="00D519FF"/>
    <w:rsid w:val="00D53DBD"/>
    <w:rsid w:val="00D543B2"/>
    <w:rsid w:val="00D5469E"/>
    <w:rsid w:val="00D5534D"/>
    <w:rsid w:val="00D55CC6"/>
    <w:rsid w:val="00D55DC4"/>
    <w:rsid w:val="00D57072"/>
    <w:rsid w:val="00D5764E"/>
    <w:rsid w:val="00D600F4"/>
    <w:rsid w:val="00D60B8B"/>
    <w:rsid w:val="00D639E1"/>
    <w:rsid w:val="00D64AFF"/>
    <w:rsid w:val="00D65B45"/>
    <w:rsid w:val="00D6668D"/>
    <w:rsid w:val="00D667D4"/>
    <w:rsid w:val="00D710AE"/>
    <w:rsid w:val="00D711F5"/>
    <w:rsid w:val="00D71FA5"/>
    <w:rsid w:val="00D7306B"/>
    <w:rsid w:val="00D73823"/>
    <w:rsid w:val="00D73A85"/>
    <w:rsid w:val="00D75258"/>
    <w:rsid w:val="00D76818"/>
    <w:rsid w:val="00D7741C"/>
    <w:rsid w:val="00D77815"/>
    <w:rsid w:val="00D7790F"/>
    <w:rsid w:val="00D8088D"/>
    <w:rsid w:val="00D81744"/>
    <w:rsid w:val="00D81801"/>
    <w:rsid w:val="00D818E1"/>
    <w:rsid w:val="00D8234D"/>
    <w:rsid w:val="00D82E3E"/>
    <w:rsid w:val="00D8375F"/>
    <w:rsid w:val="00D86833"/>
    <w:rsid w:val="00D868C6"/>
    <w:rsid w:val="00D870CF"/>
    <w:rsid w:val="00D904DE"/>
    <w:rsid w:val="00D90F4D"/>
    <w:rsid w:val="00D91810"/>
    <w:rsid w:val="00D9246A"/>
    <w:rsid w:val="00D935FF"/>
    <w:rsid w:val="00D95B57"/>
    <w:rsid w:val="00D963AD"/>
    <w:rsid w:val="00D97552"/>
    <w:rsid w:val="00D97CC9"/>
    <w:rsid w:val="00DA005C"/>
    <w:rsid w:val="00DA0979"/>
    <w:rsid w:val="00DA198F"/>
    <w:rsid w:val="00DA21CE"/>
    <w:rsid w:val="00DA346D"/>
    <w:rsid w:val="00DA35FF"/>
    <w:rsid w:val="00DA3A9C"/>
    <w:rsid w:val="00DA4CDD"/>
    <w:rsid w:val="00DA63B1"/>
    <w:rsid w:val="00DA73DC"/>
    <w:rsid w:val="00DB0415"/>
    <w:rsid w:val="00DB2D7D"/>
    <w:rsid w:val="00DB3304"/>
    <w:rsid w:val="00DB3320"/>
    <w:rsid w:val="00DB673C"/>
    <w:rsid w:val="00DB7255"/>
    <w:rsid w:val="00DB77FE"/>
    <w:rsid w:val="00DC0A60"/>
    <w:rsid w:val="00DC29BC"/>
    <w:rsid w:val="00DC3B7C"/>
    <w:rsid w:val="00DC50BF"/>
    <w:rsid w:val="00DC67EE"/>
    <w:rsid w:val="00DD1235"/>
    <w:rsid w:val="00DD1C73"/>
    <w:rsid w:val="00DD23E7"/>
    <w:rsid w:val="00DD27C0"/>
    <w:rsid w:val="00DD594C"/>
    <w:rsid w:val="00DD5D4E"/>
    <w:rsid w:val="00DD64FD"/>
    <w:rsid w:val="00DD6A84"/>
    <w:rsid w:val="00DE23CF"/>
    <w:rsid w:val="00DE30E4"/>
    <w:rsid w:val="00DE47D7"/>
    <w:rsid w:val="00DE5638"/>
    <w:rsid w:val="00DE75F1"/>
    <w:rsid w:val="00DE7F28"/>
    <w:rsid w:val="00DF044E"/>
    <w:rsid w:val="00DF1BC6"/>
    <w:rsid w:val="00DF3049"/>
    <w:rsid w:val="00DF4044"/>
    <w:rsid w:val="00DF45A9"/>
    <w:rsid w:val="00DF50D4"/>
    <w:rsid w:val="00DF5AB8"/>
    <w:rsid w:val="00DF6A3A"/>
    <w:rsid w:val="00DF6F0E"/>
    <w:rsid w:val="00E0213D"/>
    <w:rsid w:val="00E025C0"/>
    <w:rsid w:val="00E027D0"/>
    <w:rsid w:val="00E0281E"/>
    <w:rsid w:val="00E0287E"/>
    <w:rsid w:val="00E02E69"/>
    <w:rsid w:val="00E04484"/>
    <w:rsid w:val="00E0476E"/>
    <w:rsid w:val="00E060C5"/>
    <w:rsid w:val="00E06474"/>
    <w:rsid w:val="00E06951"/>
    <w:rsid w:val="00E107EE"/>
    <w:rsid w:val="00E11284"/>
    <w:rsid w:val="00E120E3"/>
    <w:rsid w:val="00E12169"/>
    <w:rsid w:val="00E136E2"/>
    <w:rsid w:val="00E15454"/>
    <w:rsid w:val="00E15890"/>
    <w:rsid w:val="00E15B88"/>
    <w:rsid w:val="00E161C6"/>
    <w:rsid w:val="00E175A1"/>
    <w:rsid w:val="00E20F66"/>
    <w:rsid w:val="00E21ABC"/>
    <w:rsid w:val="00E21EC3"/>
    <w:rsid w:val="00E27079"/>
    <w:rsid w:val="00E31881"/>
    <w:rsid w:val="00E334D6"/>
    <w:rsid w:val="00E33D5C"/>
    <w:rsid w:val="00E33F72"/>
    <w:rsid w:val="00E33F79"/>
    <w:rsid w:val="00E343EA"/>
    <w:rsid w:val="00E34A69"/>
    <w:rsid w:val="00E34B20"/>
    <w:rsid w:val="00E36A5B"/>
    <w:rsid w:val="00E41053"/>
    <w:rsid w:val="00E426E5"/>
    <w:rsid w:val="00E45A68"/>
    <w:rsid w:val="00E46DEF"/>
    <w:rsid w:val="00E4764A"/>
    <w:rsid w:val="00E51DA6"/>
    <w:rsid w:val="00E52401"/>
    <w:rsid w:val="00E55DCC"/>
    <w:rsid w:val="00E55F51"/>
    <w:rsid w:val="00E570C0"/>
    <w:rsid w:val="00E57F82"/>
    <w:rsid w:val="00E602B7"/>
    <w:rsid w:val="00E61F3C"/>
    <w:rsid w:val="00E62DC9"/>
    <w:rsid w:val="00E6301C"/>
    <w:rsid w:val="00E633F2"/>
    <w:rsid w:val="00E65B81"/>
    <w:rsid w:val="00E6610A"/>
    <w:rsid w:val="00E66313"/>
    <w:rsid w:val="00E66A33"/>
    <w:rsid w:val="00E66D9D"/>
    <w:rsid w:val="00E67CCD"/>
    <w:rsid w:val="00E714BB"/>
    <w:rsid w:val="00E72D7D"/>
    <w:rsid w:val="00E73653"/>
    <w:rsid w:val="00E74D19"/>
    <w:rsid w:val="00E755C9"/>
    <w:rsid w:val="00E757B0"/>
    <w:rsid w:val="00E75D7E"/>
    <w:rsid w:val="00E760D9"/>
    <w:rsid w:val="00E761E9"/>
    <w:rsid w:val="00E804F2"/>
    <w:rsid w:val="00E80EDF"/>
    <w:rsid w:val="00E832E6"/>
    <w:rsid w:val="00E845EC"/>
    <w:rsid w:val="00E85F44"/>
    <w:rsid w:val="00E87C34"/>
    <w:rsid w:val="00E90387"/>
    <w:rsid w:val="00E90A95"/>
    <w:rsid w:val="00E92973"/>
    <w:rsid w:val="00E93411"/>
    <w:rsid w:val="00E9355C"/>
    <w:rsid w:val="00E93E37"/>
    <w:rsid w:val="00E9644F"/>
    <w:rsid w:val="00E97249"/>
    <w:rsid w:val="00EA084F"/>
    <w:rsid w:val="00EA0D4F"/>
    <w:rsid w:val="00EA32C6"/>
    <w:rsid w:val="00EA33C0"/>
    <w:rsid w:val="00EA5317"/>
    <w:rsid w:val="00EB1143"/>
    <w:rsid w:val="00EB17FA"/>
    <w:rsid w:val="00EB21E4"/>
    <w:rsid w:val="00EB2B4F"/>
    <w:rsid w:val="00EB3195"/>
    <w:rsid w:val="00EB4591"/>
    <w:rsid w:val="00EB4FD3"/>
    <w:rsid w:val="00EB5201"/>
    <w:rsid w:val="00EB6FEF"/>
    <w:rsid w:val="00EB7848"/>
    <w:rsid w:val="00EC13DA"/>
    <w:rsid w:val="00EC1AEF"/>
    <w:rsid w:val="00EC1B87"/>
    <w:rsid w:val="00EC41B7"/>
    <w:rsid w:val="00EC4769"/>
    <w:rsid w:val="00EC5213"/>
    <w:rsid w:val="00EC52AC"/>
    <w:rsid w:val="00EC5660"/>
    <w:rsid w:val="00EC6523"/>
    <w:rsid w:val="00EC66D7"/>
    <w:rsid w:val="00ED1712"/>
    <w:rsid w:val="00ED2E01"/>
    <w:rsid w:val="00ED4EBA"/>
    <w:rsid w:val="00ED5030"/>
    <w:rsid w:val="00ED6530"/>
    <w:rsid w:val="00EE0AE3"/>
    <w:rsid w:val="00EE0D1D"/>
    <w:rsid w:val="00EE1E3F"/>
    <w:rsid w:val="00EE2013"/>
    <w:rsid w:val="00EE23F3"/>
    <w:rsid w:val="00EE24B0"/>
    <w:rsid w:val="00EE364F"/>
    <w:rsid w:val="00EE5B2C"/>
    <w:rsid w:val="00EE6008"/>
    <w:rsid w:val="00EE65E4"/>
    <w:rsid w:val="00EE6BD8"/>
    <w:rsid w:val="00EE7348"/>
    <w:rsid w:val="00EE7D03"/>
    <w:rsid w:val="00EF1CF1"/>
    <w:rsid w:val="00EF3731"/>
    <w:rsid w:val="00EF4581"/>
    <w:rsid w:val="00EF64F8"/>
    <w:rsid w:val="00EF675A"/>
    <w:rsid w:val="00EF6C61"/>
    <w:rsid w:val="00EF7BBD"/>
    <w:rsid w:val="00F00D37"/>
    <w:rsid w:val="00F01EF8"/>
    <w:rsid w:val="00F04C3D"/>
    <w:rsid w:val="00F052CB"/>
    <w:rsid w:val="00F06C20"/>
    <w:rsid w:val="00F06DE1"/>
    <w:rsid w:val="00F10AEE"/>
    <w:rsid w:val="00F119CC"/>
    <w:rsid w:val="00F11A08"/>
    <w:rsid w:val="00F128E3"/>
    <w:rsid w:val="00F134FB"/>
    <w:rsid w:val="00F1352E"/>
    <w:rsid w:val="00F1552B"/>
    <w:rsid w:val="00F158D5"/>
    <w:rsid w:val="00F17FFB"/>
    <w:rsid w:val="00F21818"/>
    <w:rsid w:val="00F21826"/>
    <w:rsid w:val="00F23F02"/>
    <w:rsid w:val="00F30746"/>
    <w:rsid w:val="00F3236E"/>
    <w:rsid w:val="00F34075"/>
    <w:rsid w:val="00F3579E"/>
    <w:rsid w:val="00F357AC"/>
    <w:rsid w:val="00F36C29"/>
    <w:rsid w:val="00F41449"/>
    <w:rsid w:val="00F4248E"/>
    <w:rsid w:val="00F455D1"/>
    <w:rsid w:val="00F45620"/>
    <w:rsid w:val="00F47B94"/>
    <w:rsid w:val="00F5440E"/>
    <w:rsid w:val="00F554CB"/>
    <w:rsid w:val="00F579E5"/>
    <w:rsid w:val="00F62718"/>
    <w:rsid w:val="00F63A55"/>
    <w:rsid w:val="00F651E8"/>
    <w:rsid w:val="00F65CE3"/>
    <w:rsid w:val="00F67D8D"/>
    <w:rsid w:val="00F75A94"/>
    <w:rsid w:val="00F76A73"/>
    <w:rsid w:val="00F779AC"/>
    <w:rsid w:val="00F8052B"/>
    <w:rsid w:val="00F80F25"/>
    <w:rsid w:val="00F8197E"/>
    <w:rsid w:val="00F849AE"/>
    <w:rsid w:val="00F84E42"/>
    <w:rsid w:val="00F85F15"/>
    <w:rsid w:val="00F85FFA"/>
    <w:rsid w:val="00F86583"/>
    <w:rsid w:val="00F9167C"/>
    <w:rsid w:val="00F94047"/>
    <w:rsid w:val="00F96F1E"/>
    <w:rsid w:val="00F97E09"/>
    <w:rsid w:val="00FA48F4"/>
    <w:rsid w:val="00FA5A5D"/>
    <w:rsid w:val="00FA5CA3"/>
    <w:rsid w:val="00FA61B4"/>
    <w:rsid w:val="00FA7905"/>
    <w:rsid w:val="00FB098A"/>
    <w:rsid w:val="00FB0C43"/>
    <w:rsid w:val="00FB45D3"/>
    <w:rsid w:val="00FB584C"/>
    <w:rsid w:val="00FC09D4"/>
    <w:rsid w:val="00FC2398"/>
    <w:rsid w:val="00FC4FCD"/>
    <w:rsid w:val="00FD1455"/>
    <w:rsid w:val="00FD35D4"/>
    <w:rsid w:val="00FD6CC7"/>
    <w:rsid w:val="00FD755B"/>
    <w:rsid w:val="00FE17EF"/>
    <w:rsid w:val="00FE3054"/>
    <w:rsid w:val="00FE4F56"/>
    <w:rsid w:val="00FE7928"/>
    <w:rsid w:val="00FE7D37"/>
    <w:rsid w:val="00FF0B00"/>
    <w:rsid w:val="00FF0E8D"/>
    <w:rsid w:val="00FF1CCE"/>
    <w:rsid w:val="00FF1E29"/>
    <w:rsid w:val="00FF2C59"/>
    <w:rsid w:val="00FF2DD2"/>
    <w:rsid w:val="00FF44DC"/>
    <w:rsid w:val="00FF59CD"/>
    <w:rsid w:val="00FF7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55E1D"/>
  <w15:chartTrackingRefBased/>
  <w15:docId w15:val="{F0D2C0B6-76A7-4D80-9AA8-7BF943C7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6E2B80"/>
    <w:pPr>
      <w:keepNext/>
      <w:keepLines/>
      <w:pBdr>
        <w:bottom w:val="single" w:sz="4" w:space="1" w:color="auto"/>
      </w:pBdr>
      <w:spacing w:before="240" w:after="240" w:line="360" w:lineRule="auto"/>
      <w:jc w:val="center"/>
      <w:outlineLvl w:val="0"/>
    </w:pPr>
    <w:rPr>
      <w:rFonts w:eastAsiaTheme="majorEastAsia" w:cstheme="minorHAnsi"/>
      <w:sz w:val="32"/>
      <w:szCs w:val="32"/>
    </w:rPr>
  </w:style>
  <w:style w:type="paragraph" w:styleId="Heading2">
    <w:name w:val="heading 2"/>
    <w:basedOn w:val="Normal"/>
    <w:next w:val="Normal"/>
    <w:link w:val="Heading2Char"/>
    <w:autoRedefine/>
    <w:uiPriority w:val="9"/>
    <w:unhideWhenUsed/>
    <w:qFormat/>
    <w:rsid w:val="005944F8"/>
    <w:pPr>
      <w:keepNext/>
      <w:keepLines/>
      <w:spacing w:before="120" w:after="120" w:line="360" w:lineRule="auto"/>
      <w:jc w:val="center"/>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E2B80"/>
    <w:pPr>
      <w:keepNext/>
      <w:keepLines/>
      <w:spacing w:before="120" w:after="120" w:line="360" w:lineRule="auto"/>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915D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4FC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4FC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4FC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4F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4F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00F"/>
    <w:rPr>
      <w:color w:val="0563C1" w:themeColor="hyperlink"/>
      <w:u w:val="single"/>
    </w:rPr>
  </w:style>
  <w:style w:type="character" w:styleId="UnresolvedMention">
    <w:name w:val="Unresolved Mention"/>
    <w:basedOn w:val="DefaultParagraphFont"/>
    <w:uiPriority w:val="99"/>
    <w:semiHidden/>
    <w:unhideWhenUsed/>
    <w:rsid w:val="00D2600F"/>
    <w:rPr>
      <w:color w:val="605E5C"/>
      <w:shd w:val="clear" w:color="auto" w:fill="E1DFDD"/>
    </w:rPr>
  </w:style>
  <w:style w:type="paragraph" w:styleId="ListParagraph">
    <w:name w:val="List Paragraph"/>
    <w:basedOn w:val="Normal"/>
    <w:uiPriority w:val="34"/>
    <w:qFormat/>
    <w:rsid w:val="00AB2041"/>
    <w:pPr>
      <w:ind w:left="720"/>
      <w:contextualSpacing/>
    </w:pPr>
  </w:style>
  <w:style w:type="character" w:customStyle="1" w:styleId="Heading2Char">
    <w:name w:val="Heading 2 Char"/>
    <w:basedOn w:val="DefaultParagraphFont"/>
    <w:link w:val="Heading2"/>
    <w:uiPriority w:val="9"/>
    <w:rsid w:val="005944F8"/>
    <w:rPr>
      <w:rFonts w:asciiTheme="majorHAnsi" w:eastAsiaTheme="majorEastAsia" w:hAnsiTheme="majorHAnsi" w:cstheme="majorBidi"/>
      <w:sz w:val="26"/>
      <w:szCs w:val="26"/>
      <w:lang w:val="en-US"/>
    </w:rPr>
  </w:style>
  <w:style w:type="character" w:customStyle="1" w:styleId="Heading1Char">
    <w:name w:val="Heading 1 Char"/>
    <w:basedOn w:val="DefaultParagraphFont"/>
    <w:link w:val="Heading1"/>
    <w:uiPriority w:val="9"/>
    <w:rsid w:val="006E2B80"/>
    <w:rPr>
      <w:rFonts w:eastAsiaTheme="majorEastAsia" w:cstheme="minorHAnsi"/>
      <w:sz w:val="32"/>
      <w:szCs w:val="32"/>
      <w:lang w:val="en-US"/>
    </w:rPr>
  </w:style>
  <w:style w:type="paragraph" w:styleId="FootnoteText">
    <w:name w:val="footnote text"/>
    <w:basedOn w:val="Normal"/>
    <w:link w:val="FootnoteTextChar"/>
    <w:uiPriority w:val="99"/>
    <w:semiHidden/>
    <w:unhideWhenUsed/>
    <w:rsid w:val="00F63A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3A55"/>
    <w:rPr>
      <w:sz w:val="20"/>
      <w:szCs w:val="20"/>
      <w:lang w:val="en-US"/>
    </w:rPr>
  </w:style>
  <w:style w:type="character" w:styleId="FootnoteReference">
    <w:name w:val="footnote reference"/>
    <w:basedOn w:val="DefaultParagraphFont"/>
    <w:uiPriority w:val="99"/>
    <w:semiHidden/>
    <w:unhideWhenUsed/>
    <w:rsid w:val="00F63A55"/>
    <w:rPr>
      <w:vertAlign w:val="superscript"/>
    </w:rPr>
  </w:style>
  <w:style w:type="character" w:customStyle="1" w:styleId="Heading3Char">
    <w:name w:val="Heading 3 Char"/>
    <w:basedOn w:val="DefaultParagraphFont"/>
    <w:link w:val="Heading3"/>
    <w:uiPriority w:val="9"/>
    <w:rsid w:val="006E2B80"/>
    <w:rPr>
      <w:rFonts w:asciiTheme="majorHAnsi" w:eastAsiaTheme="majorEastAsia" w:hAnsiTheme="majorHAnsi" w:cstheme="majorBidi"/>
      <w:sz w:val="24"/>
      <w:szCs w:val="24"/>
      <w:lang w:val="en-US"/>
    </w:rPr>
  </w:style>
  <w:style w:type="paragraph" w:styleId="TOCHeading">
    <w:name w:val="TOC Heading"/>
    <w:basedOn w:val="Heading1"/>
    <w:next w:val="Normal"/>
    <w:uiPriority w:val="39"/>
    <w:unhideWhenUsed/>
    <w:qFormat/>
    <w:rsid w:val="00D543B2"/>
    <w:pPr>
      <w:outlineLvl w:val="9"/>
    </w:pPr>
  </w:style>
  <w:style w:type="paragraph" w:styleId="TOC1">
    <w:name w:val="toc 1"/>
    <w:basedOn w:val="Normal"/>
    <w:next w:val="Normal"/>
    <w:autoRedefine/>
    <w:uiPriority w:val="39"/>
    <w:unhideWhenUsed/>
    <w:rsid w:val="00AB6734"/>
    <w:pPr>
      <w:tabs>
        <w:tab w:val="left" w:pos="720"/>
        <w:tab w:val="right" w:leader="dot" w:pos="9062"/>
      </w:tabs>
      <w:spacing w:after="100"/>
    </w:pPr>
  </w:style>
  <w:style w:type="paragraph" w:styleId="TOC2">
    <w:name w:val="toc 2"/>
    <w:basedOn w:val="Normal"/>
    <w:next w:val="Normal"/>
    <w:autoRedefine/>
    <w:uiPriority w:val="39"/>
    <w:unhideWhenUsed/>
    <w:rsid w:val="005A30B7"/>
    <w:pPr>
      <w:tabs>
        <w:tab w:val="left" w:pos="880"/>
        <w:tab w:val="right" w:leader="dot" w:pos="9062"/>
      </w:tabs>
      <w:spacing w:after="100"/>
      <w:ind w:left="220"/>
    </w:pPr>
    <w:rPr>
      <w:rFonts w:cstheme="minorHAnsi"/>
      <w:noProof/>
    </w:rPr>
  </w:style>
  <w:style w:type="paragraph" w:styleId="TOC3">
    <w:name w:val="toc 3"/>
    <w:basedOn w:val="Normal"/>
    <w:next w:val="Normal"/>
    <w:autoRedefine/>
    <w:uiPriority w:val="39"/>
    <w:unhideWhenUsed/>
    <w:rsid w:val="005A30B7"/>
    <w:pPr>
      <w:tabs>
        <w:tab w:val="left" w:pos="1320"/>
        <w:tab w:val="right" w:leader="dot" w:pos="9062"/>
      </w:tabs>
      <w:spacing w:after="100"/>
      <w:ind w:left="720"/>
    </w:pPr>
  </w:style>
  <w:style w:type="paragraph" w:styleId="Header">
    <w:name w:val="header"/>
    <w:basedOn w:val="Normal"/>
    <w:link w:val="HeaderChar"/>
    <w:uiPriority w:val="99"/>
    <w:unhideWhenUsed/>
    <w:rsid w:val="00F65C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5CE3"/>
    <w:rPr>
      <w:lang w:val="en-US"/>
    </w:rPr>
  </w:style>
  <w:style w:type="paragraph" w:styleId="Footer">
    <w:name w:val="footer"/>
    <w:basedOn w:val="Normal"/>
    <w:link w:val="FooterChar"/>
    <w:uiPriority w:val="99"/>
    <w:unhideWhenUsed/>
    <w:rsid w:val="00F65C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5CE3"/>
    <w:rPr>
      <w:lang w:val="en-US"/>
    </w:rPr>
  </w:style>
  <w:style w:type="paragraph" w:customStyle="1" w:styleId="Default">
    <w:name w:val="Default"/>
    <w:rsid w:val="00D16FE1"/>
    <w:pPr>
      <w:autoSpaceDE w:val="0"/>
      <w:autoSpaceDN w:val="0"/>
      <w:adjustRightInd w:val="0"/>
      <w:spacing w:after="0" w:line="240" w:lineRule="auto"/>
    </w:pPr>
    <w:rPr>
      <w:rFonts w:ascii="Calibri" w:hAnsi="Calibri" w:cs="Calibri"/>
      <w:color w:val="000000"/>
      <w:sz w:val="24"/>
      <w:szCs w:val="24"/>
      <w:lang w:val="hu-HU"/>
    </w:rPr>
  </w:style>
  <w:style w:type="character" w:customStyle="1" w:styleId="Heading4Char">
    <w:name w:val="Heading 4 Char"/>
    <w:basedOn w:val="DefaultParagraphFont"/>
    <w:link w:val="Heading4"/>
    <w:uiPriority w:val="9"/>
    <w:rsid w:val="00915D4D"/>
    <w:rPr>
      <w:rFonts w:asciiTheme="majorHAnsi" w:eastAsiaTheme="majorEastAsia" w:hAnsiTheme="majorHAnsi" w:cstheme="majorBidi"/>
      <w:i/>
      <w:iCs/>
      <w:color w:val="2F5496" w:themeColor="accent1" w:themeShade="BF"/>
      <w:lang w:val="en-US"/>
    </w:rPr>
  </w:style>
  <w:style w:type="character" w:customStyle="1" w:styleId="mi">
    <w:name w:val="mi"/>
    <w:basedOn w:val="DefaultParagraphFont"/>
    <w:rsid w:val="00915D4D"/>
  </w:style>
  <w:style w:type="character" w:customStyle="1" w:styleId="mo">
    <w:name w:val="mo"/>
    <w:basedOn w:val="DefaultParagraphFont"/>
    <w:rsid w:val="00915D4D"/>
  </w:style>
  <w:style w:type="character" w:styleId="PlaceholderText">
    <w:name w:val="Placeholder Text"/>
    <w:basedOn w:val="DefaultParagraphFont"/>
    <w:uiPriority w:val="99"/>
    <w:semiHidden/>
    <w:rsid w:val="00915D4D"/>
    <w:rPr>
      <w:color w:val="808080"/>
    </w:rPr>
  </w:style>
  <w:style w:type="table" w:styleId="TableGrid">
    <w:name w:val="Table Grid"/>
    <w:basedOn w:val="TableNormal"/>
    <w:uiPriority w:val="39"/>
    <w:rsid w:val="00915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D00A76"/>
    <w:rPr>
      <w:vertAlign w:val="superscript"/>
    </w:rPr>
  </w:style>
  <w:style w:type="character" w:styleId="CommentReference">
    <w:name w:val="annotation reference"/>
    <w:basedOn w:val="DefaultParagraphFont"/>
    <w:uiPriority w:val="99"/>
    <w:semiHidden/>
    <w:unhideWhenUsed/>
    <w:rsid w:val="008A0679"/>
    <w:rPr>
      <w:sz w:val="16"/>
      <w:szCs w:val="16"/>
    </w:rPr>
  </w:style>
  <w:style w:type="paragraph" w:styleId="CommentText">
    <w:name w:val="annotation text"/>
    <w:basedOn w:val="Normal"/>
    <w:link w:val="CommentTextChar"/>
    <w:uiPriority w:val="99"/>
    <w:semiHidden/>
    <w:unhideWhenUsed/>
    <w:rsid w:val="008A0679"/>
    <w:pPr>
      <w:spacing w:line="240" w:lineRule="auto"/>
    </w:pPr>
    <w:rPr>
      <w:sz w:val="20"/>
      <w:szCs w:val="20"/>
    </w:rPr>
  </w:style>
  <w:style w:type="character" w:customStyle="1" w:styleId="CommentTextChar">
    <w:name w:val="Comment Text Char"/>
    <w:basedOn w:val="DefaultParagraphFont"/>
    <w:link w:val="CommentText"/>
    <w:uiPriority w:val="99"/>
    <w:semiHidden/>
    <w:rsid w:val="008A0679"/>
    <w:rPr>
      <w:sz w:val="20"/>
      <w:szCs w:val="20"/>
      <w:lang w:val="en-US"/>
    </w:rPr>
  </w:style>
  <w:style w:type="paragraph" w:styleId="CommentSubject">
    <w:name w:val="annotation subject"/>
    <w:basedOn w:val="CommentText"/>
    <w:next w:val="CommentText"/>
    <w:link w:val="CommentSubjectChar"/>
    <w:uiPriority w:val="99"/>
    <w:semiHidden/>
    <w:unhideWhenUsed/>
    <w:rsid w:val="008A0679"/>
    <w:rPr>
      <w:b/>
      <w:bCs/>
    </w:rPr>
  </w:style>
  <w:style w:type="character" w:customStyle="1" w:styleId="CommentSubjectChar">
    <w:name w:val="Comment Subject Char"/>
    <w:basedOn w:val="CommentTextChar"/>
    <w:link w:val="CommentSubject"/>
    <w:uiPriority w:val="99"/>
    <w:semiHidden/>
    <w:rsid w:val="008A0679"/>
    <w:rPr>
      <w:b/>
      <w:bCs/>
      <w:sz w:val="20"/>
      <w:szCs w:val="20"/>
      <w:lang w:val="en-US"/>
    </w:rPr>
  </w:style>
  <w:style w:type="paragraph" w:styleId="BalloonText">
    <w:name w:val="Balloon Text"/>
    <w:basedOn w:val="Normal"/>
    <w:link w:val="BalloonTextChar"/>
    <w:uiPriority w:val="99"/>
    <w:semiHidden/>
    <w:unhideWhenUsed/>
    <w:rsid w:val="008A06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679"/>
    <w:rPr>
      <w:rFonts w:ascii="Segoe UI" w:hAnsi="Segoe UI" w:cs="Segoe UI"/>
      <w:sz w:val="18"/>
      <w:szCs w:val="18"/>
      <w:lang w:val="en-US"/>
    </w:rPr>
  </w:style>
  <w:style w:type="paragraph" w:styleId="Caption">
    <w:name w:val="caption"/>
    <w:basedOn w:val="Normal"/>
    <w:next w:val="Normal"/>
    <w:uiPriority w:val="35"/>
    <w:unhideWhenUsed/>
    <w:qFormat/>
    <w:rsid w:val="00E45A68"/>
    <w:pPr>
      <w:spacing w:after="200" w:line="240" w:lineRule="auto"/>
    </w:pPr>
    <w:rPr>
      <w:i/>
      <w:iCs/>
      <w:color w:val="44546A" w:themeColor="text2"/>
      <w:sz w:val="18"/>
      <w:szCs w:val="18"/>
    </w:rPr>
  </w:style>
  <w:style w:type="paragraph" w:styleId="Bibliography">
    <w:name w:val="Bibliography"/>
    <w:basedOn w:val="Normal"/>
    <w:next w:val="Normal"/>
    <w:uiPriority w:val="37"/>
    <w:semiHidden/>
    <w:unhideWhenUsed/>
    <w:rsid w:val="00454FC5"/>
  </w:style>
  <w:style w:type="paragraph" w:styleId="BlockText">
    <w:name w:val="Block Text"/>
    <w:basedOn w:val="Normal"/>
    <w:uiPriority w:val="99"/>
    <w:semiHidden/>
    <w:unhideWhenUsed/>
    <w:rsid w:val="00454F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454FC5"/>
    <w:pPr>
      <w:spacing w:after="120"/>
    </w:pPr>
  </w:style>
  <w:style w:type="character" w:customStyle="1" w:styleId="BodyTextChar">
    <w:name w:val="Body Text Char"/>
    <w:basedOn w:val="DefaultParagraphFont"/>
    <w:link w:val="BodyText"/>
    <w:uiPriority w:val="99"/>
    <w:semiHidden/>
    <w:rsid w:val="00454FC5"/>
    <w:rPr>
      <w:lang w:val="en-US"/>
    </w:rPr>
  </w:style>
  <w:style w:type="paragraph" w:styleId="BodyText2">
    <w:name w:val="Body Text 2"/>
    <w:basedOn w:val="Normal"/>
    <w:link w:val="BodyText2Char"/>
    <w:uiPriority w:val="99"/>
    <w:semiHidden/>
    <w:unhideWhenUsed/>
    <w:rsid w:val="00454FC5"/>
    <w:pPr>
      <w:spacing w:after="120" w:line="480" w:lineRule="auto"/>
    </w:pPr>
  </w:style>
  <w:style w:type="character" w:customStyle="1" w:styleId="BodyText2Char">
    <w:name w:val="Body Text 2 Char"/>
    <w:basedOn w:val="DefaultParagraphFont"/>
    <w:link w:val="BodyText2"/>
    <w:uiPriority w:val="99"/>
    <w:semiHidden/>
    <w:rsid w:val="00454FC5"/>
    <w:rPr>
      <w:lang w:val="en-US"/>
    </w:rPr>
  </w:style>
  <w:style w:type="paragraph" w:styleId="BodyText3">
    <w:name w:val="Body Text 3"/>
    <w:basedOn w:val="Normal"/>
    <w:link w:val="BodyText3Char"/>
    <w:uiPriority w:val="99"/>
    <w:semiHidden/>
    <w:unhideWhenUsed/>
    <w:rsid w:val="00454FC5"/>
    <w:pPr>
      <w:spacing w:after="120"/>
    </w:pPr>
    <w:rPr>
      <w:sz w:val="16"/>
      <w:szCs w:val="16"/>
    </w:rPr>
  </w:style>
  <w:style w:type="character" w:customStyle="1" w:styleId="BodyText3Char">
    <w:name w:val="Body Text 3 Char"/>
    <w:basedOn w:val="DefaultParagraphFont"/>
    <w:link w:val="BodyText3"/>
    <w:uiPriority w:val="99"/>
    <w:semiHidden/>
    <w:rsid w:val="00454FC5"/>
    <w:rPr>
      <w:sz w:val="16"/>
      <w:szCs w:val="16"/>
      <w:lang w:val="en-US"/>
    </w:rPr>
  </w:style>
  <w:style w:type="paragraph" w:styleId="BodyTextFirstIndent">
    <w:name w:val="Body Text First Indent"/>
    <w:basedOn w:val="BodyText"/>
    <w:link w:val="BodyTextFirstIndentChar"/>
    <w:uiPriority w:val="99"/>
    <w:semiHidden/>
    <w:unhideWhenUsed/>
    <w:rsid w:val="00454FC5"/>
    <w:pPr>
      <w:spacing w:after="160"/>
      <w:ind w:firstLine="360"/>
    </w:pPr>
  </w:style>
  <w:style w:type="character" w:customStyle="1" w:styleId="BodyTextFirstIndentChar">
    <w:name w:val="Body Text First Indent Char"/>
    <w:basedOn w:val="BodyTextChar"/>
    <w:link w:val="BodyTextFirstIndent"/>
    <w:uiPriority w:val="99"/>
    <w:semiHidden/>
    <w:rsid w:val="00454FC5"/>
    <w:rPr>
      <w:lang w:val="en-US"/>
    </w:rPr>
  </w:style>
  <w:style w:type="paragraph" w:styleId="BodyTextIndent">
    <w:name w:val="Body Text Indent"/>
    <w:basedOn w:val="Normal"/>
    <w:link w:val="BodyTextIndentChar"/>
    <w:uiPriority w:val="99"/>
    <w:semiHidden/>
    <w:unhideWhenUsed/>
    <w:rsid w:val="00454FC5"/>
    <w:pPr>
      <w:spacing w:after="120"/>
      <w:ind w:left="283"/>
    </w:pPr>
  </w:style>
  <w:style w:type="character" w:customStyle="1" w:styleId="BodyTextIndentChar">
    <w:name w:val="Body Text Indent Char"/>
    <w:basedOn w:val="DefaultParagraphFont"/>
    <w:link w:val="BodyTextIndent"/>
    <w:uiPriority w:val="99"/>
    <w:semiHidden/>
    <w:rsid w:val="00454FC5"/>
    <w:rPr>
      <w:lang w:val="en-US"/>
    </w:rPr>
  </w:style>
  <w:style w:type="paragraph" w:styleId="BodyTextFirstIndent2">
    <w:name w:val="Body Text First Indent 2"/>
    <w:basedOn w:val="BodyTextIndent"/>
    <w:link w:val="BodyTextFirstIndent2Char"/>
    <w:uiPriority w:val="99"/>
    <w:semiHidden/>
    <w:unhideWhenUsed/>
    <w:rsid w:val="00454FC5"/>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454FC5"/>
    <w:rPr>
      <w:lang w:val="en-US"/>
    </w:rPr>
  </w:style>
  <w:style w:type="paragraph" w:styleId="BodyTextIndent2">
    <w:name w:val="Body Text Indent 2"/>
    <w:basedOn w:val="Normal"/>
    <w:link w:val="BodyTextIndent2Char"/>
    <w:uiPriority w:val="99"/>
    <w:semiHidden/>
    <w:unhideWhenUsed/>
    <w:rsid w:val="00454FC5"/>
    <w:pPr>
      <w:spacing w:after="120" w:line="480" w:lineRule="auto"/>
      <w:ind w:left="283"/>
    </w:pPr>
  </w:style>
  <w:style w:type="character" w:customStyle="1" w:styleId="BodyTextIndent2Char">
    <w:name w:val="Body Text Indent 2 Char"/>
    <w:basedOn w:val="DefaultParagraphFont"/>
    <w:link w:val="BodyTextIndent2"/>
    <w:uiPriority w:val="99"/>
    <w:semiHidden/>
    <w:rsid w:val="00454FC5"/>
    <w:rPr>
      <w:lang w:val="en-US"/>
    </w:rPr>
  </w:style>
  <w:style w:type="paragraph" w:styleId="BodyTextIndent3">
    <w:name w:val="Body Text Indent 3"/>
    <w:basedOn w:val="Normal"/>
    <w:link w:val="BodyTextIndent3Char"/>
    <w:uiPriority w:val="99"/>
    <w:semiHidden/>
    <w:unhideWhenUsed/>
    <w:rsid w:val="00454FC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54FC5"/>
    <w:rPr>
      <w:sz w:val="16"/>
      <w:szCs w:val="16"/>
      <w:lang w:val="en-US"/>
    </w:rPr>
  </w:style>
  <w:style w:type="paragraph" w:styleId="Closing">
    <w:name w:val="Closing"/>
    <w:basedOn w:val="Normal"/>
    <w:link w:val="ClosingChar"/>
    <w:uiPriority w:val="99"/>
    <w:semiHidden/>
    <w:unhideWhenUsed/>
    <w:rsid w:val="00454FC5"/>
    <w:pPr>
      <w:spacing w:after="0" w:line="240" w:lineRule="auto"/>
      <w:ind w:left="4252"/>
    </w:pPr>
  </w:style>
  <w:style w:type="character" w:customStyle="1" w:styleId="ClosingChar">
    <w:name w:val="Closing Char"/>
    <w:basedOn w:val="DefaultParagraphFont"/>
    <w:link w:val="Closing"/>
    <w:uiPriority w:val="99"/>
    <w:semiHidden/>
    <w:rsid w:val="00454FC5"/>
    <w:rPr>
      <w:lang w:val="en-US"/>
    </w:rPr>
  </w:style>
  <w:style w:type="paragraph" w:styleId="Date">
    <w:name w:val="Date"/>
    <w:basedOn w:val="Normal"/>
    <w:next w:val="Normal"/>
    <w:link w:val="DateChar"/>
    <w:uiPriority w:val="99"/>
    <w:semiHidden/>
    <w:unhideWhenUsed/>
    <w:rsid w:val="00454FC5"/>
  </w:style>
  <w:style w:type="character" w:customStyle="1" w:styleId="DateChar">
    <w:name w:val="Date Char"/>
    <w:basedOn w:val="DefaultParagraphFont"/>
    <w:link w:val="Date"/>
    <w:uiPriority w:val="99"/>
    <w:semiHidden/>
    <w:rsid w:val="00454FC5"/>
    <w:rPr>
      <w:lang w:val="en-US"/>
    </w:rPr>
  </w:style>
  <w:style w:type="paragraph" w:styleId="DocumentMap">
    <w:name w:val="Document Map"/>
    <w:basedOn w:val="Normal"/>
    <w:link w:val="DocumentMapChar"/>
    <w:uiPriority w:val="99"/>
    <w:semiHidden/>
    <w:unhideWhenUsed/>
    <w:rsid w:val="00454F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54FC5"/>
    <w:rPr>
      <w:rFonts w:ascii="Segoe UI" w:hAnsi="Segoe UI" w:cs="Segoe UI"/>
      <w:sz w:val="16"/>
      <w:szCs w:val="16"/>
      <w:lang w:val="en-US"/>
    </w:rPr>
  </w:style>
  <w:style w:type="paragraph" w:styleId="E-mailSignature">
    <w:name w:val="E-mail Signature"/>
    <w:basedOn w:val="Normal"/>
    <w:link w:val="E-mailSignatureChar"/>
    <w:uiPriority w:val="99"/>
    <w:semiHidden/>
    <w:unhideWhenUsed/>
    <w:rsid w:val="00454FC5"/>
    <w:pPr>
      <w:spacing w:after="0" w:line="240" w:lineRule="auto"/>
    </w:pPr>
  </w:style>
  <w:style w:type="character" w:customStyle="1" w:styleId="E-mailSignatureChar">
    <w:name w:val="E-mail Signature Char"/>
    <w:basedOn w:val="DefaultParagraphFont"/>
    <w:link w:val="E-mailSignature"/>
    <w:uiPriority w:val="99"/>
    <w:semiHidden/>
    <w:rsid w:val="00454FC5"/>
    <w:rPr>
      <w:lang w:val="en-US"/>
    </w:rPr>
  </w:style>
  <w:style w:type="paragraph" w:styleId="EndnoteText">
    <w:name w:val="endnote text"/>
    <w:basedOn w:val="Normal"/>
    <w:link w:val="EndnoteTextChar"/>
    <w:uiPriority w:val="99"/>
    <w:semiHidden/>
    <w:unhideWhenUsed/>
    <w:rsid w:val="00454F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4FC5"/>
    <w:rPr>
      <w:sz w:val="20"/>
      <w:szCs w:val="20"/>
      <w:lang w:val="en-US"/>
    </w:rPr>
  </w:style>
  <w:style w:type="paragraph" w:styleId="EnvelopeAddress">
    <w:name w:val="envelope address"/>
    <w:basedOn w:val="Normal"/>
    <w:uiPriority w:val="99"/>
    <w:semiHidden/>
    <w:unhideWhenUsed/>
    <w:rsid w:val="00454F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54FC5"/>
    <w:pPr>
      <w:spacing w:after="0" w:line="240" w:lineRule="auto"/>
    </w:pPr>
    <w:rPr>
      <w:rFonts w:asciiTheme="majorHAnsi" w:eastAsiaTheme="majorEastAsia" w:hAnsiTheme="majorHAnsi" w:cstheme="majorBidi"/>
      <w:sz w:val="20"/>
      <w:szCs w:val="20"/>
    </w:rPr>
  </w:style>
  <w:style w:type="character" w:customStyle="1" w:styleId="Heading5Char">
    <w:name w:val="Heading 5 Char"/>
    <w:basedOn w:val="DefaultParagraphFont"/>
    <w:link w:val="Heading5"/>
    <w:uiPriority w:val="9"/>
    <w:semiHidden/>
    <w:rsid w:val="00454FC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54FC5"/>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54FC5"/>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54FC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54FC5"/>
    <w:rPr>
      <w:rFonts w:asciiTheme="majorHAnsi" w:eastAsiaTheme="majorEastAsia" w:hAnsiTheme="majorHAnsi" w:cstheme="majorBidi"/>
      <w:i/>
      <w:iCs/>
      <w:color w:val="272727" w:themeColor="text1" w:themeTint="D8"/>
      <w:sz w:val="21"/>
      <w:szCs w:val="21"/>
      <w:lang w:val="en-US"/>
    </w:rPr>
  </w:style>
  <w:style w:type="paragraph" w:styleId="HTMLAddress">
    <w:name w:val="HTML Address"/>
    <w:basedOn w:val="Normal"/>
    <w:link w:val="HTMLAddressChar"/>
    <w:uiPriority w:val="99"/>
    <w:semiHidden/>
    <w:unhideWhenUsed/>
    <w:rsid w:val="00454FC5"/>
    <w:pPr>
      <w:spacing w:after="0" w:line="240" w:lineRule="auto"/>
    </w:pPr>
    <w:rPr>
      <w:i/>
      <w:iCs/>
    </w:rPr>
  </w:style>
  <w:style w:type="character" w:customStyle="1" w:styleId="HTMLAddressChar">
    <w:name w:val="HTML Address Char"/>
    <w:basedOn w:val="DefaultParagraphFont"/>
    <w:link w:val="HTMLAddress"/>
    <w:uiPriority w:val="99"/>
    <w:semiHidden/>
    <w:rsid w:val="00454FC5"/>
    <w:rPr>
      <w:i/>
      <w:iCs/>
      <w:lang w:val="en-US"/>
    </w:rPr>
  </w:style>
  <w:style w:type="paragraph" w:styleId="HTMLPreformatted">
    <w:name w:val="HTML Preformatted"/>
    <w:basedOn w:val="Normal"/>
    <w:link w:val="HTMLPreformattedChar"/>
    <w:uiPriority w:val="99"/>
    <w:semiHidden/>
    <w:unhideWhenUsed/>
    <w:rsid w:val="00454F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54FC5"/>
    <w:rPr>
      <w:rFonts w:ascii="Consolas" w:hAnsi="Consolas"/>
      <w:sz w:val="20"/>
      <w:szCs w:val="20"/>
      <w:lang w:val="en-US"/>
    </w:rPr>
  </w:style>
  <w:style w:type="paragraph" w:styleId="Index1">
    <w:name w:val="index 1"/>
    <w:basedOn w:val="Normal"/>
    <w:next w:val="Normal"/>
    <w:autoRedefine/>
    <w:uiPriority w:val="99"/>
    <w:semiHidden/>
    <w:unhideWhenUsed/>
    <w:rsid w:val="00454FC5"/>
    <w:pPr>
      <w:spacing w:after="0" w:line="240" w:lineRule="auto"/>
      <w:ind w:left="220" w:hanging="220"/>
    </w:pPr>
  </w:style>
  <w:style w:type="paragraph" w:styleId="Index2">
    <w:name w:val="index 2"/>
    <w:basedOn w:val="Normal"/>
    <w:next w:val="Normal"/>
    <w:autoRedefine/>
    <w:uiPriority w:val="99"/>
    <w:semiHidden/>
    <w:unhideWhenUsed/>
    <w:rsid w:val="00454FC5"/>
    <w:pPr>
      <w:spacing w:after="0" w:line="240" w:lineRule="auto"/>
      <w:ind w:left="440" w:hanging="220"/>
    </w:pPr>
  </w:style>
  <w:style w:type="paragraph" w:styleId="Index3">
    <w:name w:val="index 3"/>
    <w:basedOn w:val="Normal"/>
    <w:next w:val="Normal"/>
    <w:autoRedefine/>
    <w:uiPriority w:val="99"/>
    <w:semiHidden/>
    <w:unhideWhenUsed/>
    <w:rsid w:val="00454FC5"/>
    <w:pPr>
      <w:spacing w:after="0" w:line="240" w:lineRule="auto"/>
      <w:ind w:left="660" w:hanging="220"/>
    </w:pPr>
  </w:style>
  <w:style w:type="paragraph" w:styleId="Index4">
    <w:name w:val="index 4"/>
    <w:basedOn w:val="Normal"/>
    <w:next w:val="Normal"/>
    <w:autoRedefine/>
    <w:uiPriority w:val="99"/>
    <w:semiHidden/>
    <w:unhideWhenUsed/>
    <w:rsid w:val="00454FC5"/>
    <w:pPr>
      <w:spacing w:after="0" w:line="240" w:lineRule="auto"/>
      <w:ind w:left="880" w:hanging="220"/>
    </w:pPr>
  </w:style>
  <w:style w:type="paragraph" w:styleId="Index5">
    <w:name w:val="index 5"/>
    <w:basedOn w:val="Normal"/>
    <w:next w:val="Normal"/>
    <w:autoRedefine/>
    <w:uiPriority w:val="99"/>
    <w:semiHidden/>
    <w:unhideWhenUsed/>
    <w:rsid w:val="00454FC5"/>
    <w:pPr>
      <w:spacing w:after="0" w:line="240" w:lineRule="auto"/>
      <w:ind w:left="1100" w:hanging="220"/>
    </w:pPr>
  </w:style>
  <w:style w:type="paragraph" w:styleId="Index6">
    <w:name w:val="index 6"/>
    <w:basedOn w:val="Normal"/>
    <w:next w:val="Normal"/>
    <w:autoRedefine/>
    <w:uiPriority w:val="99"/>
    <w:semiHidden/>
    <w:unhideWhenUsed/>
    <w:rsid w:val="00454FC5"/>
    <w:pPr>
      <w:spacing w:after="0" w:line="240" w:lineRule="auto"/>
      <w:ind w:left="1320" w:hanging="220"/>
    </w:pPr>
  </w:style>
  <w:style w:type="paragraph" w:styleId="Index7">
    <w:name w:val="index 7"/>
    <w:basedOn w:val="Normal"/>
    <w:next w:val="Normal"/>
    <w:autoRedefine/>
    <w:uiPriority w:val="99"/>
    <w:semiHidden/>
    <w:unhideWhenUsed/>
    <w:rsid w:val="00454FC5"/>
    <w:pPr>
      <w:spacing w:after="0" w:line="240" w:lineRule="auto"/>
      <w:ind w:left="1540" w:hanging="220"/>
    </w:pPr>
  </w:style>
  <w:style w:type="paragraph" w:styleId="Index8">
    <w:name w:val="index 8"/>
    <w:basedOn w:val="Normal"/>
    <w:next w:val="Normal"/>
    <w:autoRedefine/>
    <w:uiPriority w:val="99"/>
    <w:semiHidden/>
    <w:unhideWhenUsed/>
    <w:rsid w:val="00454FC5"/>
    <w:pPr>
      <w:spacing w:after="0" w:line="240" w:lineRule="auto"/>
      <w:ind w:left="1760" w:hanging="220"/>
    </w:pPr>
  </w:style>
  <w:style w:type="paragraph" w:styleId="Index9">
    <w:name w:val="index 9"/>
    <w:basedOn w:val="Normal"/>
    <w:next w:val="Normal"/>
    <w:autoRedefine/>
    <w:uiPriority w:val="99"/>
    <w:semiHidden/>
    <w:unhideWhenUsed/>
    <w:rsid w:val="00454FC5"/>
    <w:pPr>
      <w:spacing w:after="0" w:line="240" w:lineRule="auto"/>
      <w:ind w:left="1980" w:hanging="220"/>
    </w:pPr>
  </w:style>
  <w:style w:type="paragraph" w:styleId="IndexHeading">
    <w:name w:val="index heading"/>
    <w:basedOn w:val="Normal"/>
    <w:next w:val="Index1"/>
    <w:uiPriority w:val="99"/>
    <w:semiHidden/>
    <w:unhideWhenUsed/>
    <w:rsid w:val="00454F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54F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4FC5"/>
    <w:rPr>
      <w:i/>
      <w:iCs/>
      <w:color w:val="4472C4" w:themeColor="accent1"/>
      <w:lang w:val="en-US"/>
    </w:rPr>
  </w:style>
  <w:style w:type="paragraph" w:styleId="List">
    <w:name w:val="List"/>
    <w:basedOn w:val="Normal"/>
    <w:uiPriority w:val="99"/>
    <w:semiHidden/>
    <w:unhideWhenUsed/>
    <w:rsid w:val="00454FC5"/>
    <w:pPr>
      <w:ind w:left="283" w:hanging="283"/>
      <w:contextualSpacing/>
    </w:pPr>
  </w:style>
  <w:style w:type="paragraph" w:styleId="List2">
    <w:name w:val="List 2"/>
    <w:basedOn w:val="Normal"/>
    <w:uiPriority w:val="99"/>
    <w:semiHidden/>
    <w:unhideWhenUsed/>
    <w:rsid w:val="00454FC5"/>
    <w:pPr>
      <w:ind w:left="566" w:hanging="283"/>
      <w:contextualSpacing/>
    </w:pPr>
  </w:style>
  <w:style w:type="paragraph" w:styleId="List3">
    <w:name w:val="List 3"/>
    <w:basedOn w:val="Normal"/>
    <w:uiPriority w:val="99"/>
    <w:semiHidden/>
    <w:unhideWhenUsed/>
    <w:rsid w:val="00454FC5"/>
    <w:pPr>
      <w:ind w:left="849" w:hanging="283"/>
      <w:contextualSpacing/>
    </w:pPr>
  </w:style>
  <w:style w:type="paragraph" w:styleId="List4">
    <w:name w:val="List 4"/>
    <w:basedOn w:val="Normal"/>
    <w:uiPriority w:val="99"/>
    <w:semiHidden/>
    <w:unhideWhenUsed/>
    <w:rsid w:val="00454FC5"/>
    <w:pPr>
      <w:ind w:left="1132" w:hanging="283"/>
      <w:contextualSpacing/>
    </w:pPr>
  </w:style>
  <w:style w:type="paragraph" w:styleId="List5">
    <w:name w:val="List 5"/>
    <w:basedOn w:val="Normal"/>
    <w:uiPriority w:val="99"/>
    <w:semiHidden/>
    <w:unhideWhenUsed/>
    <w:rsid w:val="00454FC5"/>
    <w:pPr>
      <w:ind w:left="1415" w:hanging="283"/>
      <w:contextualSpacing/>
    </w:pPr>
  </w:style>
  <w:style w:type="paragraph" w:styleId="ListBullet">
    <w:name w:val="List Bullet"/>
    <w:basedOn w:val="Normal"/>
    <w:uiPriority w:val="99"/>
    <w:semiHidden/>
    <w:unhideWhenUsed/>
    <w:rsid w:val="00454FC5"/>
    <w:pPr>
      <w:numPr>
        <w:numId w:val="11"/>
      </w:numPr>
      <w:contextualSpacing/>
    </w:pPr>
  </w:style>
  <w:style w:type="paragraph" w:styleId="ListBullet2">
    <w:name w:val="List Bullet 2"/>
    <w:basedOn w:val="Normal"/>
    <w:uiPriority w:val="99"/>
    <w:semiHidden/>
    <w:unhideWhenUsed/>
    <w:rsid w:val="00454FC5"/>
    <w:pPr>
      <w:numPr>
        <w:numId w:val="12"/>
      </w:numPr>
      <w:contextualSpacing/>
    </w:pPr>
  </w:style>
  <w:style w:type="paragraph" w:styleId="ListBullet3">
    <w:name w:val="List Bullet 3"/>
    <w:basedOn w:val="Normal"/>
    <w:uiPriority w:val="99"/>
    <w:semiHidden/>
    <w:unhideWhenUsed/>
    <w:rsid w:val="00454FC5"/>
    <w:pPr>
      <w:numPr>
        <w:numId w:val="13"/>
      </w:numPr>
      <w:contextualSpacing/>
    </w:pPr>
  </w:style>
  <w:style w:type="paragraph" w:styleId="ListBullet4">
    <w:name w:val="List Bullet 4"/>
    <w:basedOn w:val="Normal"/>
    <w:uiPriority w:val="99"/>
    <w:semiHidden/>
    <w:unhideWhenUsed/>
    <w:rsid w:val="00454FC5"/>
    <w:pPr>
      <w:numPr>
        <w:numId w:val="14"/>
      </w:numPr>
      <w:contextualSpacing/>
    </w:pPr>
  </w:style>
  <w:style w:type="paragraph" w:styleId="ListBullet5">
    <w:name w:val="List Bullet 5"/>
    <w:basedOn w:val="Normal"/>
    <w:uiPriority w:val="99"/>
    <w:semiHidden/>
    <w:unhideWhenUsed/>
    <w:rsid w:val="00454FC5"/>
    <w:pPr>
      <w:numPr>
        <w:numId w:val="15"/>
      </w:numPr>
      <w:contextualSpacing/>
    </w:pPr>
  </w:style>
  <w:style w:type="paragraph" w:styleId="ListContinue">
    <w:name w:val="List Continue"/>
    <w:basedOn w:val="Normal"/>
    <w:uiPriority w:val="99"/>
    <w:semiHidden/>
    <w:unhideWhenUsed/>
    <w:rsid w:val="00454FC5"/>
    <w:pPr>
      <w:spacing w:after="120"/>
      <w:ind w:left="283"/>
      <w:contextualSpacing/>
    </w:pPr>
  </w:style>
  <w:style w:type="paragraph" w:styleId="ListContinue2">
    <w:name w:val="List Continue 2"/>
    <w:basedOn w:val="Normal"/>
    <w:uiPriority w:val="99"/>
    <w:semiHidden/>
    <w:unhideWhenUsed/>
    <w:rsid w:val="00454FC5"/>
    <w:pPr>
      <w:spacing w:after="120"/>
      <w:ind w:left="566"/>
      <w:contextualSpacing/>
    </w:pPr>
  </w:style>
  <w:style w:type="paragraph" w:styleId="ListContinue3">
    <w:name w:val="List Continue 3"/>
    <w:basedOn w:val="Normal"/>
    <w:uiPriority w:val="99"/>
    <w:semiHidden/>
    <w:unhideWhenUsed/>
    <w:rsid w:val="00454FC5"/>
    <w:pPr>
      <w:spacing w:after="120"/>
      <w:ind w:left="849"/>
      <w:contextualSpacing/>
    </w:pPr>
  </w:style>
  <w:style w:type="paragraph" w:styleId="ListContinue4">
    <w:name w:val="List Continue 4"/>
    <w:basedOn w:val="Normal"/>
    <w:uiPriority w:val="99"/>
    <w:semiHidden/>
    <w:unhideWhenUsed/>
    <w:rsid w:val="00454FC5"/>
    <w:pPr>
      <w:spacing w:after="120"/>
      <w:ind w:left="1132"/>
      <w:contextualSpacing/>
    </w:pPr>
  </w:style>
  <w:style w:type="paragraph" w:styleId="ListContinue5">
    <w:name w:val="List Continue 5"/>
    <w:basedOn w:val="Normal"/>
    <w:uiPriority w:val="99"/>
    <w:semiHidden/>
    <w:unhideWhenUsed/>
    <w:rsid w:val="00454FC5"/>
    <w:pPr>
      <w:spacing w:after="120"/>
      <w:ind w:left="1415"/>
      <w:contextualSpacing/>
    </w:pPr>
  </w:style>
  <w:style w:type="paragraph" w:styleId="ListNumber">
    <w:name w:val="List Number"/>
    <w:basedOn w:val="Normal"/>
    <w:uiPriority w:val="99"/>
    <w:semiHidden/>
    <w:unhideWhenUsed/>
    <w:rsid w:val="00454FC5"/>
    <w:pPr>
      <w:numPr>
        <w:numId w:val="16"/>
      </w:numPr>
      <w:contextualSpacing/>
    </w:pPr>
  </w:style>
  <w:style w:type="paragraph" w:styleId="ListNumber2">
    <w:name w:val="List Number 2"/>
    <w:basedOn w:val="Normal"/>
    <w:uiPriority w:val="99"/>
    <w:semiHidden/>
    <w:unhideWhenUsed/>
    <w:rsid w:val="00454FC5"/>
    <w:pPr>
      <w:numPr>
        <w:numId w:val="17"/>
      </w:numPr>
      <w:contextualSpacing/>
    </w:pPr>
  </w:style>
  <w:style w:type="paragraph" w:styleId="ListNumber3">
    <w:name w:val="List Number 3"/>
    <w:basedOn w:val="Normal"/>
    <w:uiPriority w:val="99"/>
    <w:semiHidden/>
    <w:unhideWhenUsed/>
    <w:rsid w:val="00454FC5"/>
    <w:pPr>
      <w:numPr>
        <w:numId w:val="18"/>
      </w:numPr>
      <w:contextualSpacing/>
    </w:pPr>
  </w:style>
  <w:style w:type="paragraph" w:styleId="ListNumber4">
    <w:name w:val="List Number 4"/>
    <w:basedOn w:val="Normal"/>
    <w:uiPriority w:val="99"/>
    <w:semiHidden/>
    <w:unhideWhenUsed/>
    <w:rsid w:val="00454FC5"/>
    <w:pPr>
      <w:numPr>
        <w:numId w:val="19"/>
      </w:numPr>
      <w:contextualSpacing/>
    </w:pPr>
  </w:style>
  <w:style w:type="paragraph" w:styleId="ListNumber5">
    <w:name w:val="List Number 5"/>
    <w:basedOn w:val="Normal"/>
    <w:uiPriority w:val="99"/>
    <w:semiHidden/>
    <w:unhideWhenUsed/>
    <w:rsid w:val="00454FC5"/>
    <w:pPr>
      <w:numPr>
        <w:numId w:val="20"/>
      </w:numPr>
      <w:contextualSpacing/>
    </w:pPr>
  </w:style>
  <w:style w:type="paragraph" w:styleId="MacroText">
    <w:name w:val="macro"/>
    <w:link w:val="MacroTextChar"/>
    <w:uiPriority w:val="99"/>
    <w:semiHidden/>
    <w:unhideWhenUsed/>
    <w:rsid w:val="00454F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US"/>
    </w:rPr>
  </w:style>
  <w:style w:type="character" w:customStyle="1" w:styleId="MacroTextChar">
    <w:name w:val="Macro Text Char"/>
    <w:basedOn w:val="DefaultParagraphFont"/>
    <w:link w:val="MacroText"/>
    <w:uiPriority w:val="99"/>
    <w:semiHidden/>
    <w:rsid w:val="00454FC5"/>
    <w:rPr>
      <w:rFonts w:ascii="Consolas" w:hAnsi="Consolas"/>
      <w:sz w:val="20"/>
      <w:szCs w:val="20"/>
      <w:lang w:val="en-US"/>
    </w:rPr>
  </w:style>
  <w:style w:type="paragraph" w:styleId="MessageHeader">
    <w:name w:val="Message Header"/>
    <w:basedOn w:val="Normal"/>
    <w:link w:val="MessageHeaderChar"/>
    <w:uiPriority w:val="99"/>
    <w:semiHidden/>
    <w:unhideWhenUsed/>
    <w:rsid w:val="00454FC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54FC5"/>
    <w:rPr>
      <w:rFonts w:asciiTheme="majorHAnsi" w:eastAsiaTheme="majorEastAsia" w:hAnsiTheme="majorHAnsi" w:cstheme="majorBidi"/>
      <w:sz w:val="24"/>
      <w:szCs w:val="24"/>
      <w:shd w:val="pct20" w:color="auto" w:fill="auto"/>
      <w:lang w:val="en-US"/>
    </w:rPr>
  </w:style>
  <w:style w:type="paragraph" w:styleId="NoSpacing">
    <w:name w:val="No Spacing"/>
    <w:uiPriority w:val="1"/>
    <w:qFormat/>
    <w:rsid w:val="00454FC5"/>
    <w:pPr>
      <w:spacing w:after="0" w:line="240" w:lineRule="auto"/>
    </w:pPr>
    <w:rPr>
      <w:lang w:val="en-US"/>
    </w:rPr>
  </w:style>
  <w:style w:type="paragraph" w:styleId="NormalWeb">
    <w:name w:val="Normal (Web)"/>
    <w:basedOn w:val="Normal"/>
    <w:uiPriority w:val="99"/>
    <w:semiHidden/>
    <w:unhideWhenUsed/>
    <w:rsid w:val="00454FC5"/>
    <w:rPr>
      <w:rFonts w:ascii="Times New Roman" w:hAnsi="Times New Roman" w:cs="Times New Roman"/>
      <w:sz w:val="24"/>
      <w:szCs w:val="24"/>
    </w:rPr>
  </w:style>
  <w:style w:type="paragraph" w:styleId="NormalIndent">
    <w:name w:val="Normal Indent"/>
    <w:basedOn w:val="Normal"/>
    <w:uiPriority w:val="99"/>
    <w:semiHidden/>
    <w:unhideWhenUsed/>
    <w:rsid w:val="00454FC5"/>
    <w:pPr>
      <w:ind w:left="720"/>
    </w:pPr>
  </w:style>
  <w:style w:type="paragraph" w:styleId="NoteHeading">
    <w:name w:val="Note Heading"/>
    <w:basedOn w:val="Normal"/>
    <w:next w:val="Normal"/>
    <w:link w:val="NoteHeadingChar"/>
    <w:uiPriority w:val="99"/>
    <w:semiHidden/>
    <w:unhideWhenUsed/>
    <w:rsid w:val="00454FC5"/>
    <w:pPr>
      <w:spacing w:after="0" w:line="240" w:lineRule="auto"/>
    </w:pPr>
  </w:style>
  <w:style w:type="character" w:customStyle="1" w:styleId="NoteHeadingChar">
    <w:name w:val="Note Heading Char"/>
    <w:basedOn w:val="DefaultParagraphFont"/>
    <w:link w:val="NoteHeading"/>
    <w:uiPriority w:val="99"/>
    <w:semiHidden/>
    <w:rsid w:val="00454FC5"/>
    <w:rPr>
      <w:lang w:val="en-US"/>
    </w:rPr>
  </w:style>
  <w:style w:type="paragraph" w:styleId="PlainText">
    <w:name w:val="Plain Text"/>
    <w:basedOn w:val="Normal"/>
    <w:link w:val="PlainTextChar"/>
    <w:unhideWhenUsed/>
    <w:rsid w:val="00454F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54FC5"/>
    <w:rPr>
      <w:rFonts w:ascii="Consolas" w:hAnsi="Consolas"/>
      <w:sz w:val="21"/>
      <w:szCs w:val="21"/>
      <w:lang w:val="en-US"/>
    </w:rPr>
  </w:style>
  <w:style w:type="paragraph" w:styleId="Quote">
    <w:name w:val="Quote"/>
    <w:basedOn w:val="Normal"/>
    <w:next w:val="Normal"/>
    <w:link w:val="QuoteChar"/>
    <w:uiPriority w:val="29"/>
    <w:qFormat/>
    <w:rsid w:val="00454F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54FC5"/>
    <w:rPr>
      <w:i/>
      <w:iCs/>
      <w:color w:val="404040" w:themeColor="text1" w:themeTint="BF"/>
      <w:lang w:val="en-US"/>
    </w:rPr>
  </w:style>
  <w:style w:type="paragraph" w:styleId="Salutation">
    <w:name w:val="Salutation"/>
    <w:basedOn w:val="Normal"/>
    <w:next w:val="Normal"/>
    <w:link w:val="SalutationChar"/>
    <w:uiPriority w:val="99"/>
    <w:semiHidden/>
    <w:unhideWhenUsed/>
    <w:rsid w:val="00454FC5"/>
  </w:style>
  <w:style w:type="character" w:customStyle="1" w:styleId="SalutationChar">
    <w:name w:val="Salutation Char"/>
    <w:basedOn w:val="DefaultParagraphFont"/>
    <w:link w:val="Salutation"/>
    <w:uiPriority w:val="99"/>
    <w:semiHidden/>
    <w:rsid w:val="00454FC5"/>
    <w:rPr>
      <w:lang w:val="en-US"/>
    </w:rPr>
  </w:style>
  <w:style w:type="paragraph" w:styleId="Signature">
    <w:name w:val="Signature"/>
    <w:basedOn w:val="Normal"/>
    <w:link w:val="SignatureChar"/>
    <w:uiPriority w:val="99"/>
    <w:semiHidden/>
    <w:unhideWhenUsed/>
    <w:rsid w:val="00454FC5"/>
    <w:pPr>
      <w:spacing w:after="0" w:line="240" w:lineRule="auto"/>
      <w:ind w:left="4252"/>
    </w:pPr>
  </w:style>
  <w:style w:type="character" w:customStyle="1" w:styleId="SignatureChar">
    <w:name w:val="Signature Char"/>
    <w:basedOn w:val="DefaultParagraphFont"/>
    <w:link w:val="Signature"/>
    <w:uiPriority w:val="99"/>
    <w:semiHidden/>
    <w:rsid w:val="00454FC5"/>
    <w:rPr>
      <w:lang w:val="en-US"/>
    </w:rPr>
  </w:style>
  <w:style w:type="paragraph" w:styleId="Subtitle">
    <w:name w:val="Subtitle"/>
    <w:basedOn w:val="Normal"/>
    <w:next w:val="Normal"/>
    <w:link w:val="SubtitleChar"/>
    <w:uiPriority w:val="11"/>
    <w:qFormat/>
    <w:rsid w:val="00454F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4FC5"/>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454FC5"/>
    <w:pPr>
      <w:spacing w:after="0"/>
      <w:ind w:left="220" w:hanging="220"/>
    </w:pPr>
  </w:style>
  <w:style w:type="paragraph" w:styleId="TableofFigures">
    <w:name w:val="table of figures"/>
    <w:basedOn w:val="Normal"/>
    <w:next w:val="Normal"/>
    <w:uiPriority w:val="99"/>
    <w:semiHidden/>
    <w:unhideWhenUsed/>
    <w:rsid w:val="00454FC5"/>
    <w:pPr>
      <w:spacing w:after="0"/>
    </w:pPr>
  </w:style>
  <w:style w:type="paragraph" w:styleId="Title">
    <w:name w:val="Title"/>
    <w:basedOn w:val="Normal"/>
    <w:next w:val="Normal"/>
    <w:link w:val="TitleChar"/>
    <w:uiPriority w:val="10"/>
    <w:qFormat/>
    <w:rsid w:val="00454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FC5"/>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454FC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54FC5"/>
    <w:pPr>
      <w:spacing w:after="100"/>
      <w:ind w:left="660"/>
    </w:pPr>
  </w:style>
  <w:style w:type="paragraph" w:styleId="TOC5">
    <w:name w:val="toc 5"/>
    <w:basedOn w:val="Normal"/>
    <w:next w:val="Normal"/>
    <w:autoRedefine/>
    <w:uiPriority w:val="39"/>
    <w:semiHidden/>
    <w:unhideWhenUsed/>
    <w:rsid w:val="00454FC5"/>
    <w:pPr>
      <w:spacing w:after="100"/>
      <w:ind w:left="880"/>
    </w:pPr>
  </w:style>
  <w:style w:type="paragraph" w:styleId="TOC6">
    <w:name w:val="toc 6"/>
    <w:basedOn w:val="Normal"/>
    <w:next w:val="Normal"/>
    <w:autoRedefine/>
    <w:uiPriority w:val="39"/>
    <w:semiHidden/>
    <w:unhideWhenUsed/>
    <w:rsid w:val="00454FC5"/>
    <w:pPr>
      <w:spacing w:after="100"/>
      <w:ind w:left="1100"/>
    </w:pPr>
  </w:style>
  <w:style w:type="paragraph" w:styleId="TOC7">
    <w:name w:val="toc 7"/>
    <w:basedOn w:val="Normal"/>
    <w:next w:val="Normal"/>
    <w:autoRedefine/>
    <w:uiPriority w:val="39"/>
    <w:semiHidden/>
    <w:unhideWhenUsed/>
    <w:rsid w:val="00454FC5"/>
    <w:pPr>
      <w:spacing w:after="100"/>
      <w:ind w:left="1320"/>
    </w:pPr>
  </w:style>
  <w:style w:type="paragraph" w:styleId="TOC8">
    <w:name w:val="toc 8"/>
    <w:basedOn w:val="Normal"/>
    <w:next w:val="Normal"/>
    <w:autoRedefine/>
    <w:uiPriority w:val="39"/>
    <w:semiHidden/>
    <w:unhideWhenUsed/>
    <w:rsid w:val="00454FC5"/>
    <w:pPr>
      <w:spacing w:after="100"/>
      <w:ind w:left="1540"/>
    </w:pPr>
  </w:style>
  <w:style w:type="paragraph" w:styleId="TOC9">
    <w:name w:val="toc 9"/>
    <w:basedOn w:val="Normal"/>
    <w:next w:val="Normal"/>
    <w:autoRedefine/>
    <w:uiPriority w:val="39"/>
    <w:semiHidden/>
    <w:unhideWhenUsed/>
    <w:rsid w:val="00454FC5"/>
    <w:pPr>
      <w:spacing w:after="100"/>
      <w:ind w:left="1760"/>
    </w:pPr>
  </w:style>
  <w:style w:type="paragraph" w:customStyle="1" w:styleId="kerd">
    <w:name w:val="kerd"/>
    <w:basedOn w:val="Normal"/>
    <w:rsid w:val="008C55E8"/>
    <w:pPr>
      <w:keepNext/>
      <w:keepLines/>
      <w:numPr>
        <w:numId w:val="21"/>
      </w:numPr>
      <w:spacing w:after="40" w:line="240" w:lineRule="auto"/>
    </w:pPr>
    <w:rPr>
      <w:rFonts w:ascii="Arial" w:eastAsia="Times New Roman" w:hAnsi="Arial" w:cs="Times New Roman"/>
      <w:sz w:val="20"/>
      <w:szCs w:val="20"/>
      <w:lang w:val="en-GB" w:eastAsia="en-GB"/>
    </w:rPr>
  </w:style>
  <w:style w:type="paragraph" w:customStyle="1" w:styleId="v1">
    <w:name w:val="v1"/>
    <w:basedOn w:val="Normal"/>
    <w:rsid w:val="008D4427"/>
    <w:pPr>
      <w:keepNext/>
      <w:suppressAutoHyphens/>
      <w:spacing w:before="20" w:after="20" w:line="240" w:lineRule="auto"/>
      <w:ind w:left="851" w:hanging="454"/>
    </w:pPr>
    <w:rPr>
      <w:rFonts w:ascii="Arial" w:eastAsia="Times New Roman" w:hAnsi="Arial" w:cs="Times New Roman"/>
      <w:sz w:val="20"/>
      <w:szCs w:val="20"/>
      <w:lang w:val="en-GB" w:eastAsia="en-GB"/>
    </w:rPr>
  </w:style>
  <w:style w:type="paragraph" w:customStyle="1" w:styleId="vk">
    <w:name w:val="vk"/>
    <w:basedOn w:val="Normal"/>
    <w:rsid w:val="00C52E32"/>
    <w:pPr>
      <w:keepNext/>
      <w:keepLines/>
      <w:tabs>
        <w:tab w:val="left" w:pos="1021"/>
        <w:tab w:val="left" w:pos="1361"/>
      </w:tabs>
      <w:suppressAutoHyphens/>
      <w:spacing w:before="20" w:after="40" w:line="240" w:lineRule="auto"/>
      <w:ind w:left="851" w:hanging="454"/>
      <w:jc w:val="both"/>
    </w:pPr>
    <w:rPr>
      <w:rFonts w:ascii="Arial" w:eastAsia="Times New Roman" w:hAnsi="Arial" w:cs="Arial"/>
      <w:sz w:val="4"/>
      <w:szCs w:val="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11292">
      <w:bodyDiv w:val="1"/>
      <w:marLeft w:val="0"/>
      <w:marRight w:val="0"/>
      <w:marTop w:val="0"/>
      <w:marBottom w:val="0"/>
      <w:divBdr>
        <w:top w:val="none" w:sz="0" w:space="0" w:color="auto"/>
        <w:left w:val="none" w:sz="0" w:space="0" w:color="auto"/>
        <w:bottom w:val="none" w:sz="0" w:space="0" w:color="auto"/>
        <w:right w:val="none" w:sz="0" w:space="0" w:color="auto"/>
      </w:divBdr>
    </w:div>
    <w:div w:id="1662781495">
      <w:bodyDiv w:val="1"/>
      <w:marLeft w:val="0"/>
      <w:marRight w:val="0"/>
      <w:marTop w:val="0"/>
      <w:marBottom w:val="0"/>
      <w:divBdr>
        <w:top w:val="none" w:sz="0" w:space="0" w:color="auto"/>
        <w:left w:val="none" w:sz="0" w:space="0" w:color="auto"/>
        <w:bottom w:val="none" w:sz="0" w:space="0" w:color="auto"/>
        <w:right w:val="none" w:sz="0" w:space="0" w:color="auto"/>
      </w:divBdr>
    </w:div>
    <w:div w:id="203321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C090-AE63-493F-8E3B-35978A8F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5847</TotalTime>
  <Pages>71</Pages>
  <Words>43948</Words>
  <Characters>250510</Characters>
  <Application>Microsoft Office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Son Nguyen</dc:creator>
  <cp:keywords/>
  <dc:description/>
  <cp:lastModifiedBy>Nam Son Nguyen</cp:lastModifiedBy>
  <cp:revision>1007</cp:revision>
  <dcterms:created xsi:type="dcterms:W3CDTF">2020-11-16T11:10:00Z</dcterms:created>
  <dcterms:modified xsi:type="dcterms:W3CDTF">2021-02-19T10:44:00Z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79aae388-899a-389e-9ced-bf704fa8d2ac</vt:lpwstr>
  </property>
  <property fmtid="{D5CDD505-2E9C-101B-9397-08002B2CF9AE}" pid="24" name="Mendeley Citation Style_1">
    <vt:lpwstr>http://www.zotero.org/styles/apa</vt:lpwstr>
  </property>
</Properties>
</file>