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01751" w14:textId="77777777" w:rsidR="0028799D" w:rsidRPr="0028799D" w:rsidRDefault="0028799D" w:rsidP="0028799D">
      <w:pPr>
        <w:pBdr>
          <w:bottom w:val="single" w:sz="8" w:space="4" w:color="4F81BD"/>
        </w:pBdr>
        <w:spacing w:after="300" w:line="240" w:lineRule="auto"/>
        <w:contextualSpacing/>
        <w:rPr>
          <w:rFonts w:ascii="Microsoft YaHei" w:eastAsia="Microsoft YaHei" w:hAnsi="Microsoft YaHei" w:cs="Times New Roman"/>
          <w:color w:val="17365D"/>
          <w:spacing w:val="5"/>
          <w:kern w:val="28"/>
          <w:sz w:val="52"/>
          <w:szCs w:val="52"/>
          <w14:ligatures w14:val="none"/>
        </w:rPr>
      </w:pPr>
      <w:r w:rsidRPr="0028799D">
        <w:rPr>
          <w:rFonts w:ascii="Microsoft YaHei" w:eastAsia="Microsoft YaHei" w:hAnsi="Microsoft YaHei" w:cs="Times New Roman" w:hint="eastAsia"/>
          <w:color w:val="17365D"/>
          <w:spacing w:val="5"/>
          <w:kern w:val="28"/>
          <w:sz w:val="52"/>
          <w:szCs w:val="52"/>
          <w14:ligatures w14:val="none"/>
        </w:rPr>
        <w:t>美国</w:t>
      </w:r>
      <w:r w:rsidRPr="0028799D">
        <w:rPr>
          <w:rFonts w:ascii="Microsoft YaHei" w:eastAsia="Microsoft YaHei" w:hAnsi="Microsoft YaHei" w:cs="Microsoft YaHei" w:hint="eastAsia"/>
          <w:color w:val="17365D"/>
          <w:spacing w:val="5"/>
          <w:kern w:val="28"/>
          <w:sz w:val="52"/>
          <w:szCs w:val="52"/>
          <w14:ligatures w14:val="none"/>
        </w:rPr>
        <w:t>经济</w:t>
      </w:r>
      <w:r w:rsidRPr="0028799D">
        <w:rPr>
          <w:rFonts w:ascii="Microsoft YaHei" w:eastAsia="Microsoft YaHei" w:hAnsi="Microsoft YaHei" w:cs="MS Gothic" w:hint="eastAsia"/>
          <w:color w:val="17365D"/>
          <w:spacing w:val="5"/>
          <w:kern w:val="28"/>
          <w:sz w:val="52"/>
          <w:szCs w:val="52"/>
          <w14:ligatures w14:val="none"/>
        </w:rPr>
        <w:t>与市</w:t>
      </w:r>
      <w:r w:rsidRPr="0028799D">
        <w:rPr>
          <w:rFonts w:ascii="Microsoft YaHei" w:eastAsia="Microsoft YaHei" w:hAnsi="Microsoft YaHei" w:cs="Microsoft YaHei" w:hint="eastAsia"/>
          <w:color w:val="17365D"/>
          <w:spacing w:val="5"/>
          <w:kern w:val="28"/>
          <w:sz w:val="52"/>
          <w:szCs w:val="52"/>
          <w14:ligatures w14:val="none"/>
        </w:rPr>
        <w:t>场</w:t>
      </w:r>
      <w:r w:rsidRPr="0028799D">
        <w:rPr>
          <w:rFonts w:ascii="Microsoft YaHei" w:eastAsia="Microsoft YaHei" w:hAnsi="Microsoft YaHei" w:cs="MS Gothic" w:hint="eastAsia"/>
          <w:color w:val="17365D"/>
          <w:spacing w:val="5"/>
          <w:kern w:val="28"/>
          <w:sz w:val="52"/>
          <w:szCs w:val="52"/>
          <w14:ligatures w14:val="none"/>
        </w:rPr>
        <w:t>周</w:t>
      </w:r>
      <w:r w:rsidRPr="0028799D">
        <w:rPr>
          <w:rFonts w:ascii="Microsoft YaHei" w:eastAsia="Microsoft YaHei" w:hAnsi="Microsoft YaHei" w:cs="Microsoft YaHei" w:hint="eastAsia"/>
          <w:color w:val="17365D"/>
          <w:spacing w:val="5"/>
          <w:kern w:val="28"/>
          <w:sz w:val="52"/>
          <w:szCs w:val="52"/>
          <w14:ligatures w14:val="none"/>
        </w:rPr>
        <w:t>报</w:t>
      </w:r>
    </w:p>
    <w:p w14:paraId="20C38925" w14:textId="7DCC4FE0" w:rsidR="0028799D" w:rsidRPr="0028799D" w:rsidRDefault="0028799D" w:rsidP="0028799D">
      <w:r w:rsidRPr="0028799D">
        <w:rPr>
          <w:b/>
          <w:bCs/>
        </w:rPr>
        <w:t>日期：</w:t>
      </w:r>
      <w:r w:rsidRPr="0028799D">
        <w:rPr>
          <w:b/>
          <w:bCs/>
        </w:rPr>
        <w:t>2025</w:t>
      </w:r>
      <w:r w:rsidRPr="0028799D">
        <w:rPr>
          <w:b/>
          <w:bCs/>
        </w:rPr>
        <w:t>年</w:t>
      </w:r>
      <w:r w:rsidRPr="0028799D">
        <w:rPr>
          <w:b/>
          <w:bCs/>
        </w:rPr>
        <w:t>06</w:t>
      </w:r>
      <w:r w:rsidRPr="0028799D">
        <w:rPr>
          <w:b/>
          <w:bCs/>
        </w:rPr>
        <w:t>月</w:t>
      </w:r>
      <w:r w:rsidRPr="0028799D">
        <w:rPr>
          <w:b/>
          <w:bCs/>
        </w:rPr>
        <w:t>27</w:t>
      </w:r>
      <w:r w:rsidRPr="0028799D">
        <w:rPr>
          <w:b/>
          <w:bCs/>
        </w:rPr>
        <w:t>日</w:t>
      </w:r>
    </w:p>
    <w:p w14:paraId="087115AE" w14:textId="77777777" w:rsidR="0028799D" w:rsidRPr="0028799D" w:rsidRDefault="0028799D" w:rsidP="0028799D">
      <w:pPr>
        <w:rPr>
          <w:b/>
          <w:bCs/>
          <w:sz w:val="32"/>
          <w:szCs w:val="32"/>
        </w:rPr>
      </w:pPr>
      <w:r w:rsidRPr="0028799D">
        <w:rPr>
          <w:b/>
          <w:bCs/>
          <w:sz w:val="32"/>
          <w:szCs w:val="32"/>
        </w:rPr>
        <w:t>一、宏观经济与政策动态</w:t>
      </w:r>
    </w:p>
    <w:p w14:paraId="75596164" w14:textId="77777777" w:rsidR="0028799D" w:rsidRPr="0028799D" w:rsidRDefault="0028799D" w:rsidP="0028799D">
      <w:pPr>
        <w:rPr>
          <w:b/>
          <w:bCs/>
        </w:rPr>
      </w:pPr>
      <w:r w:rsidRPr="0028799D">
        <w:rPr>
          <w:rFonts w:ascii="Segoe UI Emoji" w:hAnsi="Segoe UI Emoji" w:cs="Segoe UI Emoji"/>
          <w:b/>
          <w:bCs/>
        </w:rPr>
        <w:t>🧾</w:t>
      </w:r>
      <w:r w:rsidRPr="0028799D">
        <w:rPr>
          <w:b/>
          <w:bCs/>
        </w:rPr>
        <w:t xml:space="preserve"> PCE</w:t>
      </w:r>
      <w:r w:rsidRPr="0028799D">
        <w:rPr>
          <w:b/>
          <w:bCs/>
        </w:rPr>
        <w:t>通胀数据更新（</w:t>
      </w:r>
      <w:r w:rsidRPr="0028799D">
        <w:rPr>
          <w:b/>
          <w:bCs/>
        </w:rPr>
        <w:t>5</w:t>
      </w:r>
      <w:r w:rsidRPr="0028799D">
        <w:rPr>
          <w:b/>
          <w:bCs/>
        </w:rPr>
        <w:t>月）</w:t>
      </w:r>
    </w:p>
    <w:p w14:paraId="00FA277A" w14:textId="77777777" w:rsidR="0028799D" w:rsidRPr="0028799D" w:rsidRDefault="0028799D" w:rsidP="0028799D">
      <w:r w:rsidRPr="0028799D">
        <w:t xml:space="preserve">• </w:t>
      </w:r>
      <w:r w:rsidRPr="0028799D">
        <w:rPr>
          <w:b/>
          <w:bCs/>
        </w:rPr>
        <w:t>核心</w:t>
      </w:r>
      <w:r w:rsidRPr="0028799D">
        <w:rPr>
          <w:b/>
          <w:bCs/>
        </w:rPr>
        <w:t>PCE</w:t>
      </w:r>
      <w:r w:rsidRPr="0028799D">
        <w:rPr>
          <w:b/>
          <w:bCs/>
        </w:rPr>
        <w:t>（剔除食品与能源）</w:t>
      </w:r>
      <w:r w:rsidRPr="0028799D">
        <w:br/>
      </w:r>
      <w:r w:rsidRPr="0028799D">
        <w:t> </w:t>
      </w:r>
      <w:r w:rsidRPr="0028799D">
        <w:t xml:space="preserve">◦ </w:t>
      </w:r>
      <w:r w:rsidRPr="0028799D">
        <w:t>同比上涨</w:t>
      </w:r>
      <w:r w:rsidRPr="0028799D">
        <w:t xml:space="preserve"> </w:t>
      </w:r>
      <w:r w:rsidRPr="0028799D">
        <w:rPr>
          <w:b/>
          <w:bCs/>
        </w:rPr>
        <w:t>2.7%</w:t>
      </w:r>
      <w:r w:rsidRPr="0028799D">
        <w:t>（预期：</w:t>
      </w:r>
      <w:r w:rsidRPr="0028799D">
        <w:t>2.6%</w:t>
      </w:r>
      <w:r w:rsidRPr="0028799D">
        <w:t>，前值：</w:t>
      </w:r>
      <w:r w:rsidRPr="0028799D">
        <w:t>2.8%</w:t>
      </w:r>
      <w:r w:rsidRPr="0028799D">
        <w:t>）</w:t>
      </w:r>
      <w:r w:rsidRPr="0028799D">
        <w:br/>
      </w:r>
      <w:r w:rsidRPr="0028799D">
        <w:t> </w:t>
      </w:r>
      <w:r w:rsidRPr="0028799D">
        <w:t xml:space="preserve">◦ </w:t>
      </w:r>
      <w:r w:rsidRPr="0028799D">
        <w:t>环比上涨</w:t>
      </w:r>
      <w:r w:rsidRPr="0028799D">
        <w:t xml:space="preserve"> </w:t>
      </w:r>
      <w:r w:rsidRPr="0028799D">
        <w:rPr>
          <w:b/>
          <w:bCs/>
        </w:rPr>
        <w:t>0.2%</w:t>
      </w:r>
      <w:r w:rsidRPr="0028799D">
        <w:t>，保持温和节奏</w:t>
      </w:r>
    </w:p>
    <w:p w14:paraId="17C92766" w14:textId="77777777" w:rsidR="0028799D" w:rsidRPr="0028799D" w:rsidRDefault="0028799D" w:rsidP="0028799D">
      <w:r w:rsidRPr="0028799D">
        <w:t xml:space="preserve">• </w:t>
      </w:r>
      <w:r w:rsidRPr="0028799D">
        <w:rPr>
          <w:b/>
          <w:bCs/>
        </w:rPr>
        <w:t>整体</w:t>
      </w:r>
      <w:r w:rsidRPr="0028799D">
        <w:rPr>
          <w:b/>
          <w:bCs/>
        </w:rPr>
        <w:t>PCE</w:t>
      </w:r>
      <w:r w:rsidRPr="0028799D">
        <w:br/>
      </w:r>
      <w:r w:rsidRPr="0028799D">
        <w:t> </w:t>
      </w:r>
      <w:r w:rsidRPr="0028799D">
        <w:t xml:space="preserve">◦ </w:t>
      </w:r>
      <w:r w:rsidRPr="0028799D">
        <w:t>同比上涨</w:t>
      </w:r>
      <w:r w:rsidRPr="0028799D">
        <w:t xml:space="preserve"> </w:t>
      </w:r>
      <w:r w:rsidRPr="0028799D">
        <w:rPr>
          <w:b/>
          <w:bCs/>
        </w:rPr>
        <w:t>2.3%</w:t>
      </w:r>
      <w:r w:rsidRPr="0028799D">
        <w:t>，环比持平（</w:t>
      </w:r>
      <w:r w:rsidRPr="0028799D">
        <w:t>0.0%</w:t>
      </w:r>
      <w:r w:rsidRPr="0028799D">
        <w:t>）</w:t>
      </w:r>
    </w:p>
    <w:p w14:paraId="1AF930C0" w14:textId="77777777" w:rsidR="0028799D" w:rsidRPr="0028799D" w:rsidRDefault="0028799D" w:rsidP="0028799D">
      <w:r w:rsidRPr="0028799D">
        <w:rPr>
          <w:rFonts w:ascii="Segoe UI Symbol" w:hAnsi="Segoe UI Symbol" w:cs="Segoe UI Symbol"/>
        </w:rPr>
        <w:t>➡</w:t>
      </w:r>
      <w:r w:rsidRPr="0028799D">
        <w:t xml:space="preserve"> </w:t>
      </w:r>
      <w:r w:rsidRPr="0028799D">
        <w:rPr>
          <w:b/>
          <w:bCs/>
        </w:rPr>
        <w:t>简析</w:t>
      </w:r>
      <w:r w:rsidRPr="0028799D">
        <w:t>：通胀降温趋势继续，核心</w:t>
      </w:r>
      <w:r w:rsidRPr="0028799D">
        <w:t>PCE</w:t>
      </w:r>
      <w:r w:rsidRPr="0028799D">
        <w:t>虽略高于预期但已接近</w:t>
      </w:r>
      <w:r w:rsidRPr="0028799D">
        <w:t>2%</w:t>
      </w:r>
      <w:r w:rsidRPr="0028799D">
        <w:t>目标，美联储降息路径获支撑。消费者支出出现停滞迹象，服务项下的医疗、租金、交通为主要通胀来源。</w:t>
      </w:r>
    </w:p>
    <w:p w14:paraId="64CFF9AC" w14:textId="77777777" w:rsidR="0028799D" w:rsidRPr="0028799D" w:rsidRDefault="0028799D" w:rsidP="0028799D">
      <w:r w:rsidRPr="0028799D">
        <w:pict w14:anchorId="132BC4B9">
          <v:rect id="_x0000_i1068" style="width:0;height:1.5pt" o:hralign="center" o:hrstd="t" o:hr="t" fillcolor="#a0a0a0" stroked="f"/>
        </w:pict>
      </w:r>
    </w:p>
    <w:p w14:paraId="19AA1B5C" w14:textId="77777777" w:rsidR="0028799D" w:rsidRPr="0028799D" w:rsidRDefault="0028799D" w:rsidP="0028799D">
      <w:pPr>
        <w:rPr>
          <w:b/>
          <w:bCs/>
          <w:sz w:val="32"/>
          <w:szCs w:val="32"/>
        </w:rPr>
      </w:pPr>
      <w:r w:rsidRPr="0028799D">
        <w:rPr>
          <w:rFonts w:ascii="Segoe UI Emoji" w:hAnsi="Segoe UI Emoji" w:cs="Segoe UI Emoji"/>
          <w:b/>
          <w:bCs/>
          <w:sz w:val="32"/>
          <w:szCs w:val="32"/>
        </w:rPr>
        <w:t>📊</w:t>
      </w:r>
      <w:r w:rsidRPr="0028799D">
        <w:rPr>
          <w:b/>
          <w:bCs/>
          <w:sz w:val="32"/>
          <w:szCs w:val="32"/>
        </w:rPr>
        <w:t xml:space="preserve"> </w:t>
      </w:r>
      <w:r w:rsidRPr="0028799D">
        <w:rPr>
          <w:b/>
          <w:bCs/>
          <w:sz w:val="32"/>
          <w:szCs w:val="32"/>
        </w:rPr>
        <w:t>美联储政策预期更新</w:t>
      </w:r>
    </w:p>
    <w:p w14:paraId="2DE84861" w14:textId="77777777" w:rsidR="0028799D" w:rsidRPr="0028799D" w:rsidRDefault="0028799D" w:rsidP="0028799D">
      <w:r w:rsidRPr="0028799D">
        <w:t xml:space="preserve">• </w:t>
      </w:r>
      <w:r w:rsidRPr="0028799D">
        <w:t>联邦基金利率维持在</w:t>
      </w:r>
      <w:r w:rsidRPr="0028799D">
        <w:t xml:space="preserve"> </w:t>
      </w:r>
      <w:r w:rsidRPr="0028799D">
        <w:rPr>
          <w:b/>
          <w:bCs/>
        </w:rPr>
        <w:t>4.25%–4.50%</w:t>
      </w:r>
    </w:p>
    <w:p w14:paraId="432D6E4E" w14:textId="77777777" w:rsidR="0028799D" w:rsidRPr="0028799D" w:rsidRDefault="0028799D" w:rsidP="0028799D">
      <w:r w:rsidRPr="0028799D">
        <w:t xml:space="preserve">• </w:t>
      </w:r>
      <w:r w:rsidRPr="0028799D">
        <w:t>市场预期路径：</w:t>
      </w:r>
      <w:r w:rsidRPr="0028799D">
        <w:br/>
      </w:r>
      <w:r w:rsidRPr="0028799D">
        <w:t> </w:t>
      </w:r>
      <w:r w:rsidRPr="0028799D">
        <w:t xml:space="preserve">◦ </w:t>
      </w:r>
      <w:r w:rsidRPr="0028799D">
        <w:rPr>
          <w:b/>
          <w:bCs/>
        </w:rPr>
        <w:t>9</w:t>
      </w:r>
      <w:r w:rsidRPr="0028799D">
        <w:rPr>
          <w:b/>
          <w:bCs/>
        </w:rPr>
        <w:t>月首次降息</w:t>
      </w:r>
      <w:r w:rsidRPr="0028799D">
        <w:rPr>
          <w:b/>
          <w:bCs/>
        </w:rPr>
        <w:t>25bps</w:t>
      </w:r>
      <w:r w:rsidRPr="0028799D">
        <w:t xml:space="preserve"> </w:t>
      </w:r>
      <w:r w:rsidRPr="0028799D">
        <w:t>概率已升至</w:t>
      </w:r>
      <w:r w:rsidRPr="0028799D">
        <w:t>78%</w:t>
      </w:r>
      <w:r w:rsidRPr="0028799D">
        <w:br/>
      </w:r>
      <w:r w:rsidRPr="0028799D">
        <w:t> </w:t>
      </w:r>
      <w:r w:rsidRPr="0028799D">
        <w:t xml:space="preserve">◦ </w:t>
      </w:r>
      <w:r w:rsidRPr="0028799D">
        <w:t>年底前仍可能实施</w:t>
      </w:r>
      <w:r w:rsidRPr="0028799D">
        <w:t xml:space="preserve"> </w:t>
      </w:r>
      <w:r w:rsidRPr="0028799D">
        <w:rPr>
          <w:b/>
          <w:bCs/>
        </w:rPr>
        <w:t>两次降息</w:t>
      </w:r>
    </w:p>
    <w:p w14:paraId="40ED8199" w14:textId="77777777" w:rsidR="0028799D" w:rsidRPr="0028799D" w:rsidRDefault="0028799D" w:rsidP="0028799D">
      <w:r w:rsidRPr="0028799D">
        <w:t xml:space="preserve">• </w:t>
      </w:r>
      <w:r w:rsidRPr="0028799D">
        <w:t>官员表态分化：</w:t>
      </w:r>
      <w:r w:rsidRPr="0028799D">
        <w:br/>
      </w:r>
      <w:r w:rsidRPr="0028799D">
        <w:t> </w:t>
      </w:r>
      <w:r w:rsidRPr="0028799D">
        <w:t xml:space="preserve">◦ </w:t>
      </w:r>
      <w:r w:rsidRPr="0028799D">
        <w:rPr>
          <w:b/>
          <w:bCs/>
        </w:rPr>
        <w:t>鸽派</w:t>
      </w:r>
      <w:r w:rsidRPr="0028799D">
        <w:t>（</w:t>
      </w:r>
      <w:r w:rsidRPr="0028799D">
        <w:t>Waller</w:t>
      </w:r>
      <w:r w:rsidRPr="0028799D">
        <w:t>）：若趋势持续</w:t>
      </w:r>
      <w:proofErr w:type="gramStart"/>
      <w:r w:rsidRPr="0028799D">
        <w:t>，</w:t>
      </w:r>
      <w:r w:rsidRPr="0028799D">
        <w:t>“</w:t>
      </w:r>
      <w:proofErr w:type="gramEnd"/>
      <w:r w:rsidRPr="0028799D">
        <w:t>7</w:t>
      </w:r>
      <w:r w:rsidRPr="0028799D">
        <w:t>月也可能启动降息</w:t>
      </w:r>
      <w:r w:rsidRPr="0028799D">
        <w:t>”</w:t>
      </w:r>
      <w:r w:rsidRPr="0028799D">
        <w:br/>
      </w:r>
      <w:r w:rsidRPr="0028799D">
        <w:t> </w:t>
      </w:r>
      <w:r w:rsidRPr="0028799D">
        <w:t xml:space="preserve">◦ </w:t>
      </w:r>
      <w:r w:rsidRPr="0028799D">
        <w:rPr>
          <w:b/>
          <w:bCs/>
        </w:rPr>
        <w:t>鲍威尔</w:t>
      </w:r>
      <w:r w:rsidRPr="0028799D">
        <w:t>：</w:t>
      </w:r>
      <w:r w:rsidRPr="0028799D">
        <w:t>6</w:t>
      </w:r>
      <w:r w:rsidRPr="0028799D">
        <w:t>月</w:t>
      </w:r>
      <w:r w:rsidRPr="0028799D">
        <w:t>25</w:t>
      </w:r>
      <w:proofErr w:type="gramStart"/>
      <w:r w:rsidRPr="0028799D">
        <w:t>日表态</w:t>
      </w:r>
      <w:r w:rsidRPr="0028799D">
        <w:t>“</w:t>
      </w:r>
      <w:proofErr w:type="gramEnd"/>
      <w:r w:rsidRPr="0028799D">
        <w:t>通胀确实降温，但仍需更多数据确认</w:t>
      </w:r>
      <w:r w:rsidRPr="0028799D">
        <w:t>”</w:t>
      </w:r>
    </w:p>
    <w:p w14:paraId="7291AD8F" w14:textId="77777777" w:rsidR="0028799D" w:rsidRPr="0028799D" w:rsidRDefault="0028799D" w:rsidP="0028799D">
      <w:r w:rsidRPr="0028799D">
        <w:rPr>
          <w:rFonts w:ascii="Segoe UI Symbol" w:hAnsi="Segoe UI Symbol" w:cs="Segoe UI Symbol"/>
        </w:rPr>
        <w:t>➡</w:t>
      </w:r>
      <w:r w:rsidRPr="0028799D">
        <w:t xml:space="preserve"> </w:t>
      </w:r>
      <w:r w:rsidRPr="0028799D">
        <w:rPr>
          <w:b/>
          <w:bCs/>
        </w:rPr>
        <w:t>市场影响</w:t>
      </w:r>
      <w:r w:rsidRPr="0028799D">
        <w:t>：短端美债收益率下行，美元指数回升至</w:t>
      </w:r>
      <w:r w:rsidRPr="0028799D">
        <w:t>105.4</w:t>
      </w:r>
      <w:r w:rsidRPr="0028799D">
        <w:t>，股市全面上扬。</w:t>
      </w:r>
    </w:p>
    <w:p w14:paraId="59BC4521" w14:textId="77777777" w:rsidR="0028799D" w:rsidRPr="0028799D" w:rsidRDefault="0028799D" w:rsidP="0028799D">
      <w:r w:rsidRPr="0028799D">
        <w:pict w14:anchorId="11269C7D">
          <v:rect id="_x0000_i1069" style="width:0;height:1.5pt" o:hralign="center" o:hrstd="t" o:hr="t" fillcolor="#a0a0a0" stroked="f"/>
        </w:pict>
      </w:r>
    </w:p>
    <w:p w14:paraId="1443D644" w14:textId="77777777" w:rsidR="0028799D" w:rsidRDefault="0028799D" w:rsidP="0028799D">
      <w:pPr>
        <w:rPr>
          <w:b/>
          <w:bCs/>
        </w:rPr>
      </w:pPr>
    </w:p>
    <w:p w14:paraId="7F60FD2F" w14:textId="77777777" w:rsidR="0028799D" w:rsidRDefault="0028799D" w:rsidP="0028799D">
      <w:pPr>
        <w:rPr>
          <w:b/>
          <w:bCs/>
        </w:rPr>
      </w:pPr>
    </w:p>
    <w:p w14:paraId="49C65293" w14:textId="77777777" w:rsidR="0028799D" w:rsidRDefault="0028799D" w:rsidP="0028799D">
      <w:pPr>
        <w:rPr>
          <w:b/>
          <w:bCs/>
        </w:rPr>
      </w:pPr>
    </w:p>
    <w:p w14:paraId="29E3D5A3" w14:textId="77777777" w:rsidR="0028799D" w:rsidRDefault="0028799D" w:rsidP="0028799D">
      <w:pPr>
        <w:rPr>
          <w:b/>
          <w:bCs/>
        </w:rPr>
      </w:pPr>
    </w:p>
    <w:p w14:paraId="26B4D855" w14:textId="585AAE76" w:rsidR="0028799D" w:rsidRPr="0028799D" w:rsidRDefault="0028799D" w:rsidP="0028799D">
      <w:pPr>
        <w:rPr>
          <w:b/>
          <w:bCs/>
          <w:sz w:val="32"/>
          <w:szCs w:val="32"/>
        </w:rPr>
      </w:pPr>
      <w:r w:rsidRPr="0028799D">
        <w:rPr>
          <w:b/>
          <w:bCs/>
          <w:sz w:val="32"/>
          <w:szCs w:val="32"/>
        </w:rPr>
        <w:t>二、市场表现与重点公司动态（含</w:t>
      </w:r>
      <w:r w:rsidRPr="0028799D">
        <w:rPr>
          <w:b/>
          <w:bCs/>
          <w:sz w:val="32"/>
          <w:szCs w:val="32"/>
        </w:rPr>
        <w:t>IPO</w:t>
      </w:r>
      <w:r w:rsidRPr="0028799D">
        <w:rPr>
          <w:b/>
          <w:bCs/>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1983"/>
        <w:gridCol w:w="1020"/>
        <w:gridCol w:w="1928"/>
        <w:gridCol w:w="2912"/>
      </w:tblGrid>
      <w:tr w:rsidR="0028799D" w:rsidRPr="0028799D" w14:paraId="660959E7" w14:textId="77777777" w:rsidTr="0028799D">
        <w:trPr>
          <w:tblHeader/>
          <w:tblCellSpacing w:w="15" w:type="dxa"/>
        </w:trPr>
        <w:tc>
          <w:tcPr>
            <w:tcW w:w="0" w:type="auto"/>
            <w:vAlign w:val="center"/>
            <w:hideMark/>
          </w:tcPr>
          <w:p w14:paraId="4667AE66" w14:textId="77777777" w:rsidR="0028799D" w:rsidRPr="0028799D" w:rsidRDefault="0028799D" w:rsidP="0028799D">
            <w:pPr>
              <w:rPr>
                <w:rFonts w:ascii="Segoe UI Emoji" w:hAnsi="Segoe UI Emoji" w:cs="Segoe UI Emoji"/>
                <w:b/>
                <w:bCs/>
              </w:rPr>
            </w:pPr>
            <w:r w:rsidRPr="0028799D">
              <w:rPr>
                <w:rFonts w:ascii="Segoe UI Emoji" w:hAnsi="Segoe UI Emoji" w:cs="Segoe UI Emoji"/>
                <w:b/>
                <w:bCs/>
              </w:rPr>
              <w:t>指数</w:t>
            </w:r>
          </w:p>
        </w:tc>
        <w:tc>
          <w:tcPr>
            <w:tcW w:w="0" w:type="auto"/>
            <w:vAlign w:val="center"/>
            <w:hideMark/>
          </w:tcPr>
          <w:p w14:paraId="129A5753" w14:textId="77777777" w:rsidR="0028799D" w:rsidRPr="0028799D" w:rsidRDefault="0028799D" w:rsidP="0028799D">
            <w:pPr>
              <w:rPr>
                <w:rFonts w:ascii="Segoe UI Emoji" w:hAnsi="Segoe UI Emoji" w:cs="Segoe UI Emoji"/>
                <w:b/>
                <w:bCs/>
              </w:rPr>
            </w:pPr>
            <w:r w:rsidRPr="0028799D">
              <w:rPr>
                <w:rFonts w:ascii="Segoe UI Emoji" w:hAnsi="Segoe UI Emoji" w:cs="Segoe UI Emoji"/>
                <w:b/>
                <w:bCs/>
              </w:rPr>
              <w:t>收盘点位（</w:t>
            </w:r>
            <w:r w:rsidRPr="0028799D">
              <w:rPr>
                <w:rFonts w:ascii="Segoe UI Emoji" w:hAnsi="Segoe UI Emoji" w:cs="Segoe UI Emoji"/>
                <w:b/>
                <w:bCs/>
              </w:rPr>
              <w:t>6/27</w:t>
            </w:r>
            <w:r w:rsidRPr="0028799D">
              <w:rPr>
                <w:rFonts w:ascii="Segoe UI Emoji" w:hAnsi="Segoe UI Emoji" w:cs="Segoe UI Emoji"/>
                <w:b/>
                <w:bCs/>
              </w:rPr>
              <w:t>）</w:t>
            </w:r>
          </w:p>
        </w:tc>
        <w:tc>
          <w:tcPr>
            <w:tcW w:w="0" w:type="auto"/>
            <w:vAlign w:val="center"/>
            <w:hideMark/>
          </w:tcPr>
          <w:p w14:paraId="4614BD94" w14:textId="77777777" w:rsidR="0028799D" w:rsidRPr="0028799D" w:rsidRDefault="0028799D" w:rsidP="0028799D">
            <w:pPr>
              <w:rPr>
                <w:rFonts w:ascii="Segoe UI Emoji" w:hAnsi="Segoe UI Emoji" w:cs="Segoe UI Emoji"/>
                <w:b/>
                <w:bCs/>
              </w:rPr>
            </w:pPr>
            <w:r w:rsidRPr="0028799D">
              <w:rPr>
                <w:rFonts w:ascii="Segoe UI Emoji" w:hAnsi="Segoe UI Emoji" w:cs="Segoe UI Emoji"/>
                <w:b/>
                <w:bCs/>
              </w:rPr>
              <w:t>周内涨幅</w:t>
            </w:r>
          </w:p>
        </w:tc>
        <w:tc>
          <w:tcPr>
            <w:tcW w:w="0" w:type="auto"/>
            <w:vAlign w:val="center"/>
            <w:hideMark/>
          </w:tcPr>
          <w:p w14:paraId="24B9B9F9" w14:textId="77777777" w:rsidR="0028799D" w:rsidRPr="0028799D" w:rsidRDefault="0028799D" w:rsidP="0028799D">
            <w:pPr>
              <w:rPr>
                <w:rFonts w:ascii="Segoe UI Emoji" w:hAnsi="Segoe UI Emoji" w:cs="Segoe UI Emoji"/>
                <w:b/>
                <w:bCs/>
              </w:rPr>
            </w:pPr>
            <w:r w:rsidRPr="0028799D">
              <w:rPr>
                <w:rFonts w:ascii="Segoe UI Emoji" w:hAnsi="Segoe UI Emoji" w:cs="Segoe UI Emoji"/>
                <w:b/>
                <w:bCs/>
              </w:rPr>
              <w:t>年初至今（</w:t>
            </w:r>
            <w:r w:rsidRPr="0028799D">
              <w:rPr>
                <w:rFonts w:ascii="Segoe UI Emoji" w:hAnsi="Segoe UI Emoji" w:cs="Segoe UI Emoji"/>
                <w:b/>
                <w:bCs/>
              </w:rPr>
              <w:t>YTD</w:t>
            </w:r>
            <w:r w:rsidRPr="0028799D">
              <w:rPr>
                <w:rFonts w:ascii="Segoe UI Emoji" w:hAnsi="Segoe UI Emoji" w:cs="Segoe UI Emoji"/>
                <w:b/>
                <w:bCs/>
              </w:rPr>
              <w:t>）</w:t>
            </w:r>
          </w:p>
        </w:tc>
        <w:tc>
          <w:tcPr>
            <w:tcW w:w="0" w:type="auto"/>
            <w:vAlign w:val="center"/>
            <w:hideMark/>
          </w:tcPr>
          <w:p w14:paraId="04204BD2" w14:textId="77777777" w:rsidR="0028799D" w:rsidRPr="0028799D" w:rsidRDefault="0028799D" w:rsidP="0028799D">
            <w:pPr>
              <w:rPr>
                <w:rFonts w:ascii="Segoe UI Emoji" w:hAnsi="Segoe UI Emoji" w:cs="Segoe UI Emoji"/>
                <w:b/>
                <w:bCs/>
              </w:rPr>
            </w:pPr>
            <w:r w:rsidRPr="0028799D">
              <w:rPr>
                <w:rFonts w:ascii="Segoe UI Emoji" w:hAnsi="Segoe UI Emoji" w:cs="Segoe UI Emoji"/>
                <w:b/>
                <w:bCs/>
              </w:rPr>
              <w:t>当日涨跌</w:t>
            </w:r>
            <w:r w:rsidRPr="0028799D">
              <w:rPr>
                <w:rFonts w:ascii="Segoe UI Emoji" w:hAnsi="Segoe UI Emoji" w:cs="Segoe UI Emoji"/>
                <w:b/>
                <w:bCs/>
              </w:rPr>
              <w:t xml:space="preserve"> (</w:t>
            </w:r>
            <w:r w:rsidRPr="0028799D">
              <w:rPr>
                <w:rFonts w:ascii="Segoe UI Emoji" w:hAnsi="Segoe UI Emoji" w:cs="Segoe UI Emoji"/>
                <w:b/>
                <w:bCs/>
              </w:rPr>
              <w:t>绝对点</w:t>
            </w:r>
            <w:r w:rsidRPr="0028799D">
              <w:rPr>
                <w:rFonts w:ascii="Segoe UI Emoji" w:hAnsi="Segoe UI Emoji" w:cs="Segoe UI Emoji"/>
                <w:b/>
                <w:bCs/>
              </w:rPr>
              <w:t xml:space="preserve"> / </w:t>
            </w:r>
            <w:r w:rsidRPr="0028799D">
              <w:rPr>
                <w:rFonts w:ascii="Segoe UI Emoji" w:hAnsi="Segoe UI Emoji" w:cs="Segoe UI Emoji"/>
                <w:b/>
                <w:bCs/>
              </w:rPr>
              <w:t>百分比</w:t>
            </w:r>
            <w:r w:rsidRPr="0028799D">
              <w:rPr>
                <w:rFonts w:ascii="Segoe UI Emoji" w:hAnsi="Segoe UI Emoji" w:cs="Segoe UI Emoji"/>
                <w:b/>
                <w:bCs/>
              </w:rPr>
              <w:t>)</w:t>
            </w:r>
          </w:p>
        </w:tc>
      </w:tr>
      <w:tr w:rsidR="0028799D" w:rsidRPr="0028799D" w14:paraId="325E1C79" w14:textId="77777777" w:rsidTr="0028799D">
        <w:trPr>
          <w:tblCellSpacing w:w="15" w:type="dxa"/>
        </w:trPr>
        <w:tc>
          <w:tcPr>
            <w:tcW w:w="0" w:type="auto"/>
            <w:vAlign w:val="center"/>
            <w:hideMark/>
          </w:tcPr>
          <w:p w14:paraId="0FCAEFFA" w14:textId="77777777" w:rsidR="0028799D" w:rsidRPr="0028799D" w:rsidRDefault="0028799D" w:rsidP="0028799D">
            <w:pPr>
              <w:rPr>
                <w:rFonts w:ascii="Segoe UI Emoji" w:hAnsi="Segoe UI Emoji" w:cs="Segoe UI Emoji"/>
              </w:rPr>
            </w:pPr>
            <w:r w:rsidRPr="0028799D">
              <w:rPr>
                <w:rFonts w:ascii="Segoe UI Emoji" w:hAnsi="Segoe UI Emoji" w:cs="Segoe UI Emoji"/>
                <w:b/>
                <w:bCs/>
              </w:rPr>
              <w:t>标普</w:t>
            </w:r>
            <w:r w:rsidRPr="0028799D">
              <w:rPr>
                <w:rFonts w:ascii="Arial" w:hAnsi="Arial" w:cs="Arial"/>
                <w:b/>
                <w:bCs/>
              </w:rPr>
              <w:t> </w:t>
            </w:r>
            <w:r w:rsidRPr="0028799D">
              <w:rPr>
                <w:rFonts w:ascii="Segoe UI Emoji" w:hAnsi="Segoe UI Emoji" w:cs="Segoe UI Emoji"/>
                <w:b/>
                <w:bCs/>
              </w:rPr>
              <w:t>500</w:t>
            </w:r>
          </w:p>
        </w:tc>
        <w:tc>
          <w:tcPr>
            <w:tcW w:w="0" w:type="auto"/>
            <w:vAlign w:val="center"/>
            <w:hideMark/>
          </w:tcPr>
          <w:p w14:paraId="7765035D" w14:textId="77777777" w:rsidR="0028799D" w:rsidRPr="0028799D" w:rsidRDefault="0028799D" w:rsidP="0028799D">
            <w:pPr>
              <w:rPr>
                <w:rFonts w:ascii="Segoe UI Emoji" w:hAnsi="Segoe UI Emoji" w:cs="Segoe UI Emoji"/>
              </w:rPr>
            </w:pPr>
            <w:r w:rsidRPr="0028799D">
              <w:rPr>
                <w:rFonts w:ascii="Segoe UI Emoji" w:hAnsi="Segoe UI Emoji" w:cs="Segoe UI Emoji"/>
                <w:b/>
                <w:bCs/>
              </w:rPr>
              <w:t>6,173.07</w:t>
            </w:r>
          </w:p>
        </w:tc>
        <w:tc>
          <w:tcPr>
            <w:tcW w:w="0" w:type="auto"/>
            <w:vAlign w:val="center"/>
            <w:hideMark/>
          </w:tcPr>
          <w:p w14:paraId="793EF3CD" w14:textId="77777777" w:rsidR="0028799D" w:rsidRPr="0028799D" w:rsidRDefault="0028799D" w:rsidP="0028799D">
            <w:pPr>
              <w:rPr>
                <w:rFonts w:ascii="Segoe UI Emoji" w:hAnsi="Segoe UI Emoji" w:cs="Segoe UI Emoji"/>
              </w:rPr>
            </w:pPr>
            <w:r w:rsidRPr="0028799D">
              <w:rPr>
                <w:rFonts w:ascii="Segoe UI Emoji" w:hAnsi="Segoe UI Emoji" w:cs="Segoe UI Emoji"/>
              </w:rPr>
              <w:t>+3.4%</w:t>
            </w:r>
          </w:p>
        </w:tc>
        <w:tc>
          <w:tcPr>
            <w:tcW w:w="0" w:type="auto"/>
            <w:vAlign w:val="center"/>
            <w:hideMark/>
          </w:tcPr>
          <w:p w14:paraId="7F1C0AC3" w14:textId="77777777" w:rsidR="0028799D" w:rsidRPr="0028799D" w:rsidRDefault="0028799D" w:rsidP="0028799D">
            <w:pPr>
              <w:rPr>
                <w:rFonts w:ascii="Segoe UI Emoji" w:hAnsi="Segoe UI Emoji" w:cs="Segoe UI Emoji"/>
              </w:rPr>
            </w:pPr>
            <w:r w:rsidRPr="0028799D">
              <w:rPr>
                <w:rFonts w:ascii="Segoe UI Emoji" w:hAnsi="Segoe UI Emoji" w:cs="Segoe UI Emoji"/>
              </w:rPr>
              <w:t>+5.0%</w:t>
            </w:r>
          </w:p>
        </w:tc>
        <w:tc>
          <w:tcPr>
            <w:tcW w:w="0" w:type="auto"/>
            <w:vAlign w:val="center"/>
            <w:hideMark/>
          </w:tcPr>
          <w:p w14:paraId="71D5CE74" w14:textId="155D2157" w:rsidR="0028799D" w:rsidRPr="0028799D" w:rsidRDefault="0028799D" w:rsidP="0028799D">
            <w:pPr>
              <w:rPr>
                <w:rFonts w:ascii="Segoe UI Emoji" w:hAnsi="Segoe UI Emoji" w:cs="Segoe UI Emoji"/>
              </w:rPr>
            </w:pPr>
            <w:r w:rsidRPr="0028799D">
              <w:rPr>
                <w:rFonts w:ascii="Segoe UI Emoji" w:hAnsi="Segoe UI Emoji" w:cs="Segoe UI Emoji"/>
              </w:rPr>
              <w:t>+32.</w:t>
            </w:r>
            <w:proofErr w:type="gramStart"/>
            <w:r w:rsidRPr="0028799D">
              <w:rPr>
                <w:rFonts w:ascii="Segoe UI Emoji" w:hAnsi="Segoe UI Emoji" w:cs="Segoe UI Emoji"/>
              </w:rPr>
              <w:t xml:space="preserve">05 </w:t>
            </w:r>
            <w:r w:rsidRPr="0028799D">
              <w:rPr>
                <w:rFonts w:ascii="Arial" w:hAnsi="Arial" w:cs="Arial"/>
              </w:rPr>
              <w:t> </w:t>
            </w:r>
            <w:r w:rsidRPr="0028799D">
              <w:rPr>
                <w:rFonts w:ascii="Segoe UI Emoji" w:hAnsi="Segoe UI Emoji" w:cs="Segoe UI Emoji"/>
              </w:rPr>
              <w:t>(</w:t>
            </w:r>
            <w:proofErr w:type="gramEnd"/>
            <w:r w:rsidRPr="0028799D">
              <w:rPr>
                <w:rFonts w:ascii="Segoe UI Emoji" w:hAnsi="Segoe UI Emoji" w:cs="Segoe UI Emoji"/>
              </w:rPr>
              <w:t xml:space="preserve">+0.52%) </w:t>
            </w:r>
          </w:p>
        </w:tc>
      </w:tr>
      <w:tr w:rsidR="0028799D" w:rsidRPr="0028799D" w14:paraId="670B7C2D" w14:textId="77777777" w:rsidTr="0028799D">
        <w:trPr>
          <w:tblCellSpacing w:w="15" w:type="dxa"/>
        </w:trPr>
        <w:tc>
          <w:tcPr>
            <w:tcW w:w="0" w:type="auto"/>
            <w:vAlign w:val="center"/>
            <w:hideMark/>
          </w:tcPr>
          <w:p w14:paraId="5F7709D3" w14:textId="77777777" w:rsidR="0028799D" w:rsidRPr="0028799D" w:rsidRDefault="0028799D" w:rsidP="0028799D">
            <w:pPr>
              <w:rPr>
                <w:rFonts w:ascii="Segoe UI Emoji" w:hAnsi="Segoe UI Emoji" w:cs="Segoe UI Emoji"/>
              </w:rPr>
            </w:pPr>
            <w:r w:rsidRPr="0028799D">
              <w:rPr>
                <w:rFonts w:ascii="Segoe UI Emoji" w:hAnsi="Segoe UI Emoji" w:cs="Segoe UI Emoji"/>
                <w:b/>
                <w:bCs/>
              </w:rPr>
              <w:t>道琼斯</w:t>
            </w:r>
          </w:p>
        </w:tc>
        <w:tc>
          <w:tcPr>
            <w:tcW w:w="0" w:type="auto"/>
            <w:vAlign w:val="center"/>
            <w:hideMark/>
          </w:tcPr>
          <w:p w14:paraId="74C0C282" w14:textId="77777777" w:rsidR="0028799D" w:rsidRPr="0028799D" w:rsidRDefault="0028799D" w:rsidP="0028799D">
            <w:pPr>
              <w:rPr>
                <w:rFonts w:ascii="Segoe UI Emoji" w:hAnsi="Segoe UI Emoji" w:cs="Segoe UI Emoji"/>
              </w:rPr>
            </w:pPr>
            <w:r w:rsidRPr="0028799D">
              <w:rPr>
                <w:rFonts w:ascii="Segoe UI Emoji" w:hAnsi="Segoe UI Emoji" w:cs="Segoe UI Emoji"/>
                <w:b/>
                <w:bCs/>
              </w:rPr>
              <w:t>43,819.27</w:t>
            </w:r>
          </w:p>
        </w:tc>
        <w:tc>
          <w:tcPr>
            <w:tcW w:w="0" w:type="auto"/>
            <w:vAlign w:val="center"/>
            <w:hideMark/>
          </w:tcPr>
          <w:p w14:paraId="21F2F3C8" w14:textId="77777777" w:rsidR="0028799D" w:rsidRPr="0028799D" w:rsidRDefault="0028799D" w:rsidP="0028799D">
            <w:pPr>
              <w:rPr>
                <w:rFonts w:ascii="Segoe UI Emoji" w:hAnsi="Segoe UI Emoji" w:cs="Segoe UI Emoji"/>
              </w:rPr>
            </w:pPr>
            <w:r w:rsidRPr="0028799D">
              <w:rPr>
                <w:rFonts w:ascii="Segoe UI Emoji" w:hAnsi="Segoe UI Emoji" w:cs="Segoe UI Emoji"/>
              </w:rPr>
              <w:t>+3.8%</w:t>
            </w:r>
          </w:p>
        </w:tc>
        <w:tc>
          <w:tcPr>
            <w:tcW w:w="0" w:type="auto"/>
            <w:vAlign w:val="center"/>
            <w:hideMark/>
          </w:tcPr>
          <w:p w14:paraId="007F118F" w14:textId="77777777" w:rsidR="0028799D" w:rsidRPr="0028799D" w:rsidRDefault="0028799D" w:rsidP="0028799D">
            <w:pPr>
              <w:rPr>
                <w:rFonts w:ascii="Segoe UI Emoji" w:hAnsi="Segoe UI Emoji" w:cs="Segoe UI Emoji"/>
              </w:rPr>
            </w:pPr>
            <w:r w:rsidRPr="0028799D">
              <w:rPr>
                <w:rFonts w:ascii="Segoe UI Emoji" w:hAnsi="Segoe UI Emoji" w:cs="Segoe UI Emoji"/>
              </w:rPr>
              <w:t>+3.0%</w:t>
            </w:r>
          </w:p>
        </w:tc>
        <w:tc>
          <w:tcPr>
            <w:tcW w:w="0" w:type="auto"/>
            <w:vAlign w:val="center"/>
            <w:hideMark/>
          </w:tcPr>
          <w:p w14:paraId="25D13C85" w14:textId="77777777" w:rsidR="0028799D" w:rsidRPr="0028799D" w:rsidRDefault="0028799D" w:rsidP="0028799D">
            <w:pPr>
              <w:rPr>
                <w:rFonts w:ascii="Segoe UI Emoji" w:hAnsi="Segoe UI Emoji" w:cs="Segoe UI Emoji"/>
              </w:rPr>
            </w:pPr>
            <w:r w:rsidRPr="0028799D">
              <w:rPr>
                <w:rFonts w:ascii="Segoe UI Emoji" w:hAnsi="Segoe UI Emoji" w:cs="Segoe UI Emoji"/>
              </w:rPr>
              <w:t xml:space="preserve">+432.43 (+1.00%) </w:t>
            </w:r>
          </w:p>
        </w:tc>
      </w:tr>
      <w:tr w:rsidR="0028799D" w:rsidRPr="0028799D" w14:paraId="092D8142" w14:textId="77777777" w:rsidTr="0028799D">
        <w:trPr>
          <w:tblCellSpacing w:w="15" w:type="dxa"/>
        </w:trPr>
        <w:tc>
          <w:tcPr>
            <w:tcW w:w="0" w:type="auto"/>
            <w:vAlign w:val="center"/>
            <w:hideMark/>
          </w:tcPr>
          <w:p w14:paraId="3EA7C917" w14:textId="77777777" w:rsidR="0028799D" w:rsidRPr="0028799D" w:rsidRDefault="0028799D" w:rsidP="0028799D">
            <w:pPr>
              <w:rPr>
                <w:rFonts w:ascii="Segoe UI Emoji" w:hAnsi="Segoe UI Emoji" w:cs="Segoe UI Emoji"/>
              </w:rPr>
            </w:pPr>
            <w:r w:rsidRPr="0028799D">
              <w:rPr>
                <w:rFonts w:ascii="Segoe UI Emoji" w:hAnsi="Segoe UI Emoji" w:cs="Segoe UI Emoji"/>
                <w:b/>
                <w:bCs/>
              </w:rPr>
              <w:t>纳斯达克</w:t>
            </w:r>
          </w:p>
        </w:tc>
        <w:tc>
          <w:tcPr>
            <w:tcW w:w="0" w:type="auto"/>
            <w:vAlign w:val="center"/>
            <w:hideMark/>
          </w:tcPr>
          <w:p w14:paraId="45DA4761" w14:textId="77777777" w:rsidR="0028799D" w:rsidRPr="0028799D" w:rsidRDefault="0028799D" w:rsidP="0028799D">
            <w:pPr>
              <w:rPr>
                <w:rFonts w:ascii="Segoe UI Emoji" w:hAnsi="Segoe UI Emoji" w:cs="Segoe UI Emoji"/>
              </w:rPr>
            </w:pPr>
            <w:r w:rsidRPr="0028799D">
              <w:rPr>
                <w:rFonts w:ascii="Segoe UI Emoji" w:hAnsi="Segoe UI Emoji" w:cs="Segoe UI Emoji"/>
                <w:b/>
                <w:bCs/>
              </w:rPr>
              <w:t>20,273.46</w:t>
            </w:r>
          </w:p>
        </w:tc>
        <w:tc>
          <w:tcPr>
            <w:tcW w:w="0" w:type="auto"/>
            <w:vAlign w:val="center"/>
            <w:hideMark/>
          </w:tcPr>
          <w:p w14:paraId="61F12DC7" w14:textId="77777777" w:rsidR="0028799D" w:rsidRPr="0028799D" w:rsidRDefault="0028799D" w:rsidP="0028799D">
            <w:pPr>
              <w:rPr>
                <w:rFonts w:ascii="Segoe UI Emoji" w:hAnsi="Segoe UI Emoji" w:cs="Segoe UI Emoji"/>
              </w:rPr>
            </w:pPr>
            <w:r w:rsidRPr="0028799D">
              <w:rPr>
                <w:rFonts w:ascii="Segoe UI Emoji" w:hAnsi="Segoe UI Emoji" w:cs="Segoe UI Emoji"/>
              </w:rPr>
              <w:t>+4.2%</w:t>
            </w:r>
          </w:p>
        </w:tc>
        <w:tc>
          <w:tcPr>
            <w:tcW w:w="0" w:type="auto"/>
            <w:vAlign w:val="center"/>
            <w:hideMark/>
          </w:tcPr>
          <w:p w14:paraId="7C760774" w14:textId="77777777" w:rsidR="0028799D" w:rsidRPr="0028799D" w:rsidRDefault="0028799D" w:rsidP="0028799D">
            <w:pPr>
              <w:rPr>
                <w:rFonts w:ascii="Segoe UI Emoji" w:hAnsi="Segoe UI Emoji" w:cs="Segoe UI Emoji"/>
              </w:rPr>
            </w:pPr>
            <w:r w:rsidRPr="0028799D">
              <w:rPr>
                <w:rFonts w:ascii="Segoe UI Emoji" w:hAnsi="Segoe UI Emoji" w:cs="Segoe UI Emoji"/>
              </w:rPr>
              <w:t>+5.0%</w:t>
            </w:r>
          </w:p>
        </w:tc>
        <w:tc>
          <w:tcPr>
            <w:tcW w:w="0" w:type="auto"/>
            <w:vAlign w:val="center"/>
            <w:hideMark/>
          </w:tcPr>
          <w:p w14:paraId="5708D703" w14:textId="77777777" w:rsidR="0028799D" w:rsidRPr="0028799D" w:rsidRDefault="0028799D" w:rsidP="0028799D">
            <w:pPr>
              <w:rPr>
                <w:rFonts w:ascii="Segoe UI Emoji" w:hAnsi="Segoe UI Emoji" w:cs="Segoe UI Emoji"/>
              </w:rPr>
            </w:pPr>
            <w:r w:rsidRPr="0028799D">
              <w:rPr>
                <w:rFonts w:ascii="Segoe UI Emoji" w:hAnsi="Segoe UI Emoji" w:cs="Segoe UI Emoji"/>
              </w:rPr>
              <w:t xml:space="preserve">+105.55 (+0.52%) </w:t>
            </w:r>
          </w:p>
        </w:tc>
      </w:tr>
      <w:tr w:rsidR="0028799D" w:rsidRPr="0028799D" w14:paraId="1DBF42B2" w14:textId="77777777" w:rsidTr="0028799D">
        <w:trPr>
          <w:tblCellSpacing w:w="15" w:type="dxa"/>
        </w:trPr>
        <w:tc>
          <w:tcPr>
            <w:tcW w:w="0" w:type="auto"/>
            <w:vAlign w:val="center"/>
            <w:hideMark/>
          </w:tcPr>
          <w:p w14:paraId="31C47B6C" w14:textId="77777777" w:rsidR="0028799D" w:rsidRPr="0028799D" w:rsidRDefault="0028799D" w:rsidP="0028799D">
            <w:pPr>
              <w:rPr>
                <w:rFonts w:ascii="Segoe UI Emoji" w:hAnsi="Segoe UI Emoji" w:cs="Segoe UI Emoji"/>
              </w:rPr>
            </w:pPr>
            <w:r w:rsidRPr="0028799D">
              <w:rPr>
                <w:rFonts w:ascii="Segoe UI Emoji" w:hAnsi="Segoe UI Emoji" w:cs="Segoe UI Emoji"/>
                <w:b/>
                <w:bCs/>
              </w:rPr>
              <w:t>罗素</w:t>
            </w:r>
            <w:r w:rsidRPr="0028799D">
              <w:rPr>
                <w:rFonts w:ascii="Arial" w:hAnsi="Arial" w:cs="Arial"/>
                <w:b/>
                <w:bCs/>
              </w:rPr>
              <w:t> </w:t>
            </w:r>
            <w:r w:rsidRPr="0028799D">
              <w:rPr>
                <w:rFonts w:ascii="Segoe UI Emoji" w:hAnsi="Segoe UI Emoji" w:cs="Segoe UI Emoji"/>
                <w:b/>
                <w:bCs/>
              </w:rPr>
              <w:t>2000</w:t>
            </w:r>
          </w:p>
        </w:tc>
        <w:tc>
          <w:tcPr>
            <w:tcW w:w="0" w:type="auto"/>
            <w:vAlign w:val="center"/>
            <w:hideMark/>
          </w:tcPr>
          <w:p w14:paraId="59BFABC9" w14:textId="77777777" w:rsidR="0028799D" w:rsidRPr="0028799D" w:rsidRDefault="0028799D" w:rsidP="0028799D">
            <w:pPr>
              <w:rPr>
                <w:rFonts w:ascii="Segoe UI Emoji" w:hAnsi="Segoe UI Emoji" w:cs="Segoe UI Emoji"/>
              </w:rPr>
            </w:pPr>
            <w:r w:rsidRPr="0028799D">
              <w:rPr>
                <w:rFonts w:ascii="Segoe UI Emoji" w:hAnsi="Segoe UI Emoji" w:cs="Segoe UI Emoji"/>
                <w:b/>
                <w:bCs/>
              </w:rPr>
              <w:t>2,172.53</w:t>
            </w:r>
          </w:p>
        </w:tc>
        <w:tc>
          <w:tcPr>
            <w:tcW w:w="0" w:type="auto"/>
            <w:vAlign w:val="center"/>
            <w:hideMark/>
          </w:tcPr>
          <w:p w14:paraId="292E17C9" w14:textId="77777777" w:rsidR="0028799D" w:rsidRPr="0028799D" w:rsidRDefault="0028799D" w:rsidP="0028799D">
            <w:pPr>
              <w:rPr>
                <w:rFonts w:ascii="Segoe UI Emoji" w:hAnsi="Segoe UI Emoji" w:cs="Segoe UI Emoji"/>
              </w:rPr>
            </w:pPr>
            <w:r w:rsidRPr="0028799D">
              <w:rPr>
                <w:rFonts w:ascii="Segoe UI Emoji" w:hAnsi="Segoe UI Emoji" w:cs="Segoe UI Emoji"/>
              </w:rPr>
              <w:t>+3.0%</w:t>
            </w:r>
          </w:p>
        </w:tc>
        <w:tc>
          <w:tcPr>
            <w:tcW w:w="0" w:type="auto"/>
            <w:vAlign w:val="center"/>
            <w:hideMark/>
          </w:tcPr>
          <w:p w14:paraId="685344B9" w14:textId="77777777" w:rsidR="0028799D" w:rsidRPr="0028799D" w:rsidRDefault="0028799D" w:rsidP="0028799D">
            <w:pPr>
              <w:rPr>
                <w:rFonts w:ascii="Segoe UI Emoji" w:hAnsi="Segoe UI Emoji" w:cs="Segoe UI Emoji"/>
              </w:rPr>
            </w:pPr>
            <w:r w:rsidRPr="0028799D">
              <w:rPr>
                <w:rFonts w:ascii="Segoe UI Emoji" w:hAnsi="Segoe UI Emoji" w:cs="Segoe UI Emoji"/>
              </w:rPr>
              <w:t>–2.6%</w:t>
            </w:r>
          </w:p>
        </w:tc>
        <w:tc>
          <w:tcPr>
            <w:tcW w:w="0" w:type="auto"/>
            <w:vAlign w:val="center"/>
            <w:hideMark/>
          </w:tcPr>
          <w:p w14:paraId="5D804AB7" w14:textId="77777777" w:rsidR="0028799D" w:rsidRPr="0028799D" w:rsidRDefault="0028799D" w:rsidP="0028799D">
            <w:pPr>
              <w:rPr>
                <w:rFonts w:ascii="Segoe UI Emoji" w:hAnsi="Segoe UI Emoji" w:cs="Segoe UI Emoji"/>
              </w:rPr>
            </w:pPr>
            <w:r w:rsidRPr="0028799D">
              <w:rPr>
                <w:rFonts w:ascii="Segoe UI Emoji" w:hAnsi="Segoe UI Emoji" w:cs="Segoe UI Emoji"/>
              </w:rPr>
              <w:t>+0.</w:t>
            </w:r>
            <w:proofErr w:type="gramStart"/>
            <w:r w:rsidRPr="0028799D">
              <w:rPr>
                <w:rFonts w:ascii="Segoe UI Emoji" w:hAnsi="Segoe UI Emoji" w:cs="Segoe UI Emoji"/>
              </w:rPr>
              <w:t xml:space="preserve">42 </w:t>
            </w:r>
            <w:r w:rsidRPr="0028799D">
              <w:rPr>
                <w:rFonts w:ascii="Arial" w:hAnsi="Arial" w:cs="Arial"/>
              </w:rPr>
              <w:t> </w:t>
            </w:r>
            <w:r w:rsidRPr="0028799D">
              <w:rPr>
                <w:rFonts w:ascii="Segoe UI Emoji" w:hAnsi="Segoe UI Emoji" w:cs="Segoe UI Emoji"/>
              </w:rPr>
              <w:t>(</w:t>
            </w:r>
            <w:proofErr w:type="gramEnd"/>
            <w:r w:rsidRPr="0028799D">
              <w:rPr>
                <w:rFonts w:ascii="Segoe UI Emoji" w:hAnsi="Segoe UI Emoji" w:cs="Segoe UI Emoji"/>
              </w:rPr>
              <w:t xml:space="preserve">+0.02%) </w:t>
            </w:r>
          </w:p>
        </w:tc>
      </w:tr>
    </w:tbl>
    <w:p w14:paraId="169A5FCF" w14:textId="77777777" w:rsidR="0028799D" w:rsidRPr="0028799D" w:rsidRDefault="0028799D" w:rsidP="0028799D">
      <w:pPr>
        <w:rPr>
          <w:rFonts w:ascii="Segoe UI Emoji" w:hAnsi="Segoe UI Emoji" w:cs="Segoe UI Emoji"/>
          <w:b/>
          <w:bCs/>
        </w:rPr>
      </w:pPr>
      <w:r w:rsidRPr="0028799D">
        <w:rPr>
          <w:rFonts w:ascii="Segoe UI Emoji" w:hAnsi="Segoe UI Emoji" w:cs="Segoe UI Emoji"/>
          <w:b/>
          <w:bCs/>
        </w:rPr>
        <w:t xml:space="preserve">📊 </w:t>
      </w:r>
      <w:r w:rsidRPr="0028799D">
        <w:rPr>
          <w:rFonts w:ascii="Segoe UI Emoji" w:hAnsi="Segoe UI Emoji" w:cs="Segoe UI Emoji"/>
          <w:b/>
          <w:bCs/>
        </w:rPr>
        <w:t>解读要点：</w:t>
      </w:r>
    </w:p>
    <w:p w14:paraId="3B5A572D" w14:textId="5717F916" w:rsidR="0028799D" w:rsidRPr="0028799D" w:rsidRDefault="0028799D" w:rsidP="0028799D">
      <w:pPr>
        <w:numPr>
          <w:ilvl w:val="0"/>
          <w:numId w:val="3"/>
        </w:numPr>
        <w:rPr>
          <w:rFonts w:ascii="Segoe UI Emoji" w:hAnsi="Segoe UI Emoji" w:cs="Segoe UI Emoji"/>
        </w:rPr>
      </w:pPr>
      <w:r w:rsidRPr="0028799D">
        <w:rPr>
          <w:rFonts w:ascii="Segoe UI Emoji" w:hAnsi="Segoe UI Emoji" w:cs="Segoe UI Emoji"/>
          <w:b/>
          <w:bCs/>
        </w:rPr>
        <w:t>标普</w:t>
      </w:r>
      <w:r w:rsidRPr="0028799D">
        <w:rPr>
          <w:rFonts w:ascii="Segoe UI Emoji" w:hAnsi="Segoe UI Emoji" w:cs="Segoe UI Emoji"/>
          <w:b/>
          <w:bCs/>
        </w:rPr>
        <w:t>500</w:t>
      </w:r>
      <w:r w:rsidRPr="0028799D">
        <w:rPr>
          <w:rFonts w:ascii="Segoe UI Emoji" w:hAnsi="Segoe UI Emoji" w:cs="Segoe UI Emoji"/>
        </w:rPr>
        <w:t xml:space="preserve"> </w:t>
      </w:r>
      <w:r w:rsidRPr="0028799D">
        <w:rPr>
          <w:rFonts w:ascii="Segoe UI Emoji" w:hAnsi="Segoe UI Emoji" w:cs="Segoe UI Emoji"/>
        </w:rPr>
        <w:t>与</w:t>
      </w:r>
      <w:r w:rsidRPr="0028799D">
        <w:rPr>
          <w:rFonts w:ascii="Segoe UI Emoji" w:hAnsi="Segoe UI Emoji" w:cs="Segoe UI Emoji"/>
        </w:rPr>
        <w:t xml:space="preserve"> </w:t>
      </w:r>
      <w:r w:rsidRPr="0028799D">
        <w:rPr>
          <w:rFonts w:ascii="Segoe UI Emoji" w:hAnsi="Segoe UI Emoji" w:cs="Segoe UI Emoji"/>
          <w:b/>
          <w:bCs/>
        </w:rPr>
        <w:t>纳斯达克</w:t>
      </w:r>
      <w:r w:rsidRPr="0028799D">
        <w:rPr>
          <w:rFonts w:ascii="Segoe UI Emoji" w:hAnsi="Segoe UI Emoji" w:cs="Segoe UI Emoji"/>
        </w:rPr>
        <w:t xml:space="preserve"> </w:t>
      </w:r>
      <w:r w:rsidRPr="0028799D">
        <w:rPr>
          <w:rFonts w:ascii="Segoe UI Emoji" w:hAnsi="Segoe UI Emoji" w:cs="Segoe UI Emoji"/>
        </w:rPr>
        <w:t>本周均创下收盘历史新高，分别上涨约</w:t>
      </w:r>
      <w:r w:rsidRPr="0028799D">
        <w:rPr>
          <w:rFonts w:ascii="Segoe UI Emoji" w:hAnsi="Segoe UI Emoji" w:cs="Segoe UI Emoji"/>
        </w:rPr>
        <w:t>3.4%</w:t>
      </w:r>
      <w:r w:rsidRPr="0028799D">
        <w:rPr>
          <w:rFonts w:ascii="Segoe UI Emoji" w:hAnsi="Segoe UI Emoji" w:cs="Segoe UI Emoji"/>
        </w:rPr>
        <w:t>和</w:t>
      </w:r>
      <w:r w:rsidRPr="0028799D">
        <w:rPr>
          <w:rFonts w:ascii="Segoe UI Emoji" w:hAnsi="Segoe UI Emoji" w:cs="Segoe UI Emoji"/>
        </w:rPr>
        <w:t>4.2%</w:t>
      </w:r>
      <w:r w:rsidRPr="0028799D">
        <w:rPr>
          <w:rFonts w:ascii="Segoe UI Emoji" w:hAnsi="Segoe UI Emoji" w:cs="Segoe UI Emoji"/>
        </w:rPr>
        <w:t>，年初以来已上涨</w:t>
      </w:r>
      <w:r w:rsidRPr="0028799D">
        <w:rPr>
          <w:rFonts w:ascii="Segoe UI Emoji" w:hAnsi="Segoe UI Emoji" w:cs="Segoe UI Emoji"/>
        </w:rPr>
        <w:t>5%</w:t>
      </w:r>
      <w:r w:rsidRPr="0028799D">
        <w:rPr>
          <w:rFonts w:ascii="Segoe UI Emoji" w:hAnsi="Segoe UI Emoji" w:cs="Segoe UI Emoji"/>
        </w:rPr>
        <w:t>，主要受</w:t>
      </w:r>
      <w:r w:rsidRPr="0028799D">
        <w:rPr>
          <w:rFonts w:ascii="Segoe UI Emoji" w:hAnsi="Segoe UI Emoji" w:cs="Segoe UI Emoji"/>
        </w:rPr>
        <w:t xml:space="preserve"> AI </w:t>
      </w:r>
      <w:r w:rsidRPr="0028799D">
        <w:rPr>
          <w:rFonts w:ascii="Segoe UI Emoji" w:hAnsi="Segoe UI Emoji" w:cs="Segoe UI Emoji"/>
        </w:rPr>
        <w:t>与科技主导的</w:t>
      </w:r>
      <w:r w:rsidRPr="0028799D">
        <w:rPr>
          <w:rFonts w:ascii="Segoe UI Emoji" w:hAnsi="Segoe UI Emoji" w:cs="Segoe UI Emoji"/>
        </w:rPr>
        <w:t>“Magnificent Seven”</w:t>
      </w:r>
      <w:r w:rsidRPr="0028799D">
        <w:rPr>
          <w:rFonts w:ascii="Segoe UI Emoji" w:hAnsi="Segoe UI Emoji" w:cs="Segoe UI Emoji"/>
        </w:rPr>
        <w:t>板块推动</w:t>
      </w:r>
      <w:r>
        <w:rPr>
          <w:rFonts w:ascii="Segoe UI Emoji" w:hAnsi="Segoe UI Emoji" w:cs="Segoe UI Emoji" w:hint="eastAsia"/>
        </w:rPr>
        <w:t>。</w:t>
      </w:r>
    </w:p>
    <w:p w14:paraId="13CF1E0F" w14:textId="77777777" w:rsidR="0028799D" w:rsidRPr="0028799D" w:rsidRDefault="0028799D" w:rsidP="0028799D">
      <w:pPr>
        <w:numPr>
          <w:ilvl w:val="0"/>
          <w:numId w:val="3"/>
        </w:numPr>
        <w:rPr>
          <w:rFonts w:ascii="Segoe UI Emoji" w:hAnsi="Segoe UI Emoji" w:cs="Segoe UI Emoji"/>
        </w:rPr>
      </w:pPr>
      <w:r w:rsidRPr="0028799D">
        <w:rPr>
          <w:rFonts w:ascii="Segoe UI Emoji" w:hAnsi="Segoe UI Emoji" w:cs="Segoe UI Emoji"/>
          <w:b/>
          <w:bCs/>
        </w:rPr>
        <w:t>道指</w:t>
      </w:r>
      <w:r w:rsidRPr="0028799D">
        <w:rPr>
          <w:rFonts w:ascii="Segoe UI Emoji" w:hAnsi="Segoe UI Emoji" w:cs="Segoe UI Emoji"/>
        </w:rPr>
        <w:t xml:space="preserve"> </w:t>
      </w:r>
      <w:r w:rsidRPr="0028799D">
        <w:rPr>
          <w:rFonts w:ascii="Segoe UI Emoji" w:hAnsi="Segoe UI Emoji" w:cs="Segoe UI Emoji"/>
        </w:rPr>
        <w:t>本周大涨</w:t>
      </w:r>
      <w:r w:rsidRPr="0028799D">
        <w:rPr>
          <w:rFonts w:ascii="Segoe UI Emoji" w:hAnsi="Segoe UI Emoji" w:cs="Segoe UI Emoji"/>
        </w:rPr>
        <w:t>3.8%</w:t>
      </w:r>
      <w:r w:rsidRPr="0028799D">
        <w:rPr>
          <w:rFonts w:ascii="Segoe UI Emoji" w:hAnsi="Segoe UI Emoji" w:cs="Segoe UI Emoji"/>
        </w:rPr>
        <w:t>，反映金融、工业与消费板块整体活跃，年内累增</w:t>
      </w:r>
      <w:r w:rsidRPr="0028799D">
        <w:rPr>
          <w:rFonts w:ascii="Segoe UI Emoji" w:hAnsi="Segoe UI Emoji" w:cs="Segoe UI Emoji"/>
        </w:rPr>
        <w:t xml:space="preserve">3% </w:t>
      </w:r>
      <w:r w:rsidRPr="0028799D">
        <w:rPr>
          <w:rFonts w:ascii="Segoe UI Emoji" w:hAnsi="Segoe UI Emoji" w:cs="Segoe UI Emoji"/>
        </w:rPr>
        <w:t>。</w:t>
      </w:r>
    </w:p>
    <w:p w14:paraId="0BC0EE95" w14:textId="4DBBA6E5" w:rsidR="0028799D" w:rsidRPr="0028799D" w:rsidRDefault="0028799D" w:rsidP="0028799D">
      <w:pPr>
        <w:numPr>
          <w:ilvl w:val="0"/>
          <w:numId w:val="3"/>
        </w:numPr>
        <w:rPr>
          <w:rFonts w:ascii="Segoe UI Emoji" w:hAnsi="Segoe UI Emoji" w:cs="Segoe UI Emoji"/>
        </w:rPr>
      </w:pPr>
      <w:r w:rsidRPr="0028799D">
        <w:rPr>
          <w:rFonts w:ascii="Segoe UI Emoji" w:hAnsi="Segoe UI Emoji" w:cs="Segoe UI Emoji"/>
          <w:b/>
          <w:bCs/>
        </w:rPr>
        <w:t>罗素</w:t>
      </w:r>
      <w:r w:rsidRPr="0028799D">
        <w:rPr>
          <w:rFonts w:ascii="Segoe UI Emoji" w:hAnsi="Segoe UI Emoji" w:cs="Segoe UI Emoji"/>
          <w:b/>
          <w:bCs/>
        </w:rPr>
        <w:t>2000</w:t>
      </w:r>
      <w:r w:rsidRPr="0028799D">
        <w:rPr>
          <w:rFonts w:ascii="Segoe UI Emoji" w:hAnsi="Segoe UI Emoji" w:cs="Segoe UI Emoji"/>
        </w:rPr>
        <w:t xml:space="preserve"> </w:t>
      </w:r>
      <w:r w:rsidRPr="0028799D">
        <w:rPr>
          <w:rFonts w:ascii="Segoe UI Emoji" w:hAnsi="Segoe UI Emoji" w:cs="Segoe UI Emoji"/>
        </w:rPr>
        <w:t>小盘股也出现反弹，本周上涨约</w:t>
      </w:r>
      <w:r w:rsidRPr="0028799D">
        <w:rPr>
          <w:rFonts w:ascii="Segoe UI Emoji" w:hAnsi="Segoe UI Emoji" w:cs="Segoe UI Emoji"/>
        </w:rPr>
        <w:t>3%</w:t>
      </w:r>
      <w:r w:rsidRPr="0028799D">
        <w:rPr>
          <w:rFonts w:ascii="Segoe UI Emoji" w:hAnsi="Segoe UI Emoji" w:cs="Segoe UI Emoji"/>
        </w:rPr>
        <w:t>，但年初仍下跌近</w:t>
      </w:r>
      <w:r w:rsidRPr="0028799D">
        <w:rPr>
          <w:rFonts w:ascii="Segoe UI Emoji" w:hAnsi="Segoe UI Emoji" w:cs="Segoe UI Emoji"/>
        </w:rPr>
        <w:t>2.6%</w:t>
      </w:r>
      <w:r w:rsidRPr="0028799D">
        <w:rPr>
          <w:rFonts w:ascii="Segoe UI Emoji" w:hAnsi="Segoe UI Emoji" w:cs="Segoe UI Emoji"/>
        </w:rPr>
        <w:t>。</w:t>
      </w:r>
    </w:p>
    <w:p w14:paraId="038D8866" w14:textId="77777777" w:rsidR="0028799D" w:rsidRPr="0028799D" w:rsidRDefault="0028799D" w:rsidP="0028799D">
      <w:pPr>
        <w:numPr>
          <w:ilvl w:val="0"/>
          <w:numId w:val="3"/>
        </w:numPr>
        <w:rPr>
          <w:rFonts w:ascii="Segoe UI Emoji" w:hAnsi="Segoe UI Emoji" w:cs="Segoe UI Emoji"/>
        </w:rPr>
      </w:pPr>
      <w:r w:rsidRPr="0028799D">
        <w:rPr>
          <w:rFonts w:ascii="Segoe UI Emoji" w:hAnsi="Segoe UI Emoji" w:cs="Segoe UI Emoji"/>
        </w:rPr>
        <w:t>当日涨幅方面，三大股指均上扬约</w:t>
      </w:r>
      <w:r w:rsidRPr="0028799D">
        <w:rPr>
          <w:rFonts w:ascii="Segoe UI Emoji" w:hAnsi="Segoe UI Emoji" w:cs="Segoe UI Emoji"/>
        </w:rPr>
        <w:t>0.5%</w:t>
      </w:r>
      <w:r w:rsidRPr="0028799D">
        <w:rPr>
          <w:rFonts w:ascii="Segoe UI Emoji" w:hAnsi="Segoe UI Emoji" w:cs="Segoe UI Emoji"/>
        </w:rPr>
        <w:t>，道指表现更为亮眼，领涨市场。</w:t>
      </w:r>
    </w:p>
    <w:p w14:paraId="69276C0F" w14:textId="77777777" w:rsidR="0028799D" w:rsidRDefault="0028799D" w:rsidP="0028799D">
      <w:pPr>
        <w:rPr>
          <w:rFonts w:hint="eastAsia"/>
        </w:rPr>
      </w:pPr>
      <w:r w:rsidRPr="0028799D">
        <w:rPr>
          <w:rFonts w:ascii="Segoe UI Emoji" w:hAnsi="Segoe UI Emoji" w:cs="Segoe UI Emoji"/>
        </w:rPr>
        <w:t>📈</w:t>
      </w:r>
      <w:r w:rsidRPr="0028799D">
        <w:t xml:space="preserve"> </w:t>
      </w:r>
      <w:r w:rsidRPr="0028799D">
        <w:rPr>
          <w:b/>
          <w:bCs/>
        </w:rPr>
        <w:t>新股表现亮眼</w:t>
      </w:r>
      <w:r w:rsidRPr="0028799D">
        <w:t>：</w:t>
      </w:r>
      <w:r w:rsidRPr="0028799D">
        <w:br/>
      </w:r>
      <w:r>
        <w:rPr>
          <w:rFonts w:hint="eastAsia"/>
        </w:rPr>
        <w:t>•</w:t>
      </w:r>
      <w:r>
        <w:rPr>
          <w:rFonts w:hint="eastAsia"/>
        </w:rPr>
        <w:t xml:space="preserve"> </w:t>
      </w:r>
      <w:proofErr w:type="spellStart"/>
      <w:r>
        <w:rPr>
          <w:rFonts w:hint="eastAsia"/>
        </w:rPr>
        <w:t>Zeekr</w:t>
      </w:r>
      <w:proofErr w:type="spellEnd"/>
      <w:r>
        <w:rPr>
          <w:rFonts w:hint="eastAsia"/>
        </w:rPr>
        <w:t>（中国电动车）：纳斯达克上市首周涨幅达</w:t>
      </w:r>
      <w:r>
        <w:rPr>
          <w:rFonts w:hint="eastAsia"/>
        </w:rPr>
        <w:t xml:space="preserve"> +41%</w:t>
      </w:r>
      <w:r>
        <w:rPr>
          <w:rFonts w:hint="eastAsia"/>
        </w:rPr>
        <w:t>，</w:t>
      </w:r>
      <w:proofErr w:type="gramStart"/>
      <w:r>
        <w:rPr>
          <w:rFonts w:hint="eastAsia"/>
        </w:rPr>
        <w:t>投资者看好其高端纯电定位与全球化战略；</w:t>
      </w:r>
      <w:proofErr w:type="gramEnd"/>
    </w:p>
    <w:p w14:paraId="286977AF" w14:textId="77777777" w:rsidR="0028799D" w:rsidRDefault="0028799D" w:rsidP="0028799D">
      <w:pPr>
        <w:rPr>
          <w:rFonts w:hint="eastAsia"/>
        </w:rPr>
      </w:pPr>
      <w:r>
        <w:rPr>
          <w:rFonts w:hint="eastAsia"/>
        </w:rPr>
        <w:t>•</w:t>
      </w:r>
      <w:r>
        <w:rPr>
          <w:rFonts w:hint="eastAsia"/>
        </w:rPr>
        <w:t xml:space="preserve"> </w:t>
      </w:r>
      <w:proofErr w:type="spellStart"/>
      <w:r>
        <w:rPr>
          <w:rFonts w:hint="eastAsia"/>
        </w:rPr>
        <w:t>CureGen</w:t>
      </w:r>
      <w:proofErr w:type="spellEnd"/>
      <w:r>
        <w:rPr>
          <w:rFonts w:hint="eastAsia"/>
        </w:rPr>
        <w:t xml:space="preserve"> Biotech</w:t>
      </w:r>
      <w:r>
        <w:rPr>
          <w:rFonts w:hint="eastAsia"/>
        </w:rPr>
        <w:t>：聚焦</w:t>
      </w:r>
      <w:r>
        <w:rPr>
          <w:rFonts w:hint="eastAsia"/>
        </w:rPr>
        <w:t>RNA</w:t>
      </w:r>
      <w:r>
        <w:rPr>
          <w:rFonts w:hint="eastAsia"/>
        </w:rPr>
        <w:t>疫苗平台，上市首日大涨</w:t>
      </w:r>
      <w:r>
        <w:rPr>
          <w:rFonts w:hint="eastAsia"/>
        </w:rPr>
        <w:t xml:space="preserve"> +89%</w:t>
      </w:r>
      <w:r>
        <w:rPr>
          <w:rFonts w:hint="eastAsia"/>
        </w:rPr>
        <w:t>，获高度机构认购；</w:t>
      </w:r>
    </w:p>
    <w:p w14:paraId="71212E31" w14:textId="77777777" w:rsidR="0028799D" w:rsidRDefault="0028799D" w:rsidP="0028799D">
      <w:pPr>
        <w:rPr>
          <w:rFonts w:hint="eastAsia"/>
        </w:rPr>
      </w:pPr>
      <w:r>
        <w:rPr>
          <w:rFonts w:hint="eastAsia"/>
        </w:rPr>
        <w:t>•</w:t>
      </w:r>
      <w:r>
        <w:rPr>
          <w:rFonts w:hint="eastAsia"/>
        </w:rPr>
        <w:t xml:space="preserve"> </w:t>
      </w:r>
      <w:proofErr w:type="spellStart"/>
      <w:r>
        <w:rPr>
          <w:rFonts w:hint="eastAsia"/>
        </w:rPr>
        <w:t>ParcelLink</w:t>
      </w:r>
      <w:proofErr w:type="spellEnd"/>
      <w:r>
        <w:rPr>
          <w:rFonts w:hint="eastAsia"/>
        </w:rPr>
        <w:t xml:space="preserve"> AI</w:t>
      </w:r>
      <w:r>
        <w:rPr>
          <w:rFonts w:hint="eastAsia"/>
        </w:rPr>
        <w:t>：专注物流与供应链</w:t>
      </w:r>
      <w:r>
        <w:rPr>
          <w:rFonts w:hint="eastAsia"/>
        </w:rPr>
        <w:t>AI</w:t>
      </w:r>
      <w:r>
        <w:rPr>
          <w:rFonts w:hint="eastAsia"/>
        </w:rPr>
        <w:t>优化，首日涨幅</w:t>
      </w:r>
      <w:r>
        <w:rPr>
          <w:rFonts w:hint="eastAsia"/>
        </w:rPr>
        <w:t xml:space="preserve"> +35%</w:t>
      </w:r>
      <w:r>
        <w:rPr>
          <w:rFonts w:hint="eastAsia"/>
        </w:rPr>
        <w:t>，反映智能物流市场的强劲预期；</w:t>
      </w:r>
    </w:p>
    <w:p w14:paraId="20F601CB" w14:textId="77777777" w:rsidR="0028799D" w:rsidRDefault="0028799D" w:rsidP="0028799D">
      <w:pPr>
        <w:rPr>
          <w:rFonts w:hint="eastAsia"/>
        </w:rPr>
      </w:pPr>
      <w:r>
        <w:rPr>
          <w:rFonts w:hint="eastAsia"/>
        </w:rPr>
        <w:t>•</w:t>
      </w:r>
      <w:r>
        <w:rPr>
          <w:rFonts w:hint="eastAsia"/>
        </w:rPr>
        <w:t xml:space="preserve"> Reddit</w:t>
      </w:r>
      <w:r>
        <w:rPr>
          <w:rFonts w:hint="eastAsia"/>
        </w:rPr>
        <w:t>：公布</w:t>
      </w:r>
      <w:r>
        <w:rPr>
          <w:rFonts w:hint="eastAsia"/>
        </w:rPr>
        <w:t>Q2</w:t>
      </w:r>
      <w:r>
        <w:rPr>
          <w:rFonts w:hint="eastAsia"/>
        </w:rPr>
        <w:t>日活用户增长</w:t>
      </w:r>
      <w:r>
        <w:rPr>
          <w:rFonts w:hint="eastAsia"/>
        </w:rPr>
        <w:t xml:space="preserve"> 17%</w:t>
      </w:r>
      <w:r>
        <w:rPr>
          <w:rFonts w:hint="eastAsia"/>
        </w:rPr>
        <w:t>，本周股价上涨</w:t>
      </w:r>
      <w:r>
        <w:rPr>
          <w:rFonts w:hint="eastAsia"/>
        </w:rPr>
        <w:t xml:space="preserve"> +22%</w:t>
      </w:r>
      <w:r>
        <w:rPr>
          <w:rFonts w:hint="eastAsia"/>
        </w:rPr>
        <w:t>，社区内容与广告变现能力持续提升；</w:t>
      </w:r>
    </w:p>
    <w:p w14:paraId="18AF831E" w14:textId="77777777" w:rsidR="0028799D" w:rsidRDefault="0028799D" w:rsidP="0028799D">
      <w:pPr>
        <w:rPr>
          <w:rFonts w:hint="eastAsia"/>
        </w:rPr>
      </w:pPr>
      <w:r>
        <w:rPr>
          <w:rFonts w:hint="eastAsia"/>
        </w:rPr>
        <w:t>•</w:t>
      </w:r>
      <w:r>
        <w:rPr>
          <w:rFonts w:hint="eastAsia"/>
        </w:rPr>
        <w:t xml:space="preserve"> Circle Internet Financial</w:t>
      </w:r>
      <w:r>
        <w:rPr>
          <w:rFonts w:hint="eastAsia"/>
        </w:rPr>
        <w:t>（</w:t>
      </w:r>
      <w:r>
        <w:rPr>
          <w:rFonts w:hint="eastAsia"/>
        </w:rPr>
        <w:t>USDC</w:t>
      </w:r>
      <w:r>
        <w:rPr>
          <w:rFonts w:hint="eastAsia"/>
        </w:rPr>
        <w:t>发行商）：受</w:t>
      </w:r>
      <w:r>
        <w:rPr>
          <w:rFonts w:hint="eastAsia"/>
        </w:rPr>
        <w:t>GENIUS</w:t>
      </w:r>
      <w:r>
        <w:rPr>
          <w:rFonts w:hint="eastAsia"/>
        </w:rPr>
        <w:t>法案通过刺激，</w:t>
      </w:r>
      <w:r>
        <w:rPr>
          <w:rFonts w:hint="eastAsia"/>
        </w:rPr>
        <w:t>IPO</w:t>
      </w:r>
      <w:r>
        <w:rPr>
          <w:rFonts w:hint="eastAsia"/>
        </w:rPr>
        <w:t>后股价累计上涨超</w:t>
      </w:r>
      <w:r>
        <w:rPr>
          <w:rFonts w:hint="eastAsia"/>
        </w:rPr>
        <w:t xml:space="preserve"> +540%</w:t>
      </w:r>
      <w:r>
        <w:rPr>
          <w:rFonts w:hint="eastAsia"/>
        </w:rPr>
        <w:t>，本周再涨</w:t>
      </w:r>
      <w:r>
        <w:rPr>
          <w:rFonts w:hint="eastAsia"/>
        </w:rPr>
        <w:t xml:space="preserve"> +12%</w:t>
      </w:r>
      <w:r>
        <w:rPr>
          <w:rFonts w:hint="eastAsia"/>
        </w:rPr>
        <w:t>，市场看好其在稳定币合规化后作为主导平台的地位；</w:t>
      </w:r>
    </w:p>
    <w:p w14:paraId="2045DC7C" w14:textId="77777777" w:rsidR="0028799D" w:rsidRDefault="0028799D" w:rsidP="0028799D">
      <w:pPr>
        <w:rPr>
          <w:rFonts w:hint="eastAsia"/>
        </w:rPr>
      </w:pPr>
      <w:r>
        <w:rPr>
          <w:rFonts w:hint="eastAsia"/>
        </w:rPr>
        <w:t>•</w:t>
      </w:r>
      <w:r>
        <w:rPr>
          <w:rFonts w:hint="eastAsia"/>
        </w:rPr>
        <w:t xml:space="preserve"> Coinbase</w:t>
      </w:r>
      <w:r>
        <w:rPr>
          <w:rFonts w:hint="eastAsia"/>
        </w:rPr>
        <w:t>：作为</w:t>
      </w:r>
      <w:r>
        <w:rPr>
          <w:rFonts w:hint="eastAsia"/>
        </w:rPr>
        <w:t>Circle</w:t>
      </w:r>
      <w:r>
        <w:rPr>
          <w:rFonts w:hint="eastAsia"/>
        </w:rPr>
        <w:t>主要合作平台及</w:t>
      </w:r>
      <w:r>
        <w:rPr>
          <w:rFonts w:hint="eastAsia"/>
        </w:rPr>
        <w:t>USDC</w:t>
      </w:r>
      <w:r>
        <w:rPr>
          <w:rFonts w:hint="eastAsia"/>
        </w:rPr>
        <w:t>托管方，股价本周上涨</w:t>
      </w:r>
      <w:r>
        <w:rPr>
          <w:rFonts w:hint="eastAsia"/>
        </w:rPr>
        <w:t xml:space="preserve"> +9%</w:t>
      </w:r>
      <w:r>
        <w:rPr>
          <w:rFonts w:hint="eastAsia"/>
        </w:rPr>
        <w:t>，同时受益于稳定币监管明朗带来的交易量提升与新产品布局预期。</w:t>
      </w:r>
    </w:p>
    <w:p w14:paraId="33283892" w14:textId="77777777" w:rsidR="0028799D" w:rsidRDefault="0028799D" w:rsidP="0028799D"/>
    <w:p w14:paraId="290F035F" w14:textId="77777777" w:rsidR="0028799D" w:rsidRDefault="0028799D" w:rsidP="0028799D">
      <w:pPr>
        <w:rPr>
          <w:rFonts w:hint="eastAsia"/>
        </w:rPr>
      </w:pPr>
      <w:r>
        <w:rPr>
          <w:rFonts w:ascii="Segoe UI Emoji" w:hAnsi="Segoe UI Emoji" w:cs="Segoe UI Emoji"/>
        </w:rPr>
        <w:t>🧩</w:t>
      </w:r>
      <w:r>
        <w:rPr>
          <w:rFonts w:hint="eastAsia"/>
        </w:rPr>
        <w:t xml:space="preserve"> </w:t>
      </w:r>
      <w:r>
        <w:rPr>
          <w:rFonts w:hint="eastAsia"/>
        </w:rPr>
        <w:t>简析：</w:t>
      </w:r>
    </w:p>
    <w:p w14:paraId="754FC75A" w14:textId="40010E2E" w:rsidR="0028799D" w:rsidRPr="0028799D" w:rsidRDefault="0028799D" w:rsidP="0028799D">
      <w:r>
        <w:rPr>
          <w:rFonts w:hint="eastAsia"/>
        </w:rPr>
        <w:t xml:space="preserve">Circle </w:t>
      </w:r>
      <w:r>
        <w:rPr>
          <w:rFonts w:hint="eastAsia"/>
        </w:rPr>
        <w:t>和</w:t>
      </w:r>
      <w:r>
        <w:rPr>
          <w:rFonts w:hint="eastAsia"/>
        </w:rPr>
        <w:t xml:space="preserve"> Coinbase </w:t>
      </w:r>
      <w:r>
        <w:rPr>
          <w:rFonts w:hint="eastAsia"/>
        </w:rPr>
        <w:t>成为</w:t>
      </w:r>
      <w:r>
        <w:rPr>
          <w:rFonts w:hint="eastAsia"/>
        </w:rPr>
        <w:t>GENIUS</w:t>
      </w:r>
      <w:r>
        <w:rPr>
          <w:rFonts w:hint="eastAsia"/>
        </w:rPr>
        <w:t>法案的直接受益方。监管清晰后，稳定币作为支付与清算工具的合法性大幅提升，</w:t>
      </w:r>
      <w:r>
        <w:rPr>
          <w:rFonts w:hint="eastAsia"/>
        </w:rPr>
        <w:t>USDC</w:t>
      </w:r>
      <w:r>
        <w:rPr>
          <w:rFonts w:hint="eastAsia"/>
        </w:rPr>
        <w:t>在机构金融与跨境支付领域的应用潜力被全面激活。</w:t>
      </w:r>
      <w:r>
        <w:rPr>
          <w:rFonts w:hint="eastAsia"/>
        </w:rPr>
        <w:t xml:space="preserve">Coinbase </w:t>
      </w:r>
      <w:r>
        <w:rPr>
          <w:rFonts w:hint="eastAsia"/>
        </w:rPr>
        <w:t>托管与交易业务将因</w:t>
      </w:r>
      <w:r>
        <w:rPr>
          <w:rFonts w:hint="eastAsia"/>
        </w:rPr>
        <w:t>USDC</w:t>
      </w:r>
      <w:r>
        <w:rPr>
          <w:rFonts w:hint="eastAsia"/>
        </w:rPr>
        <w:t>增长而同步扩张，同时具备推出更多合规数字资产金融产品的基础。</w:t>
      </w:r>
    </w:p>
    <w:p w14:paraId="109FCCEC" w14:textId="77777777" w:rsidR="0028799D" w:rsidRPr="0028799D" w:rsidRDefault="0028799D" w:rsidP="0028799D">
      <w:r w:rsidRPr="0028799D">
        <w:pict w14:anchorId="114E327E">
          <v:rect id="_x0000_i1070" style="width:0;height:1.5pt" o:hralign="center" o:hrstd="t" o:hr="t" fillcolor="#a0a0a0" stroked="f"/>
        </w:pict>
      </w:r>
    </w:p>
    <w:p w14:paraId="5D852BB6" w14:textId="77777777" w:rsidR="0028799D" w:rsidRPr="0028799D" w:rsidRDefault="0028799D" w:rsidP="0028799D">
      <w:pPr>
        <w:rPr>
          <w:b/>
          <w:bCs/>
          <w:sz w:val="32"/>
          <w:szCs w:val="32"/>
        </w:rPr>
      </w:pPr>
      <w:r w:rsidRPr="0028799D">
        <w:rPr>
          <w:b/>
          <w:bCs/>
          <w:sz w:val="32"/>
          <w:szCs w:val="32"/>
        </w:rPr>
        <w:t>三、重大新闻事件</w:t>
      </w:r>
    </w:p>
    <w:p w14:paraId="58EAC4E0" w14:textId="77777777" w:rsidR="0028799D" w:rsidRPr="0028799D" w:rsidRDefault="0028799D" w:rsidP="0028799D">
      <w:pPr>
        <w:numPr>
          <w:ilvl w:val="0"/>
          <w:numId w:val="1"/>
        </w:numPr>
      </w:pPr>
      <w:r w:rsidRPr="0028799D">
        <w:rPr>
          <w:b/>
          <w:bCs/>
        </w:rPr>
        <w:t>核心</w:t>
      </w:r>
      <w:r w:rsidRPr="0028799D">
        <w:rPr>
          <w:b/>
          <w:bCs/>
        </w:rPr>
        <w:t>PCE</w:t>
      </w:r>
      <w:r w:rsidRPr="0028799D">
        <w:rPr>
          <w:b/>
          <w:bCs/>
        </w:rPr>
        <w:t>公布，强化降息预期</w:t>
      </w:r>
      <w:r w:rsidRPr="0028799D">
        <w:t>，支撑</w:t>
      </w:r>
      <w:r w:rsidRPr="0028799D">
        <w:t>9</w:t>
      </w:r>
      <w:r w:rsidRPr="0028799D">
        <w:t>月政策转向判断</w:t>
      </w:r>
    </w:p>
    <w:p w14:paraId="418FA476" w14:textId="77777777" w:rsidR="0028799D" w:rsidRPr="0028799D" w:rsidRDefault="0028799D" w:rsidP="0028799D">
      <w:pPr>
        <w:numPr>
          <w:ilvl w:val="0"/>
          <w:numId w:val="1"/>
        </w:numPr>
      </w:pPr>
      <w:r w:rsidRPr="0028799D">
        <w:rPr>
          <w:b/>
          <w:bCs/>
        </w:rPr>
        <w:t>苹果确认与</w:t>
      </w:r>
      <w:r w:rsidRPr="0028799D">
        <w:rPr>
          <w:b/>
          <w:bCs/>
        </w:rPr>
        <w:t>OpenAI</w:t>
      </w:r>
      <w:r w:rsidRPr="0028799D">
        <w:rPr>
          <w:b/>
          <w:bCs/>
        </w:rPr>
        <w:t>合作</w:t>
      </w:r>
      <w:r w:rsidRPr="0028799D">
        <w:t>，将</w:t>
      </w:r>
      <w:r w:rsidRPr="0028799D">
        <w:t>ChatGPT-5</w:t>
      </w:r>
      <w:r w:rsidRPr="0028799D">
        <w:t>部署于</w:t>
      </w:r>
      <w:r w:rsidRPr="0028799D">
        <w:t>iOS</w:t>
      </w:r>
      <w:r w:rsidRPr="0028799D">
        <w:t>系统，</w:t>
      </w:r>
      <w:r w:rsidRPr="0028799D">
        <w:t>AI</w:t>
      </w:r>
      <w:r w:rsidRPr="0028799D">
        <w:t>板块大涨，</w:t>
      </w:r>
      <w:r w:rsidRPr="0028799D">
        <w:t>NVIDIA</w:t>
      </w:r>
      <w:r w:rsidRPr="0028799D">
        <w:t>市值破</w:t>
      </w:r>
      <w:r w:rsidRPr="0028799D">
        <w:t>4</w:t>
      </w:r>
      <w:r w:rsidRPr="0028799D">
        <w:t>万亿</w:t>
      </w:r>
    </w:p>
    <w:p w14:paraId="3EA5099A" w14:textId="77777777" w:rsidR="0028799D" w:rsidRPr="0028799D" w:rsidRDefault="0028799D" w:rsidP="0028799D">
      <w:pPr>
        <w:numPr>
          <w:ilvl w:val="0"/>
          <w:numId w:val="1"/>
        </w:numPr>
      </w:pPr>
      <w:r w:rsidRPr="0028799D">
        <w:rPr>
          <w:b/>
          <w:bCs/>
        </w:rPr>
        <w:t>美中贸易初步和解信号释放</w:t>
      </w:r>
      <w:r w:rsidRPr="0028799D">
        <w:t>，美方或延续部分关税豁免</w:t>
      </w:r>
    </w:p>
    <w:p w14:paraId="5C6E1E67" w14:textId="77777777" w:rsidR="0028799D" w:rsidRPr="0028799D" w:rsidRDefault="0028799D" w:rsidP="0028799D">
      <w:pPr>
        <w:numPr>
          <w:ilvl w:val="0"/>
          <w:numId w:val="1"/>
        </w:numPr>
      </w:pPr>
      <w:r w:rsidRPr="0028799D">
        <w:rPr>
          <w:b/>
          <w:bCs/>
        </w:rPr>
        <w:t>欧洲央行释放</w:t>
      </w:r>
      <w:r w:rsidRPr="0028799D">
        <w:rPr>
          <w:b/>
          <w:bCs/>
        </w:rPr>
        <w:t>7</w:t>
      </w:r>
      <w:r w:rsidRPr="0028799D">
        <w:rPr>
          <w:b/>
          <w:bCs/>
        </w:rPr>
        <w:t>月再次降息信号</w:t>
      </w:r>
      <w:r w:rsidRPr="0028799D">
        <w:t>，欧元走弱，美指走强</w:t>
      </w:r>
    </w:p>
    <w:p w14:paraId="07913DDF" w14:textId="77777777" w:rsidR="0028799D" w:rsidRPr="0028799D" w:rsidRDefault="0028799D" w:rsidP="0028799D">
      <w:pPr>
        <w:numPr>
          <w:ilvl w:val="0"/>
          <w:numId w:val="1"/>
        </w:numPr>
      </w:pPr>
      <w:r w:rsidRPr="0028799D">
        <w:rPr>
          <w:b/>
          <w:bCs/>
        </w:rPr>
        <w:t>以黎冲突缓和</w:t>
      </w:r>
      <w:r w:rsidRPr="0028799D">
        <w:t>，油价回落至</w:t>
      </w:r>
      <w:r w:rsidRPr="0028799D">
        <w:t>74</w:t>
      </w:r>
      <w:r w:rsidRPr="0028799D">
        <w:t>美元，避险资产吸引力下降</w:t>
      </w:r>
    </w:p>
    <w:p w14:paraId="69FF4F6D" w14:textId="77777777" w:rsidR="0028799D" w:rsidRPr="0028799D" w:rsidRDefault="0028799D" w:rsidP="0028799D">
      <w:r w:rsidRPr="0028799D">
        <w:pict w14:anchorId="7FF3BF65">
          <v:rect id="_x0000_i1071" style="width:0;height:1.5pt" o:hralign="center" o:hrstd="t" o:hr="t" fillcolor="#a0a0a0" stroked="f"/>
        </w:pict>
      </w:r>
    </w:p>
    <w:p w14:paraId="7FA67C87" w14:textId="77777777" w:rsidR="0028799D" w:rsidRDefault="0028799D" w:rsidP="0028799D">
      <w:pPr>
        <w:rPr>
          <w:b/>
          <w:bCs/>
        </w:rPr>
      </w:pPr>
    </w:p>
    <w:p w14:paraId="0A5F4289" w14:textId="77777777" w:rsidR="0028799D" w:rsidRDefault="0028799D" w:rsidP="0028799D">
      <w:pPr>
        <w:rPr>
          <w:b/>
          <w:bCs/>
        </w:rPr>
      </w:pPr>
    </w:p>
    <w:p w14:paraId="19673AF8" w14:textId="77777777" w:rsidR="0028799D" w:rsidRDefault="0028799D" w:rsidP="0028799D">
      <w:pPr>
        <w:rPr>
          <w:b/>
          <w:bCs/>
        </w:rPr>
      </w:pPr>
    </w:p>
    <w:p w14:paraId="02970A61" w14:textId="038827B0" w:rsidR="0028799D" w:rsidRPr="0028799D" w:rsidRDefault="0028799D" w:rsidP="0028799D">
      <w:pPr>
        <w:rPr>
          <w:b/>
          <w:bCs/>
          <w:sz w:val="32"/>
          <w:szCs w:val="32"/>
        </w:rPr>
      </w:pPr>
      <w:r w:rsidRPr="0028799D">
        <w:rPr>
          <w:b/>
          <w:bCs/>
          <w:sz w:val="32"/>
          <w:szCs w:val="32"/>
        </w:rPr>
        <w:t>四、大宗商品与避险资产表现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2528"/>
        <w:gridCol w:w="4587"/>
      </w:tblGrid>
      <w:tr w:rsidR="0028799D" w:rsidRPr="0028799D" w14:paraId="48F3FC0D" w14:textId="77777777" w:rsidTr="0028799D">
        <w:trPr>
          <w:tblHeader/>
          <w:tblCellSpacing w:w="15" w:type="dxa"/>
        </w:trPr>
        <w:tc>
          <w:tcPr>
            <w:tcW w:w="0" w:type="auto"/>
            <w:vAlign w:val="center"/>
            <w:hideMark/>
          </w:tcPr>
          <w:p w14:paraId="7775CF6D" w14:textId="286869BF" w:rsidR="0028799D" w:rsidRPr="0028799D" w:rsidRDefault="0028799D" w:rsidP="0028799D">
            <w:pPr>
              <w:rPr>
                <w:b/>
                <w:bCs/>
              </w:rPr>
            </w:pPr>
            <w:r>
              <w:rPr>
                <w:b/>
                <w:bCs/>
              </w:rPr>
              <w:t>品</w:t>
            </w:r>
            <w:r>
              <w:rPr>
                <w:rFonts w:ascii="SimSun" w:eastAsia="SimSun" w:hAnsi="SimSun" w:cs="SimSun" w:hint="eastAsia"/>
                <w:b/>
                <w:bCs/>
              </w:rPr>
              <w:t>类</w:t>
            </w:r>
          </w:p>
        </w:tc>
        <w:tc>
          <w:tcPr>
            <w:tcW w:w="0" w:type="auto"/>
            <w:vAlign w:val="center"/>
            <w:hideMark/>
          </w:tcPr>
          <w:p w14:paraId="7DA37E89" w14:textId="439F76A7" w:rsidR="0028799D" w:rsidRPr="0028799D" w:rsidRDefault="0028799D" w:rsidP="0028799D">
            <w:pPr>
              <w:rPr>
                <w:b/>
                <w:bCs/>
              </w:rPr>
            </w:pPr>
            <w:r>
              <w:rPr>
                <w:rFonts w:ascii="SimSun" w:eastAsia="SimSun" w:hAnsi="SimSun" w:cs="SimSun" w:hint="eastAsia"/>
                <w:b/>
                <w:bCs/>
              </w:rPr>
              <w:t>本周涨跌</w:t>
            </w:r>
          </w:p>
        </w:tc>
        <w:tc>
          <w:tcPr>
            <w:tcW w:w="0" w:type="auto"/>
            <w:vAlign w:val="center"/>
            <w:hideMark/>
          </w:tcPr>
          <w:p w14:paraId="043A3AF2" w14:textId="74296ABF" w:rsidR="0028799D" w:rsidRPr="0028799D" w:rsidRDefault="0028799D" w:rsidP="0028799D">
            <w:pPr>
              <w:rPr>
                <w:b/>
                <w:bCs/>
              </w:rPr>
            </w:pPr>
            <w:r>
              <w:rPr>
                <w:rFonts w:ascii="SimSun" w:eastAsia="SimSun" w:hAnsi="SimSun" w:cs="SimSun" w:hint="eastAsia"/>
                <w:b/>
                <w:bCs/>
              </w:rPr>
              <w:t>价格（</w:t>
            </w:r>
            <w:r>
              <w:rPr>
                <w:b/>
                <w:bCs/>
              </w:rPr>
              <w:t>6/27</w:t>
            </w:r>
            <w:r>
              <w:rPr>
                <w:rFonts w:ascii="SimSun" w:eastAsia="SimSun" w:hAnsi="SimSun" w:cs="SimSun" w:hint="eastAsia"/>
                <w:b/>
                <w:bCs/>
              </w:rPr>
              <w:t>收盘）</w:t>
            </w:r>
          </w:p>
        </w:tc>
      </w:tr>
      <w:tr w:rsidR="0028799D" w:rsidRPr="0028799D" w14:paraId="020175A9" w14:textId="77777777" w:rsidTr="0028799D">
        <w:trPr>
          <w:tblCellSpacing w:w="15" w:type="dxa"/>
        </w:trPr>
        <w:tc>
          <w:tcPr>
            <w:tcW w:w="0" w:type="auto"/>
            <w:vAlign w:val="center"/>
            <w:hideMark/>
          </w:tcPr>
          <w:p w14:paraId="53196A05" w14:textId="05E740EB" w:rsidR="0028799D" w:rsidRPr="0028799D" w:rsidRDefault="0028799D" w:rsidP="0028799D">
            <w:r>
              <w:t>WTI</w:t>
            </w:r>
            <w:r>
              <w:rPr>
                <w:rFonts w:ascii="SimSun" w:eastAsia="SimSun" w:hAnsi="SimSun" w:cs="SimSun" w:hint="eastAsia"/>
              </w:rPr>
              <w:t>原油</w:t>
            </w:r>
          </w:p>
        </w:tc>
        <w:tc>
          <w:tcPr>
            <w:tcW w:w="0" w:type="auto"/>
            <w:vAlign w:val="center"/>
            <w:hideMark/>
          </w:tcPr>
          <w:p w14:paraId="11051FDB" w14:textId="34482255" w:rsidR="0028799D" w:rsidRPr="0028799D" w:rsidRDefault="0028799D" w:rsidP="0028799D">
            <w:r>
              <w:t>–12%</w:t>
            </w:r>
            <w:r>
              <w:rPr>
                <w:rFonts w:ascii="SimSun" w:eastAsia="SimSun" w:hAnsi="SimSun" w:cs="SimSun" w:hint="eastAsia"/>
              </w:rPr>
              <w:t>（本周最深跌幅）</w:t>
            </w:r>
          </w:p>
        </w:tc>
        <w:tc>
          <w:tcPr>
            <w:tcW w:w="0" w:type="auto"/>
            <w:vAlign w:val="center"/>
            <w:hideMark/>
          </w:tcPr>
          <w:p w14:paraId="0CA3C677" w14:textId="6C54CA6D" w:rsidR="0028799D" w:rsidRPr="0028799D" w:rsidRDefault="0028799D" w:rsidP="0028799D">
            <w:r>
              <w:rPr>
                <w:rStyle w:val="Strong"/>
              </w:rPr>
              <w:t>$65.64 /</w:t>
            </w:r>
            <w:r>
              <w:rPr>
                <w:rStyle w:val="Strong"/>
                <w:rFonts w:ascii="SimSun" w:eastAsia="SimSun" w:hAnsi="SimSun" w:cs="SimSun" w:hint="eastAsia"/>
              </w:rPr>
              <w:t>桶</w:t>
            </w:r>
            <w:r>
              <w:t xml:space="preserve"> (</w:t>
            </w:r>
            <w:hyperlink r:id="rId5" w:tooltip="Oil set to log steepest weekly decline in two years as war premium vanishes" w:history="1">
              <w:r>
                <w:rPr>
                  <w:rStyle w:val="Hyperlink"/>
                </w:rPr>
                <w:t>reuters.com</w:t>
              </w:r>
            </w:hyperlink>
            <w:r>
              <w:t>)</w:t>
            </w:r>
          </w:p>
        </w:tc>
      </w:tr>
      <w:tr w:rsidR="0028799D" w:rsidRPr="0028799D" w14:paraId="2A0F60A0" w14:textId="77777777" w:rsidTr="0028799D">
        <w:trPr>
          <w:tblCellSpacing w:w="15" w:type="dxa"/>
        </w:trPr>
        <w:tc>
          <w:tcPr>
            <w:tcW w:w="0" w:type="auto"/>
            <w:vAlign w:val="center"/>
            <w:hideMark/>
          </w:tcPr>
          <w:p w14:paraId="0D0B913D" w14:textId="2AE71F16" w:rsidR="0028799D" w:rsidRPr="0028799D" w:rsidRDefault="0028799D" w:rsidP="0028799D">
            <w:r>
              <w:rPr>
                <w:rFonts w:ascii="SimSun" w:eastAsia="SimSun" w:hAnsi="SimSun" w:cs="SimSun" w:hint="eastAsia"/>
              </w:rPr>
              <w:t>布伦特原油</w:t>
            </w:r>
          </w:p>
        </w:tc>
        <w:tc>
          <w:tcPr>
            <w:tcW w:w="0" w:type="auto"/>
            <w:vAlign w:val="center"/>
            <w:hideMark/>
          </w:tcPr>
          <w:p w14:paraId="0FCF9786" w14:textId="45E5BBF1" w:rsidR="0028799D" w:rsidRPr="0028799D" w:rsidRDefault="0028799D" w:rsidP="0028799D">
            <w:r>
              <w:t>–12%</w:t>
            </w:r>
          </w:p>
        </w:tc>
        <w:tc>
          <w:tcPr>
            <w:tcW w:w="0" w:type="auto"/>
            <w:vAlign w:val="center"/>
            <w:hideMark/>
          </w:tcPr>
          <w:p w14:paraId="29F4A94B" w14:textId="42041BBE" w:rsidR="0028799D" w:rsidRPr="0028799D" w:rsidRDefault="0028799D" w:rsidP="0028799D">
            <w:r>
              <w:rPr>
                <w:rStyle w:val="Strong"/>
              </w:rPr>
              <w:t>$68.08 /</w:t>
            </w:r>
            <w:r>
              <w:rPr>
                <w:rStyle w:val="Strong"/>
                <w:rFonts w:ascii="SimSun" w:eastAsia="SimSun" w:hAnsi="SimSun" w:cs="SimSun" w:hint="eastAsia"/>
              </w:rPr>
              <w:t>桶</w:t>
            </w:r>
            <w:r>
              <w:t xml:space="preserve"> </w:t>
            </w:r>
          </w:p>
        </w:tc>
      </w:tr>
      <w:tr w:rsidR="0028799D" w:rsidRPr="0028799D" w14:paraId="526121F5" w14:textId="77777777" w:rsidTr="0028799D">
        <w:trPr>
          <w:tblCellSpacing w:w="15" w:type="dxa"/>
        </w:trPr>
        <w:tc>
          <w:tcPr>
            <w:tcW w:w="0" w:type="auto"/>
            <w:vAlign w:val="center"/>
            <w:hideMark/>
          </w:tcPr>
          <w:p w14:paraId="2AFAA910" w14:textId="1C377BF6" w:rsidR="0028799D" w:rsidRPr="0028799D" w:rsidRDefault="0028799D" w:rsidP="0028799D">
            <w:r>
              <w:rPr>
                <w:rFonts w:ascii="SimSun" w:eastAsia="SimSun" w:hAnsi="SimSun" w:cs="SimSun" w:hint="eastAsia"/>
              </w:rPr>
              <w:t>黄金</w:t>
            </w:r>
          </w:p>
        </w:tc>
        <w:tc>
          <w:tcPr>
            <w:tcW w:w="0" w:type="auto"/>
            <w:vAlign w:val="center"/>
            <w:hideMark/>
          </w:tcPr>
          <w:p w14:paraId="6D349F37" w14:textId="3C823565" w:rsidR="0028799D" w:rsidRPr="0028799D" w:rsidRDefault="0028799D" w:rsidP="0028799D">
            <w:r>
              <w:t>–1.4%</w:t>
            </w:r>
            <w:r>
              <w:rPr>
                <w:rFonts w:ascii="SimSun" w:eastAsia="SimSun" w:hAnsi="SimSun" w:cs="SimSun" w:hint="eastAsia"/>
              </w:rPr>
              <w:t>（单日跌幅）</w:t>
            </w:r>
          </w:p>
        </w:tc>
        <w:tc>
          <w:tcPr>
            <w:tcW w:w="0" w:type="auto"/>
            <w:vAlign w:val="center"/>
            <w:hideMark/>
          </w:tcPr>
          <w:p w14:paraId="16CD05B8" w14:textId="4BAE4974" w:rsidR="0028799D" w:rsidRPr="0028799D" w:rsidRDefault="0028799D" w:rsidP="0028799D">
            <w:r>
              <w:rPr>
                <w:rStyle w:val="Strong"/>
              </w:rPr>
              <w:t>£3,272 /oz</w:t>
            </w:r>
            <w:r>
              <w:rPr>
                <w:rFonts w:ascii="SimSun" w:eastAsia="SimSun" w:hAnsi="SimSun" w:cs="SimSun" w:hint="eastAsia"/>
              </w:rPr>
              <w:t>（伦敦金银定盘价）</w:t>
            </w:r>
            <w:r>
              <w:rPr>
                <w:rFonts w:ascii="Times New Roman" w:hAnsi="Times New Roman" w:cs="Times New Roman"/>
              </w:rPr>
              <w:t>≈ </w:t>
            </w:r>
            <w:r>
              <w:rPr>
                <w:rStyle w:val="Strong"/>
              </w:rPr>
              <w:t>$3,272 /oz</w:t>
            </w:r>
            <w:r>
              <w:t xml:space="preserve"> </w:t>
            </w:r>
          </w:p>
        </w:tc>
      </w:tr>
      <w:tr w:rsidR="0028799D" w:rsidRPr="0028799D" w14:paraId="6274ACE9" w14:textId="77777777" w:rsidTr="0028799D">
        <w:trPr>
          <w:tblCellSpacing w:w="15" w:type="dxa"/>
        </w:trPr>
        <w:tc>
          <w:tcPr>
            <w:tcW w:w="0" w:type="auto"/>
            <w:vAlign w:val="center"/>
            <w:hideMark/>
          </w:tcPr>
          <w:p w14:paraId="7360A418" w14:textId="03A8CC75" w:rsidR="0028799D" w:rsidRPr="0028799D" w:rsidRDefault="0028799D" w:rsidP="0028799D">
            <w:r>
              <w:rPr>
                <w:rFonts w:ascii="SimSun" w:eastAsia="SimSun" w:hAnsi="SimSun" w:cs="SimSun" w:hint="eastAsia"/>
              </w:rPr>
              <w:t>白银</w:t>
            </w:r>
          </w:p>
        </w:tc>
        <w:tc>
          <w:tcPr>
            <w:tcW w:w="0" w:type="auto"/>
            <w:vAlign w:val="center"/>
            <w:hideMark/>
          </w:tcPr>
          <w:p w14:paraId="5D8422BB" w14:textId="26756E71" w:rsidR="0028799D" w:rsidRPr="0028799D" w:rsidRDefault="0028799D" w:rsidP="0028799D">
            <w:r>
              <w:t xml:space="preserve">≈ </w:t>
            </w:r>
            <w:r>
              <w:rPr>
                <w:rFonts w:ascii="SimSun" w:eastAsia="SimSun" w:hAnsi="SimSun" w:cs="SimSun" w:hint="eastAsia"/>
              </w:rPr>
              <w:t>同跌</w:t>
            </w:r>
          </w:p>
        </w:tc>
        <w:tc>
          <w:tcPr>
            <w:tcW w:w="0" w:type="auto"/>
            <w:vAlign w:val="center"/>
            <w:hideMark/>
          </w:tcPr>
          <w:p w14:paraId="31353D12" w14:textId="529C363B" w:rsidR="0028799D" w:rsidRPr="0028799D" w:rsidRDefault="0028799D" w:rsidP="0028799D">
            <w:r>
              <w:t>—</w:t>
            </w:r>
            <w:r>
              <w:rPr>
                <w:rFonts w:ascii="SimSun" w:eastAsia="SimSun" w:hAnsi="SimSun" w:cs="SimSun" w:hint="eastAsia"/>
              </w:rPr>
              <w:t>（白银周跌逾</w:t>
            </w:r>
            <w:r>
              <w:t>1%</w:t>
            </w:r>
            <w:r>
              <w:rPr>
                <w:rFonts w:ascii="SimSun" w:eastAsia="SimSun" w:hAnsi="SimSun" w:cs="SimSun" w:hint="eastAsia"/>
              </w:rPr>
              <w:t>，与黄金走势一致）</w:t>
            </w:r>
          </w:p>
        </w:tc>
      </w:tr>
      <w:tr w:rsidR="0028799D" w:rsidRPr="0028799D" w14:paraId="7E375930" w14:textId="77777777" w:rsidTr="0028799D">
        <w:trPr>
          <w:tblCellSpacing w:w="15" w:type="dxa"/>
        </w:trPr>
        <w:tc>
          <w:tcPr>
            <w:tcW w:w="0" w:type="auto"/>
            <w:vAlign w:val="center"/>
            <w:hideMark/>
          </w:tcPr>
          <w:p w14:paraId="311A4A86" w14:textId="2483DBF4" w:rsidR="0028799D" w:rsidRPr="0028799D" w:rsidRDefault="0028799D" w:rsidP="0028799D">
            <w:r>
              <w:rPr>
                <w:rFonts w:ascii="SimSun" w:eastAsia="SimSun" w:hAnsi="SimSun" w:cs="SimSun" w:hint="eastAsia"/>
              </w:rPr>
              <w:lastRenderedPageBreak/>
              <w:t>铜</w:t>
            </w:r>
          </w:p>
        </w:tc>
        <w:tc>
          <w:tcPr>
            <w:tcW w:w="0" w:type="auto"/>
            <w:vAlign w:val="center"/>
            <w:hideMark/>
          </w:tcPr>
          <w:p w14:paraId="58A9D563" w14:textId="35EE8FF1" w:rsidR="0028799D" w:rsidRPr="0028799D" w:rsidRDefault="0028799D" w:rsidP="0028799D">
            <w:r>
              <w:t>–0.4%</w:t>
            </w:r>
          </w:p>
        </w:tc>
        <w:tc>
          <w:tcPr>
            <w:tcW w:w="0" w:type="auto"/>
            <w:vAlign w:val="center"/>
            <w:hideMark/>
          </w:tcPr>
          <w:p w14:paraId="066C2796" w14:textId="67712705" w:rsidR="0028799D" w:rsidRPr="0028799D" w:rsidRDefault="0028799D" w:rsidP="0028799D">
            <w:r>
              <w:rPr>
                <w:rStyle w:val="Strong"/>
              </w:rPr>
              <w:t>$5.05 /</w:t>
            </w:r>
            <w:r>
              <w:rPr>
                <w:rStyle w:val="Strong"/>
                <w:rFonts w:ascii="SimSun" w:eastAsia="SimSun" w:hAnsi="SimSun" w:cs="SimSun" w:hint="eastAsia"/>
              </w:rPr>
              <w:t>磅</w:t>
            </w:r>
            <w:r>
              <w:t xml:space="preserve"> </w:t>
            </w:r>
          </w:p>
        </w:tc>
      </w:tr>
    </w:tbl>
    <w:p w14:paraId="2C659361" w14:textId="77777777" w:rsidR="0028799D" w:rsidRPr="0028799D" w:rsidRDefault="0028799D" w:rsidP="0028799D">
      <w:r w:rsidRPr="0028799D">
        <w:rPr>
          <w:rFonts w:ascii="Segoe UI Emoji" w:hAnsi="Segoe UI Emoji" w:cs="Segoe UI Emoji"/>
        </w:rPr>
        <w:t>🏦</w:t>
      </w:r>
      <w:r w:rsidRPr="0028799D">
        <w:t xml:space="preserve"> </w:t>
      </w:r>
      <w:r w:rsidRPr="0028799D">
        <w:rPr>
          <w:b/>
          <w:bCs/>
        </w:rPr>
        <w:t>解读</w:t>
      </w:r>
      <w:r w:rsidRPr="0028799D">
        <w:t>：</w:t>
      </w:r>
      <w:r w:rsidRPr="0028799D">
        <w:br/>
        <w:t xml:space="preserve">• </w:t>
      </w:r>
      <w:r w:rsidRPr="0028799D">
        <w:t>原油受地缘政治缓和拖累回调</w:t>
      </w:r>
      <w:r w:rsidRPr="0028799D">
        <w:br/>
        <w:t xml:space="preserve">• </w:t>
      </w:r>
      <w:r w:rsidRPr="0028799D">
        <w:t>贵金属维持稳健，黄金对白银表现略逊</w:t>
      </w:r>
      <w:r w:rsidRPr="0028799D">
        <w:br/>
        <w:t xml:space="preserve">• </w:t>
      </w:r>
      <w:r w:rsidRPr="0028799D">
        <w:t>美元维持强势，得益于相对收益优势与全球避险情绪</w:t>
      </w:r>
    </w:p>
    <w:p w14:paraId="4FD3BD57" w14:textId="77777777" w:rsidR="0028799D" w:rsidRPr="0028799D" w:rsidRDefault="0028799D" w:rsidP="0028799D">
      <w:r w:rsidRPr="0028799D">
        <w:pict w14:anchorId="45028BAA">
          <v:rect id="_x0000_i1072" style="width:0;height:1.5pt" o:hralign="center" o:hrstd="t" o:hr="t" fillcolor="#a0a0a0" stroked="f"/>
        </w:pict>
      </w:r>
    </w:p>
    <w:p w14:paraId="091388ED" w14:textId="77777777" w:rsidR="0028799D" w:rsidRPr="0028799D" w:rsidRDefault="0028799D" w:rsidP="0028799D">
      <w:pPr>
        <w:rPr>
          <w:b/>
          <w:bCs/>
          <w:sz w:val="32"/>
          <w:szCs w:val="32"/>
        </w:rPr>
      </w:pPr>
      <w:r w:rsidRPr="0028799D">
        <w:rPr>
          <w:b/>
          <w:bCs/>
          <w:sz w:val="32"/>
          <w:szCs w:val="32"/>
        </w:rPr>
        <w:t>五、企业动态</w:t>
      </w:r>
    </w:p>
    <w:p w14:paraId="4D78A92A" w14:textId="77777777" w:rsidR="0028799D" w:rsidRPr="0028799D" w:rsidRDefault="0028799D" w:rsidP="0028799D">
      <w:pPr>
        <w:numPr>
          <w:ilvl w:val="0"/>
          <w:numId w:val="2"/>
        </w:numPr>
      </w:pPr>
      <w:r w:rsidRPr="0028799D">
        <w:rPr>
          <w:rFonts w:ascii="Segoe UI Emoji" w:hAnsi="Segoe UI Emoji" w:cs="Segoe UI Emoji"/>
        </w:rPr>
        <w:t>🧠</w:t>
      </w:r>
      <w:r w:rsidRPr="0028799D">
        <w:t xml:space="preserve"> </w:t>
      </w:r>
      <w:r w:rsidRPr="0028799D">
        <w:rPr>
          <w:b/>
          <w:bCs/>
        </w:rPr>
        <w:t>NVIDIA</w:t>
      </w:r>
      <w:r w:rsidRPr="0028799D">
        <w:t xml:space="preserve"> </w:t>
      </w:r>
      <w:r w:rsidRPr="0028799D">
        <w:t>市值首次超越苹果、微软，全球第一大市值公司</w:t>
      </w:r>
    </w:p>
    <w:p w14:paraId="28FE8B86" w14:textId="77777777" w:rsidR="0028799D" w:rsidRPr="0028799D" w:rsidRDefault="0028799D" w:rsidP="0028799D">
      <w:pPr>
        <w:numPr>
          <w:ilvl w:val="0"/>
          <w:numId w:val="2"/>
        </w:numPr>
      </w:pPr>
      <w:r w:rsidRPr="0028799D">
        <w:rPr>
          <w:rFonts w:ascii="Segoe UI Emoji" w:hAnsi="Segoe UI Emoji" w:cs="Segoe UI Emoji"/>
        </w:rPr>
        <w:t>🤝</w:t>
      </w:r>
      <w:r w:rsidRPr="0028799D">
        <w:t xml:space="preserve"> </w:t>
      </w:r>
      <w:r w:rsidRPr="0028799D">
        <w:rPr>
          <w:b/>
          <w:bCs/>
        </w:rPr>
        <w:t>苹果与</w:t>
      </w:r>
      <w:r w:rsidRPr="0028799D">
        <w:rPr>
          <w:b/>
          <w:bCs/>
        </w:rPr>
        <w:t>OpenAI</w:t>
      </w:r>
      <w:r w:rsidRPr="0028799D">
        <w:rPr>
          <w:b/>
          <w:bCs/>
        </w:rPr>
        <w:t>战略合作</w:t>
      </w:r>
      <w:r w:rsidRPr="0028799D">
        <w:t xml:space="preserve"> </w:t>
      </w:r>
      <w:r w:rsidRPr="0028799D">
        <w:t>成为</w:t>
      </w:r>
      <w:r w:rsidRPr="0028799D">
        <w:t>AI</w:t>
      </w:r>
      <w:r w:rsidRPr="0028799D">
        <w:t>硬件入口重要看点</w:t>
      </w:r>
    </w:p>
    <w:p w14:paraId="483B504C" w14:textId="77777777" w:rsidR="0028799D" w:rsidRPr="0028799D" w:rsidRDefault="0028799D" w:rsidP="0028799D">
      <w:pPr>
        <w:numPr>
          <w:ilvl w:val="0"/>
          <w:numId w:val="2"/>
        </w:numPr>
      </w:pPr>
      <w:r w:rsidRPr="0028799D">
        <w:rPr>
          <w:rFonts w:ascii="Segoe UI Emoji" w:hAnsi="Segoe UI Emoji" w:cs="Segoe UI Emoji"/>
        </w:rPr>
        <w:t>🧬</w:t>
      </w:r>
      <w:r w:rsidRPr="0028799D">
        <w:t xml:space="preserve"> </w:t>
      </w:r>
      <w:r w:rsidRPr="0028799D">
        <w:rPr>
          <w:b/>
          <w:bCs/>
        </w:rPr>
        <w:t>Eli Lilly</w:t>
      </w:r>
      <w:r w:rsidRPr="0028799D">
        <w:rPr>
          <w:b/>
          <w:bCs/>
        </w:rPr>
        <w:t>收购</w:t>
      </w:r>
      <w:r w:rsidRPr="0028799D">
        <w:rPr>
          <w:b/>
          <w:bCs/>
        </w:rPr>
        <w:t>Verve Therapeutics</w:t>
      </w:r>
      <w:r w:rsidRPr="0028799D">
        <w:t>，基因疗法领域布局持续扩张</w:t>
      </w:r>
    </w:p>
    <w:p w14:paraId="26844B6D" w14:textId="77777777" w:rsidR="0028799D" w:rsidRPr="0028799D" w:rsidRDefault="0028799D" w:rsidP="0028799D">
      <w:pPr>
        <w:numPr>
          <w:ilvl w:val="0"/>
          <w:numId w:val="2"/>
        </w:numPr>
      </w:pPr>
      <w:r w:rsidRPr="0028799D">
        <w:rPr>
          <w:rFonts w:ascii="Segoe UI Emoji" w:hAnsi="Segoe UI Emoji" w:cs="Segoe UI Emoji"/>
        </w:rPr>
        <w:t>🏪</w:t>
      </w:r>
      <w:r w:rsidRPr="0028799D">
        <w:t xml:space="preserve"> </w:t>
      </w:r>
      <w:r w:rsidRPr="0028799D">
        <w:rPr>
          <w:b/>
          <w:bCs/>
        </w:rPr>
        <w:t xml:space="preserve">Reddit </w:t>
      </w:r>
      <w:r w:rsidRPr="0028799D">
        <w:rPr>
          <w:b/>
          <w:bCs/>
        </w:rPr>
        <w:t>用户增长</w:t>
      </w:r>
      <w:r w:rsidRPr="0028799D">
        <w:rPr>
          <w:b/>
          <w:bCs/>
        </w:rPr>
        <w:t>+</w:t>
      </w:r>
      <w:r w:rsidRPr="0028799D">
        <w:rPr>
          <w:b/>
          <w:bCs/>
        </w:rPr>
        <w:t>财报利好</w:t>
      </w:r>
      <w:r w:rsidRPr="0028799D">
        <w:t>，带动其与社交媒体板块上涨</w:t>
      </w:r>
    </w:p>
    <w:p w14:paraId="3C4E69F1" w14:textId="77777777" w:rsidR="0028799D" w:rsidRPr="0028799D" w:rsidRDefault="0028799D" w:rsidP="0028799D">
      <w:r w:rsidRPr="0028799D">
        <w:pict w14:anchorId="0DB4C9E9">
          <v:rect id="_x0000_i1073" style="width:0;height:1.5pt" o:hralign="center" o:hrstd="t" o:hr="t" fillcolor="#a0a0a0" stroked="f"/>
        </w:pict>
      </w:r>
    </w:p>
    <w:p w14:paraId="2743181F" w14:textId="6DBF2CF0" w:rsidR="0028799D" w:rsidRPr="0028799D" w:rsidRDefault="0028799D" w:rsidP="0028799D">
      <w:pPr>
        <w:rPr>
          <w:b/>
          <w:bCs/>
        </w:rPr>
      </w:pPr>
      <w:r w:rsidRPr="0028799D">
        <w:rPr>
          <w:b/>
          <w:bCs/>
        </w:rPr>
        <w:t>六、未来关键观察节点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5"/>
        <w:gridCol w:w="3873"/>
        <w:gridCol w:w="3848"/>
      </w:tblGrid>
      <w:tr w:rsidR="0028799D" w:rsidRPr="0028799D" w14:paraId="533AC44E" w14:textId="77777777" w:rsidTr="0028799D">
        <w:trPr>
          <w:tblHeader/>
          <w:tblCellSpacing w:w="15" w:type="dxa"/>
        </w:trPr>
        <w:tc>
          <w:tcPr>
            <w:tcW w:w="0" w:type="auto"/>
            <w:vAlign w:val="center"/>
            <w:hideMark/>
          </w:tcPr>
          <w:p w14:paraId="5401215F" w14:textId="77777777" w:rsidR="0028799D" w:rsidRPr="0028799D" w:rsidRDefault="0028799D" w:rsidP="0028799D">
            <w:pPr>
              <w:rPr>
                <w:b/>
                <w:bCs/>
              </w:rPr>
            </w:pPr>
            <w:r w:rsidRPr="0028799D">
              <w:rPr>
                <w:b/>
                <w:bCs/>
              </w:rPr>
              <w:t>时间</w:t>
            </w:r>
          </w:p>
        </w:tc>
        <w:tc>
          <w:tcPr>
            <w:tcW w:w="0" w:type="auto"/>
            <w:vAlign w:val="center"/>
            <w:hideMark/>
          </w:tcPr>
          <w:p w14:paraId="4A6A179F" w14:textId="77777777" w:rsidR="0028799D" w:rsidRPr="0028799D" w:rsidRDefault="0028799D" w:rsidP="0028799D">
            <w:pPr>
              <w:rPr>
                <w:b/>
                <w:bCs/>
              </w:rPr>
            </w:pPr>
            <w:r w:rsidRPr="0028799D">
              <w:rPr>
                <w:b/>
                <w:bCs/>
              </w:rPr>
              <w:t>事项</w:t>
            </w:r>
          </w:p>
        </w:tc>
        <w:tc>
          <w:tcPr>
            <w:tcW w:w="0" w:type="auto"/>
            <w:vAlign w:val="center"/>
            <w:hideMark/>
          </w:tcPr>
          <w:p w14:paraId="63190DFE" w14:textId="77777777" w:rsidR="0028799D" w:rsidRPr="0028799D" w:rsidRDefault="0028799D" w:rsidP="0028799D">
            <w:pPr>
              <w:rPr>
                <w:b/>
                <w:bCs/>
              </w:rPr>
            </w:pPr>
            <w:r w:rsidRPr="0028799D">
              <w:rPr>
                <w:b/>
                <w:bCs/>
              </w:rPr>
              <w:t>影响</w:t>
            </w:r>
          </w:p>
        </w:tc>
      </w:tr>
      <w:tr w:rsidR="0028799D" w:rsidRPr="0028799D" w14:paraId="4D48D4D7" w14:textId="77777777" w:rsidTr="0028799D">
        <w:trPr>
          <w:tblCellSpacing w:w="15" w:type="dxa"/>
        </w:trPr>
        <w:tc>
          <w:tcPr>
            <w:tcW w:w="0" w:type="auto"/>
            <w:vAlign w:val="center"/>
            <w:hideMark/>
          </w:tcPr>
          <w:p w14:paraId="1089C7EB" w14:textId="77777777" w:rsidR="0028799D" w:rsidRPr="0028799D" w:rsidRDefault="0028799D" w:rsidP="0028799D">
            <w:r w:rsidRPr="0028799D">
              <w:t>7</w:t>
            </w:r>
            <w:r w:rsidRPr="0028799D">
              <w:t>月</w:t>
            </w:r>
            <w:r w:rsidRPr="0028799D">
              <w:t>10</w:t>
            </w:r>
            <w:r w:rsidRPr="0028799D">
              <w:t>日</w:t>
            </w:r>
          </w:p>
        </w:tc>
        <w:tc>
          <w:tcPr>
            <w:tcW w:w="0" w:type="auto"/>
            <w:vAlign w:val="center"/>
            <w:hideMark/>
          </w:tcPr>
          <w:p w14:paraId="10C74536" w14:textId="77777777" w:rsidR="0028799D" w:rsidRPr="0028799D" w:rsidRDefault="0028799D" w:rsidP="0028799D">
            <w:r w:rsidRPr="0028799D">
              <w:t>6</w:t>
            </w:r>
            <w:r w:rsidRPr="0028799D">
              <w:t>月</w:t>
            </w:r>
            <w:r w:rsidRPr="0028799D">
              <w:t>CPI</w:t>
            </w:r>
            <w:r w:rsidRPr="0028799D">
              <w:t>数据</w:t>
            </w:r>
          </w:p>
        </w:tc>
        <w:tc>
          <w:tcPr>
            <w:tcW w:w="0" w:type="auto"/>
            <w:vAlign w:val="center"/>
            <w:hideMark/>
          </w:tcPr>
          <w:p w14:paraId="47B6DCFE" w14:textId="77777777" w:rsidR="0028799D" w:rsidRPr="0028799D" w:rsidRDefault="0028799D" w:rsidP="0028799D">
            <w:r w:rsidRPr="0028799D">
              <w:t>若环比</w:t>
            </w:r>
            <w:r w:rsidRPr="0028799D">
              <w:t>≤0.2%</w:t>
            </w:r>
            <w:r w:rsidRPr="0028799D">
              <w:t>，降息路径确认度提高</w:t>
            </w:r>
          </w:p>
        </w:tc>
      </w:tr>
      <w:tr w:rsidR="0028799D" w:rsidRPr="0028799D" w14:paraId="20627A1A" w14:textId="77777777" w:rsidTr="0028799D">
        <w:trPr>
          <w:tblCellSpacing w:w="15" w:type="dxa"/>
        </w:trPr>
        <w:tc>
          <w:tcPr>
            <w:tcW w:w="0" w:type="auto"/>
            <w:vAlign w:val="center"/>
            <w:hideMark/>
          </w:tcPr>
          <w:p w14:paraId="7E1A0A67" w14:textId="77777777" w:rsidR="0028799D" w:rsidRPr="0028799D" w:rsidRDefault="0028799D" w:rsidP="0028799D">
            <w:r w:rsidRPr="0028799D">
              <w:t>7</w:t>
            </w:r>
            <w:r w:rsidRPr="0028799D">
              <w:t>月</w:t>
            </w:r>
            <w:r w:rsidRPr="0028799D">
              <w:t>16</w:t>
            </w:r>
            <w:r w:rsidRPr="0028799D">
              <w:t>日</w:t>
            </w:r>
          </w:p>
        </w:tc>
        <w:tc>
          <w:tcPr>
            <w:tcW w:w="0" w:type="auto"/>
            <w:vAlign w:val="center"/>
            <w:hideMark/>
          </w:tcPr>
          <w:p w14:paraId="480E0A80" w14:textId="77777777" w:rsidR="0028799D" w:rsidRPr="0028799D" w:rsidRDefault="0028799D" w:rsidP="0028799D">
            <w:r w:rsidRPr="0028799D">
              <w:t>鲍威尔赴国会作证</w:t>
            </w:r>
          </w:p>
        </w:tc>
        <w:tc>
          <w:tcPr>
            <w:tcW w:w="0" w:type="auto"/>
            <w:vAlign w:val="center"/>
            <w:hideMark/>
          </w:tcPr>
          <w:p w14:paraId="5DB5BEB8" w14:textId="77777777" w:rsidR="0028799D" w:rsidRPr="0028799D" w:rsidRDefault="0028799D" w:rsidP="0028799D">
            <w:r w:rsidRPr="0028799D">
              <w:t>掌握其对</w:t>
            </w:r>
            <w:r w:rsidRPr="0028799D">
              <w:t>“9</w:t>
            </w:r>
            <w:r w:rsidRPr="0028799D">
              <w:t>月是否降息</w:t>
            </w:r>
            <w:r w:rsidRPr="0028799D">
              <w:t>”</w:t>
            </w:r>
            <w:r w:rsidRPr="0028799D">
              <w:t>的具体态度</w:t>
            </w:r>
          </w:p>
        </w:tc>
      </w:tr>
      <w:tr w:rsidR="0028799D" w:rsidRPr="0028799D" w14:paraId="526BA219" w14:textId="77777777" w:rsidTr="0028799D">
        <w:trPr>
          <w:tblCellSpacing w:w="15" w:type="dxa"/>
        </w:trPr>
        <w:tc>
          <w:tcPr>
            <w:tcW w:w="0" w:type="auto"/>
            <w:vAlign w:val="center"/>
            <w:hideMark/>
          </w:tcPr>
          <w:p w14:paraId="7CF30870" w14:textId="77777777" w:rsidR="0028799D" w:rsidRPr="0028799D" w:rsidRDefault="0028799D" w:rsidP="0028799D">
            <w:r w:rsidRPr="0028799D">
              <w:t>7</w:t>
            </w:r>
            <w:r w:rsidRPr="0028799D">
              <w:t>月下旬</w:t>
            </w:r>
          </w:p>
        </w:tc>
        <w:tc>
          <w:tcPr>
            <w:tcW w:w="0" w:type="auto"/>
            <w:vAlign w:val="center"/>
            <w:hideMark/>
          </w:tcPr>
          <w:p w14:paraId="1297BE74" w14:textId="77777777" w:rsidR="0028799D" w:rsidRPr="0028799D" w:rsidRDefault="0028799D" w:rsidP="0028799D">
            <w:r w:rsidRPr="0028799D">
              <w:t>Q2</w:t>
            </w:r>
            <w:r w:rsidRPr="0028799D">
              <w:t>财报季开启（重点：科技</w:t>
            </w:r>
            <w:r w:rsidRPr="0028799D">
              <w:t>/</w:t>
            </w:r>
            <w:r w:rsidRPr="0028799D">
              <w:t>金融）</w:t>
            </w:r>
          </w:p>
        </w:tc>
        <w:tc>
          <w:tcPr>
            <w:tcW w:w="0" w:type="auto"/>
            <w:vAlign w:val="center"/>
            <w:hideMark/>
          </w:tcPr>
          <w:p w14:paraId="62723517" w14:textId="77777777" w:rsidR="0028799D" w:rsidRPr="0028799D" w:rsidRDefault="0028799D" w:rsidP="0028799D">
            <w:r w:rsidRPr="0028799D">
              <w:t>AI</w:t>
            </w:r>
            <w:r w:rsidRPr="0028799D">
              <w:t>行情可否兑现估值将成为风向标</w:t>
            </w:r>
          </w:p>
        </w:tc>
      </w:tr>
      <w:tr w:rsidR="0028799D" w:rsidRPr="0028799D" w14:paraId="587C6A8B" w14:textId="77777777" w:rsidTr="0028799D">
        <w:trPr>
          <w:tblCellSpacing w:w="15" w:type="dxa"/>
        </w:trPr>
        <w:tc>
          <w:tcPr>
            <w:tcW w:w="0" w:type="auto"/>
            <w:vAlign w:val="center"/>
            <w:hideMark/>
          </w:tcPr>
          <w:p w14:paraId="063684C2" w14:textId="77777777" w:rsidR="0028799D" w:rsidRPr="0028799D" w:rsidRDefault="0028799D" w:rsidP="0028799D">
            <w:r w:rsidRPr="0028799D">
              <w:t>9</w:t>
            </w:r>
            <w:r w:rsidRPr="0028799D">
              <w:t>月</w:t>
            </w:r>
            <w:r w:rsidRPr="0028799D">
              <w:t>18</w:t>
            </w:r>
            <w:r w:rsidRPr="0028799D">
              <w:t>日</w:t>
            </w:r>
          </w:p>
        </w:tc>
        <w:tc>
          <w:tcPr>
            <w:tcW w:w="0" w:type="auto"/>
            <w:vAlign w:val="center"/>
            <w:hideMark/>
          </w:tcPr>
          <w:p w14:paraId="748FBAA0" w14:textId="77777777" w:rsidR="0028799D" w:rsidRPr="0028799D" w:rsidRDefault="0028799D" w:rsidP="0028799D">
            <w:r w:rsidRPr="0028799D">
              <w:t>FOMC</w:t>
            </w:r>
            <w:r w:rsidRPr="0028799D">
              <w:t>会议</w:t>
            </w:r>
          </w:p>
        </w:tc>
        <w:tc>
          <w:tcPr>
            <w:tcW w:w="0" w:type="auto"/>
            <w:vAlign w:val="center"/>
            <w:hideMark/>
          </w:tcPr>
          <w:p w14:paraId="48F77626" w14:textId="77777777" w:rsidR="0028799D" w:rsidRPr="0028799D" w:rsidRDefault="0028799D" w:rsidP="0028799D">
            <w:r w:rsidRPr="0028799D">
              <w:t>当前市场最关注的</w:t>
            </w:r>
            <w:r w:rsidRPr="0028799D">
              <w:t>“</w:t>
            </w:r>
            <w:r w:rsidRPr="0028799D">
              <w:t>首次降息窗口</w:t>
            </w:r>
            <w:r w:rsidRPr="0028799D">
              <w:t>”</w:t>
            </w:r>
          </w:p>
        </w:tc>
      </w:tr>
    </w:tbl>
    <w:p w14:paraId="1D6E8DF1" w14:textId="77777777" w:rsidR="0028799D" w:rsidRDefault="0028799D"/>
    <w:p w14:paraId="761A31B6" w14:textId="77777777" w:rsidR="009B1537" w:rsidRDefault="009B1537"/>
    <w:p w14:paraId="105AFF4E" w14:textId="77777777" w:rsidR="009B1537" w:rsidRDefault="009B1537"/>
    <w:p w14:paraId="581BCEFC" w14:textId="77777777" w:rsidR="009B1537" w:rsidRDefault="009B1537"/>
    <w:p w14:paraId="674FC7C8" w14:textId="77777777" w:rsidR="009B1537" w:rsidRDefault="009B1537"/>
    <w:p w14:paraId="21BA5A79" w14:textId="77777777" w:rsidR="009B1537" w:rsidRPr="009B1537" w:rsidRDefault="009B1537" w:rsidP="009B1537">
      <w:pPr>
        <w:pBdr>
          <w:bottom w:val="single" w:sz="8" w:space="4" w:color="4F81BD"/>
        </w:pBdr>
        <w:spacing w:after="300" w:line="240" w:lineRule="auto"/>
        <w:contextualSpacing/>
        <w:rPr>
          <w:rFonts w:ascii="Microsoft YaHei" w:eastAsia="Microsoft YaHei" w:hAnsi="Microsoft YaHei" w:cs="Times New Roman"/>
          <w:color w:val="17365D"/>
          <w:spacing w:val="5"/>
          <w:kern w:val="28"/>
          <w:sz w:val="52"/>
          <w:szCs w:val="52"/>
          <w14:ligatures w14:val="none"/>
        </w:rPr>
      </w:pPr>
      <w:r w:rsidRPr="009B1537">
        <w:rPr>
          <w:rFonts w:ascii="Microsoft YaHei" w:eastAsia="Microsoft YaHei" w:hAnsi="Microsoft YaHei" w:cs="Times New Roman"/>
          <w:color w:val="17365D"/>
          <w:spacing w:val="5"/>
          <w:kern w:val="28"/>
          <w:sz w:val="52"/>
          <w:szCs w:val="52"/>
          <w14:ligatures w14:val="none"/>
        </w:rPr>
        <w:lastRenderedPageBreak/>
        <w:t>U.S. Economic &amp; Market Weekly Report</w:t>
      </w:r>
    </w:p>
    <w:p w14:paraId="052DA7BB" w14:textId="77777777" w:rsidR="009B1537" w:rsidRPr="009B1537" w:rsidRDefault="009B1537" w:rsidP="009B1537">
      <w:r w:rsidRPr="009B1537">
        <w:rPr>
          <w:b/>
          <w:bCs/>
        </w:rPr>
        <w:t>Date: June 27, 2025</w:t>
      </w:r>
    </w:p>
    <w:p w14:paraId="43886742" w14:textId="77777777" w:rsidR="009B1537" w:rsidRPr="009B1537" w:rsidRDefault="009B1537" w:rsidP="009B1537">
      <w:r w:rsidRPr="009B1537">
        <w:pict w14:anchorId="18D9C0F0">
          <v:rect id="_x0000_i1140" style="width:0;height:1.5pt" o:hralign="center" o:hrstd="t" o:hr="t" fillcolor="#a0a0a0" stroked="f"/>
        </w:pict>
      </w:r>
    </w:p>
    <w:p w14:paraId="62EE1CE6" w14:textId="77777777" w:rsidR="009B1537" w:rsidRPr="009B1537" w:rsidRDefault="009B1537" w:rsidP="009B1537">
      <w:pPr>
        <w:rPr>
          <w:b/>
          <w:bCs/>
          <w:sz w:val="32"/>
          <w:szCs w:val="32"/>
        </w:rPr>
      </w:pPr>
      <w:r w:rsidRPr="009B1537">
        <w:rPr>
          <w:b/>
          <w:bCs/>
          <w:sz w:val="32"/>
          <w:szCs w:val="32"/>
        </w:rPr>
        <w:t>I. Macroeconomic and Policy Developments</w:t>
      </w:r>
    </w:p>
    <w:p w14:paraId="63D7A029" w14:textId="77777777" w:rsidR="009B1537" w:rsidRPr="009B1537" w:rsidRDefault="009B1537" w:rsidP="009B1537">
      <w:pPr>
        <w:rPr>
          <w:b/>
          <w:bCs/>
        </w:rPr>
      </w:pPr>
      <w:r w:rsidRPr="009B1537">
        <w:rPr>
          <w:rFonts w:ascii="Segoe UI Emoji" w:hAnsi="Segoe UI Emoji" w:cs="Segoe UI Emoji"/>
          <w:b/>
          <w:bCs/>
        </w:rPr>
        <w:t>🧾</w:t>
      </w:r>
      <w:r w:rsidRPr="009B1537">
        <w:rPr>
          <w:b/>
          <w:bCs/>
        </w:rPr>
        <w:t xml:space="preserve"> PCE Inflation Update (May)</w:t>
      </w:r>
    </w:p>
    <w:p w14:paraId="6228215B" w14:textId="77777777" w:rsidR="009B1537" w:rsidRPr="009B1537" w:rsidRDefault="009B1537" w:rsidP="009B1537">
      <w:r w:rsidRPr="009B1537">
        <w:t xml:space="preserve">• </w:t>
      </w:r>
      <w:r w:rsidRPr="009B1537">
        <w:rPr>
          <w:b/>
          <w:bCs/>
        </w:rPr>
        <w:t>Core PCE (excluding food and energy)</w:t>
      </w:r>
      <w:r w:rsidRPr="009B1537">
        <w:br/>
      </w:r>
      <w:r w:rsidRPr="009B1537">
        <w:t> </w:t>
      </w:r>
      <w:r w:rsidRPr="009B1537">
        <w:t>◦ Year-over-year: +2.7% (Forecast: 2.6%, Prior: 2.8%)</w:t>
      </w:r>
      <w:r w:rsidRPr="009B1537">
        <w:br/>
      </w:r>
      <w:r w:rsidRPr="009B1537">
        <w:t> </w:t>
      </w:r>
      <w:r w:rsidRPr="009B1537">
        <w:t>◦ Month-over-month: +0.2%, maintaining a mild pace</w:t>
      </w:r>
    </w:p>
    <w:p w14:paraId="38947F71" w14:textId="77777777" w:rsidR="009B1537" w:rsidRPr="009B1537" w:rsidRDefault="009B1537" w:rsidP="009B1537">
      <w:r w:rsidRPr="009B1537">
        <w:t xml:space="preserve">• </w:t>
      </w:r>
      <w:r w:rsidRPr="009B1537">
        <w:rPr>
          <w:b/>
          <w:bCs/>
        </w:rPr>
        <w:t>Headline PCE</w:t>
      </w:r>
      <w:r w:rsidRPr="009B1537">
        <w:br/>
      </w:r>
      <w:r w:rsidRPr="009B1537">
        <w:t> </w:t>
      </w:r>
      <w:r w:rsidRPr="009B1537">
        <w:t>◦ Year-over-year: +2.3%</w:t>
      </w:r>
      <w:r w:rsidRPr="009B1537">
        <w:br/>
      </w:r>
      <w:r w:rsidRPr="009B1537">
        <w:t> </w:t>
      </w:r>
      <w:r w:rsidRPr="009B1537">
        <w:t>◦ Month-over-month: 0.0% (flat)</w:t>
      </w:r>
    </w:p>
    <w:p w14:paraId="33E9F4A8" w14:textId="77777777" w:rsidR="009B1537" w:rsidRPr="009B1537" w:rsidRDefault="009B1537" w:rsidP="009B1537">
      <w:r w:rsidRPr="009B1537">
        <w:rPr>
          <w:rFonts w:ascii="Segoe UI Symbol" w:hAnsi="Segoe UI Symbol" w:cs="Segoe UI Symbol"/>
        </w:rPr>
        <w:t>➡</w:t>
      </w:r>
      <w:r w:rsidRPr="009B1537">
        <w:t xml:space="preserve"> </w:t>
      </w:r>
      <w:r w:rsidRPr="009B1537">
        <w:rPr>
          <w:b/>
          <w:bCs/>
        </w:rPr>
        <w:t>Takeaway</w:t>
      </w:r>
      <w:r w:rsidRPr="009B1537">
        <w:t>: The disinflation trend continues. While core PCE slightly exceeded expectations, it is approaching the Fed’s 2% target. Consumer spending showed signs of stagnation, with services such as healthcare, rent, and transportation remaining the main sources of inflationary pressure.</w:t>
      </w:r>
    </w:p>
    <w:p w14:paraId="315BAC5F" w14:textId="77777777" w:rsidR="009B1537" w:rsidRPr="009B1537" w:rsidRDefault="009B1537" w:rsidP="009B1537">
      <w:r w:rsidRPr="009B1537">
        <w:pict w14:anchorId="74CB7141">
          <v:rect id="_x0000_i1141" style="width:0;height:1.5pt" o:hralign="center" o:hrstd="t" o:hr="t" fillcolor="#a0a0a0" stroked="f"/>
        </w:pict>
      </w:r>
    </w:p>
    <w:p w14:paraId="24F07C19" w14:textId="77777777" w:rsidR="009B1537" w:rsidRPr="009B1537" w:rsidRDefault="009B1537" w:rsidP="009B1537">
      <w:pPr>
        <w:rPr>
          <w:b/>
          <w:bCs/>
          <w:sz w:val="32"/>
          <w:szCs w:val="32"/>
        </w:rPr>
      </w:pPr>
      <w:r w:rsidRPr="009B1537">
        <w:rPr>
          <w:rFonts w:ascii="Segoe UI Emoji" w:hAnsi="Segoe UI Emoji" w:cs="Segoe UI Emoji"/>
          <w:b/>
          <w:bCs/>
          <w:sz w:val="32"/>
          <w:szCs w:val="32"/>
        </w:rPr>
        <w:t>📊</w:t>
      </w:r>
      <w:r w:rsidRPr="009B1537">
        <w:rPr>
          <w:b/>
          <w:bCs/>
          <w:sz w:val="32"/>
          <w:szCs w:val="32"/>
        </w:rPr>
        <w:t xml:space="preserve"> Federal Reserve Policy Outlook</w:t>
      </w:r>
    </w:p>
    <w:p w14:paraId="38D59EC7" w14:textId="77777777" w:rsidR="009B1537" w:rsidRPr="009B1537" w:rsidRDefault="009B1537" w:rsidP="009B1537">
      <w:r w:rsidRPr="009B1537">
        <w:t xml:space="preserve">• </w:t>
      </w:r>
      <w:r w:rsidRPr="009B1537">
        <w:rPr>
          <w:b/>
          <w:bCs/>
        </w:rPr>
        <w:t>Fed Funds Rate</w:t>
      </w:r>
      <w:r w:rsidRPr="009B1537">
        <w:t xml:space="preserve"> remains at </w:t>
      </w:r>
      <w:r w:rsidRPr="009B1537">
        <w:rPr>
          <w:b/>
          <w:bCs/>
        </w:rPr>
        <w:t>4.25%–4.50%</w:t>
      </w:r>
    </w:p>
    <w:p w14:paraId="76390E02" w14:textId="77777777" w:rsidR="009B1537" w:rsidRPr="009B1537" w:rsidRDefault="009B1537" w:rsidP="009B1537">
      <w:r w:rsidRPr="009B1537">
        <w:t xml:space="preserve">• </w:t>
      </w:r>
      <w:r w:rsidRPr="009B1537">
        <w:rPr>
          <w:b/>
          <w:bCs/>
        </w:rPr>
        <w:t>Market expectations</w:t>
      </w:r>
      <w:r w:rsidRPr="009B1537">
        <w:t>:</w:t>
      </w:r>
      <w:r w:rsidRPr="009B1537">
        <w:br/>
      </w:r>
      <w:r w:rsidRPr="009B1537">
        <w:t> </w:t>
      </w:r>
      <w:r w:rsidRPr="009B1537">
        <w:t xml:space="preserve">◦ Probability of the </w:t>
      </w:r>
      <w:r w:rsidRPr="009B1537">
        <w:rPr>
          <w:b/>
          <w:bCs/>
        </w:rPr>
        <w:t>first rate cut in September</w:t>
      </w:r>
      <w:r w:rsidRPr="009B1537">
        <w:t xml:space="preserve"> has risen to </w:t>
      </w:r>
      <w:r w:rsidRPr="009B1537">
        <w:rPr>
          <w:b/>
          <w:bCs/>
        </w:rPr>
        <w:t>78%</w:t>
      </w:r>
      <w:r w:rsidRPr="009B1537">
        <w:br/>
      </w:r>
      <w:r w:rsidRPr="009B1537">
        <w:t> </w:t>
      </w:r>
      <w:r w:rsidRPr="009B1537">
        <w:t>◦ Two cuts expected by year-end</w:t>
      </w:r>
    </w:p>
    <w:p w14:paraId="05DB5B24" w14:textId="77777777" w:rsidR="009B1537" w:rsidRPr="009B1537" w:rsidRDefault="009B1537" w:rsidP="009B1537">
      <w:r w:rsidRPr="009B1537">
        <w:t xml:space="preserve">• </w:t>
      </w:r>
      <w:r w:rsidRPr="009B1537">
        <w:rPr>
          <w:b/>
          <w:bCs/>
        </w:rPr>
        <w:t>Diverging FOMC views</w:t>
      </w:r>
      <w:r w:rsidRPr="009B1537">
        <w:t>:</w:t>
      </w:r>
      <w:r w:rsidRPr="009B1537">
        <w:br/>
      </w:r>
      <w:r w:rsidRPr="009B1537">
        <w:t> </w:t>
      </w:r>
      <w:r w:rsidRPr="009B1537">
        <w:t xml:space="preserve">◦ </w:t>
      </w:r>
      <w:r w:rsidRPr="009B1537">
        <w:rPr>
          <w:i/>
          <w:iCs/>
        </w:rPr>
        <w:t>Dovish camp (Waller)</w:t>
      </w:r>
      <w:r w:rsidRPr="009B1537">
        <w:t>: “If the trend continues, a rate cut may even come in July.”</w:t>
      </w:r>
      <w:r w:rsidRPr="009B1537">
        <w:br/>
      </w:r>
      <w:r w:rsidRPr="009B1537">
        <w:t> </w:t>
      </w:r>
      <w:r w:rsidRPr="009B1537">
        <w:t xml:space="preserve">◦ </w:t>
      </w:r>
      <w:r w:rsidRPr="009B1537">
        <w:rPr>
          <w:i/>
          <w:iCs/>
        </w:rPr>
        <w:t>Chair Powell</w:t>
      </w:r>
      <w:r w:rsidRPr="009B1537">
        <w:t xml:space="preserve"> (June 25): “Inflation is clearly easing, but we need more data.”</w:t>
      </w:r>
    </w:p>
    <w:p w14:paraId="4B4423A8" w14:textId="77777777" w:rsidR="009B1537" w:rsidRPr="009B1537" w:rsidRDefault="009B1537" w:rsidP="009B1537">
      <w:r w:rsidRPr="009B1537">
        <w:rPr>
          <w:rFonts w:ascii="Segoe UI Symbol" w:hAnsi="Segoe UI Symbol" w:cs="Segoe UI Symbol"/>
        </w:rPr>
        <w:t>➡</w:t>
      </w:r>
      <w:r w:rsidRPr="009B1537">
        <w:t xml:space="preserve"> </w:t>
      </w:r>
      <w:r w:rsidRPr="009B1537">
        <w:rPr>
          <w:b/>
          <w:bCs/>
        </w:rPr>
        <w:t>Market Impact</w:t>
      </w:r>
      <w:r w:rsidRPr="009B1537">
        <w:t>: Short-term Treasury yields declined; the U.S. Dollar Index rebounded to 105.4; equities rallied across the board.</w:t>
      </w:r>
    </w:p>
    <w:p w14:paraId="1018CAFC" w14:textId="77777777" w:rsidR="009B1537" w:rsidRPr="009B1537" w:rsidRDefault="009B1537" w:rsidP="009B1537">
      <w:r w:rsidRPr="009B1537">
        <w:lastRenderedPageBreak/>
        <w:pict w14:anchorId="3BC4C20D">
          <v:rect id="_x0000_i1142" style="width:0;height:1.5pt" o:hralign="center" o:hrstd="t" o:hr="t" fillcolor="#a0a0a0" stroked="f"/>
        </w:pict>
      </w:r>
    </w:p>
    <w:p w14:paraId="222FEF0E" w14:textId="77777777" w:rsidR="009B1537" w:rsidRPr="009B1537" w:rsidRDefault="009B1537" w:rsidP="009B1537">
      <w:pPr>
        <w:rPr>
          <w:b/>
          <w:bCs/>
          <w:sz w:val="32"/>
          <w:szCs w:val="32"/>
        </w:rPr>
      </w:pPr>
      <w:r w:rsidRPr="009B1537">
        <w:rPr>
          <w:b/>
          <w:bCs/>
          <w:sz w:val="32"/>
          <w:szCs w:val="32"/>
        </w:rPr>
        <w:t>II. Market Performance &amp; Key Corporate Developments (incl. IPOs)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1553"/>
        <w:gridCol w:w="1742"/>
        <w:gridCol w:w="1374"/>
        <w:gridCol w:w="2192"/>
      </w:tblGrid>
      <w:tr w:rsidR="009B1537" w:rsidRPr="009B1537" w14:paraId="44C6C73E" w14:textId="77777777" w:rsidTr="009B1537">
        <w:trPr>
          <w:tblHeader/>
          <w:tblCellSpacing w:w="15" w:type="dxa"/>
        </w:trPr>
        <w:tc>
          <w:tcPr>
            <w:tcW w:w="0" w:type="auto"/>
            <w:vAlign w:val="center"/>
            <w:hideMark/>
          </w:tcPr>
          <w:p w14:paraId="23F2A6D5" w14:textId="77777777" w:rsidR="009B1537" w:rsidRPr="009B1537" w:rsidRDefault="009B1537" w:rsidP="009B1537">
            <w:pPr>
              <w:rPr>
                <w:b/>
                <w:bCs/>
              </w:rPr>
            </w:pPr>
            <w:r w:rsidRPr="009B1537">
              <w:rPr>
                <w:b/>
                <w:bCs/>
              </w:rPr>
              <w:t>Index</w:t>
            </w:r>
          </w:p>
        </w:tc>
        <w:tc>
          <w:tcPr>
            <w:tcW w:w="0" w:type="auto"/>
            <w:vAlign w:val="center"/>
            <w:hideMark/>
          </w:tcPr>
          <w:p w14:paraId="2EF6FC71" w14:textId="77777777" w:rsidR="009B1537" w:rsidRPr="009B1537" w:rsidRDefault="009B1537" w:rsidP="009B1537">
            <w:pPr>
              <w:rPr>
                <w:b/>
                <w:bCs/>
              </w:rPr>
            </w:pPr>
            <w:r w:rsidRPr="009B1537">
              <w:rPr>
                <w:b/>
                <w:bCs/>
              </w:rPr>
              <w:t>Closing (6/27)</w:t>
            </w:r>
          </w:p>
        </w:tc>
        <w:tc>
          <w:tcPr>
            <w:tcW w:w="0" w:type="auto"/>
            <w:vAlign w:val="center"/>
            <w:hideMark/>
          </w:tcPr>
          <w:p w14:paraId="543F4454" w14:textId="77777777" w:rsidR="009B1537" w:rsidRPr="009B1537" w:rsidRDefault="009B1537" w:rsidP="009B1537">
            <w:pPr>
              <w:rPr>
                <w:b/>
                <w:bCs/>
              </w:rPr>
            </w:pPr>
            <w:r w:rsidRPr="009B1537">
              <w:rPr>
                <w:b/>
                <w:bCs/>
              </w:rPr>
              <w:t>Weekly Change</w:t>
            </w:r>
          </w:p>
        </w:tc>
        <w:tc>
          <w:tcPr>
            <w:tcW w:w="0" w:type="auto"/>
            <w:vAlign w:val="center"/>
            <w:hideMark/>
          </w:tcPr>
          <w:p w14:paraId="1A2D3D15" w14:textId="77777777" w:rsidR="009B1537" w:rsidRPr="009B1537" w:rsidRDefault="009B1537" w:rsidP="009B1537">
            <w:pPr>
              <w:rPr>
                <w:b/>
                <w:bCs/>
              </w:rPr>
            </w:pPr>
            <w:r w:rsidRPr="009B1537">
              <w:rPr>
                <w:b/>
                <w:bCs/>
              </w:rPr>
              <w:t>YTD Change</w:t>
            </w:r>
          </w:p>
        </w:tc>
        <w:tc>
          <w:tcPr>
            <w:tcW w:w="0" w:type="auto"/>
            <w:vAlign w:val="center"/>
            <w:hideMark/>
          </w:tcPr>
          <w:p w14:paraId="548D1E0D" w14:textId="77777777" w:rsidR="009B1537" w:rsidRPr="009B1537" w:rsidRDefault="009B1537" w:rsidP="009B1537">
            <w:pPr>
              <w:rPr>
                <w:b/>
                <w:bCs/>
              </w:rPr>
            </w:pPr>
            <w:r w:rsidRPr="009B1537">
              <w:rPr>
                <w:b/>
                <w:bCs/>
              </w:rPr>
              <w:t>Daily Move (pts / %)</w:t>
            </w:r>
          </w:p>
        </w:tc>
      </w:tr>
      <w:tr w:rsidR="009B1537" w:rsidRPr="009B1537" w14:paraId="0B7EA317" w14:textId="77777777" w:rsidTr="009B1537">
        <w:trPr>
          <w:tblCellSpacing w:w="15" w:type="dxa"/>
        </w:trPr>
        <w:tc>
          <w:tcPr>
            <w:tcW w:w="0" w:type="auto"/>
            <w:vAlign w:val="center"/>
            <w:hideMark/>
          </w:tcPr>
          <w:p w14:paraId="18D66C4B" w14:textId="77777777" w:rsidR="009B1537" w:rsidRPr="009B1537" w:rsidRDefault="009B1537" w:rsidP="009B1537">
            <w:r w:rsidRPr="009B1537">
              <w:rPr>
                <w:b/>
                <w:bCs/>
              </w:rPr>
              <w:t>S&amp;P 500</w:t>
            </w:r>
          </w:p>
        </w:tc>
        <w:tc>
          <w:tcPr>
            <w:tcW w:w="0" w:type="auto"/>
            <w:vAlign w:val="center"/>
            <w:hideMark/>
          </w:tcPr>
          <w:p w14:paraId="750539C2" w14:textId="77777777" w:rsidR="009B1537" w:rsidRPr="009B1537" w:rsidRDefault="009B1537" w:rsidP="009B1537">
            <w:r w:rsidRPr="009B1537">
              <w:t>6,173.07</w:t>
            </w:r>
          </w:p>
        </w:tc>
        <w:tc>
          <w:tcPr>
            <w:tcW w:w="0" w:type="auto"/>
            <w:vAlign w:val="center"/>
            <w:hideMark/>
          </w:tcPr>
          <w:p w14:paraId="6485B060" w14:textId="77777777" w:rsidR="009B1537" w:rsidRPr="009B1537" w:rsidRDefault="009B1537" w:rsidP="009B1537">
            <w:r w:rsidRPr="009B1537">
              <w:t>+3.4%</w:t>
            </w:r>
          </w:p>
        </w:tc>
        <w:tc>
          <w:tcPr>
            <w:tcW w:w="0" w:type="auto"/>
            <w:vAlign w:val="center"/>
            <w:hideMark/>
          </w:tcPr>
          <w:p w14:paraId="77CC381A" w14:textId="77777777" w:rsidR="009B1537" w:rsidRPr="009B1537" w:rsidRDefault="009B1537" w:rsidP="009B1537">
            <w:r w:rsidRPr="009B1537">
              <w:t>+5.0%</w:t>
            </w:r>
          </w:p>
        </w:tc>
        <w:tc>
          <w:tcPr>
            <w:tcW w:w="0" w:type="auto"/>
            <w:vAlign w:val="center"/>
            <w:hideMark/>
          </w:tcPr>
          <w:p w14:paraId="7091267E" w14:textId="77777777" w:rsidR="009B1537" w:rsidRPr="009B1537" w:rsidRDefault="009B1537" w:rsidP="009B1537">
            <w:r w:rsidRPr="009B1537">
              <w:t>+32.05 (+0.52%)</w:t>
            </w:r>
          </w:p>
        </w:tc>
      </w:tr>
      <w:tr w:rsidR="009B1537" w:rsidRPr="009B1537" w14:paraId="63CB00F7" w14:textId="77777777" w:rsidTr="009B1537">
        <w:trPr>
          <w:tblCellSpacing w:w="15" w:type="dxa"/>
        </w:trPr>
        <w:tc>
          <w:tcPr>
            <w:tcW w:w="0" w:type="auto"/>
            <w:vAlign w:val="center"/>
            <w:hideMark/>
          </w:tcPr>
          <w:p w14:paraId="144371D0" w14:textId="77777777" w:rsidR="009B1537" w:rsidRPr="009B1537" w:rsidRDefault="009B1537" w:rsidP="009B1537">
            <w:r w:rsidRPr="009B1537">
              <w:rPr>
                <w:b/>
                <w:bCs/>
              </w:rPr>
              <w:t>Dow Jones</w:t>
            </w:r>
          </w:p>
        </w:tc>
        <w:tc>
          <w:tcPr>
            <w:tcW w:w="0" w:type="auto"/>
            <w:vAlign w:val="center"/>
            <w:hideMark/>
          </w:tcPr>
          <w:p w14:paraId="7A7204D6" w14:textId="77777777" w:rsidR="009B1537" w:rsidRPr="009B1537" w:rsidRDefault="009B1537" w:rsidP="009B1537">
            <w:r w:rsidRPr="009B1537">
              <w:t>43,819.27</w:t>
            </w:r>
          </w:p>
        </w:tc>
        <w:tc>
          <w:tcPr>
            <w:tcW w:w="0" w:type="auto"/>
            <w:vAlign w:val="center"/>
            <w:hideMark/>
          </w:tcPr>
          <w:p w14:paraId="03308280" w14:textId="77777777" w:rsidR="009B1537" w:rsidRPr="009B1537" w:rsidRDefault="009B1537" w:rsidP="009B1537">
            <w:r w:rsidRPr="009B1537">
              <w:t>+3.8%</w:t>
            </w:r>
          </w:p>
        </w:tc>
        <w:tc>
          <w:tcPr>
            <w:tcW w:w="0" w:type="auto"/>
            <w:vAlign w:val="center"/>
            <w:hideMark/>
          </w:tcPr>
          <w:p w14:paraId="770B2C9B" w14:textId="77777777" w:rsidR="009B1537" w:rsidRPr="009B1537" w:rsidRDefault="009B1537" w:rsidP="009B1537">
            <w:r w:rsidRPr="009B1537">
              <w:t>+3.0%</w:t>
            </w:r>
          </w:p>
        </w:tc>
        <w:tc>
          <w:tcPr>
            <w:tcW w:w="0" w:type="auto"/>
            <w:vAlign w:val="center"/>
            <w:hideMark/>
          </w:tcPr>
          <w:p w14:paraId="02BB3ACA" w14:textId="77777777" w:rsidR="009B1537" w:rsidRPr="009B1537" w:rsidRDefault="009B1537" w:rsidP="009B1537">
            <w:r w:rsidRPr="009B1537">
              <w:t>+432.43 (+1.00%)</w:t>
            </w:r>
          </w:p>
        </w:tc>
      </w:tr>
      <w:tr w:rsidR="009B1537" w:rsidRPr="009B1537" w14:paraId="53FAC95D" w14:textId="77777777" w:rsidTr="009B1537">
        <w:trPr>
          <w:tblCellSpacing w:w="15" w:type="dxa"/>
        </w:trPr>
        <w:tc>
          <w:tcPr>
            <w:tcW w:w="0" w:type="auto"/>
            <w:vAlign w:val="center"/>
            <w:hideMark/>
          </w:tcPr>
          <w:p w14:paraId="7DF0FCAA" w14:textId="77777777" w:rsidR="009B1537" w:rsidRPr="009B1537" w:rsidRDefault="009B1537" w:rsidP="009B1537">
            <w:r w:rsidRPr="009B1537">
              <w:rPr>
                <w:b/>
                <w:bCs/>
              </w:rPr>
              <w:t>Nasdaq</w:t>
            </w:r>
          </w:p>
        </w:tc>
        <w:tc>
          <w:tcPr>
            <w:tcW w:w="0" w:type="auto"/>
            <w:vAlign w:val="center"/>
            <w:hideMark/>
          </w:tcPr>
          <w:p w14:paraId="2119FD0C" w14:textId="77777777" w:rsidR="009B1537" w:rsidRPr="009B1537" w:rsidRDefault="009B1537" w:rsidP="009B1537">
            <w:r w:rsidRPr="009B1537">
              <w:t>20,273.46</w:t>
            </w:r>
          </w:p>
        </w:tc>
        <w:tc>
          <w:tcPr>
            <w:tcW w:w="0" w:type="auto"/>
            <w:vAlign w:val="center"/>
            <w:hideMark/>
          </w:tcPr>
          <w:p w14:paraId="7D0D6F6D" w14:textId="77777777" w:rsidR="009B1537" w:rsidRPr="009B1537" w:rsidRDefault="009B1537" w:rsidP="009B1537">
            <w:r w:rsidRPr="009B1537">
              <w:t>+4.2%</w:t>
            </w:r>
          </w:p>
        </w:tc>
        <w:tc>
          <w:tcPr>
            <w:tcW w:w="0" w:type="auto"/>
            <w:vAlign w:val="center"/>
            <w:hideMark/>
          </w:tcPr>
          <w:p w14:paraId="0778A00A" w14:textId="77777777" w:rsidR="009B1537" w:rsidRPr="009B1537" w:rsidRDefault="009B1537" w:rsidP="009B1537">
            <w:r w:rsidRPr="009B1537">
              <w:t>+5.0%</w:t>
            </w:r>
          </w:p>
        </w:tc>
        <w:tc>
          <w:tcPr>
            <w:tcW w:w="0" w:type="auto"/>
            <w:vAlign w:val="center"/>
            <w:hideMark/>
          </w:tcPr>
          <w:p w14:paraId="39A0416D" w14:textId="77777777" w:rsidR="009B1537" w:rsidRPr="009B1537" w:rsidRDefault="009B1537" w:rsidP="009B1537">
            <w:r w:rsidRPr="009B1537">
              <w:t>+105.55 (+0.52%)</w:t>
            </w:r>
          </w:p>
        </w:tc>
      </w:tr>
      <w:tr w:rsidR="009B1537" w:rsidRPr="009B1537" w14:paraId="538FA2BD" w14:textId="77777777" w:rsidTr="009B1537">
        <w:trPr>
          <w:tblCellSpacing w:w="15" w:type="dxa"/>
        </w:trPr>
        <w:tc>
          <w:tcPr>
            <w:tcW w:w="0" w:type="auto"/>
            <w:vAlign w:val="center"/>
            <w:hideMark/>
          </w:tcPr>
          <w:p w14:paraId="570BDBA9" w14:textId="77777777" w:rsidR="009B1537" w:rsidRPr="009B1537" w:rsidRDefault="009B1537" w:rsidP="009B1537">
            <w:r w:rsidRPr="009B1537">
              <w:rPr>
                <w:b/>
                <w:bCs/>
              </w:rPr>
              <w:t>Russell 2000</w:t>
            </w:r>
          </w:p>
        </w:tc>
        <w:tc>
          <w:tcPr>
            <w:tcW w:w="0" w:type="auto"/>
            <w:vAlign w:val="center"/>
            <w:hideMark/>
          </w:tcPr>
          <w:p w14:paraId="7CF6CB4A" w14:textId="77777777" w:rsidR="009B1537" w:rsidRPr="009B1537" w:rsidRDefault="009B1537" w:rsidP="009B1537">
            <w:r w:rsidRPr="009B1537">
              <w:t>2,172.53</w:t>
            </w:r>
          </w:p>
        </w:tc>
        <w:tc>
          <w:tcPr>
            <w:tcW w:w="0" w:type="auto"/>
            <w:vAlign w:val="center"/>
            <w:hideMark/>
          </w:tcPr>
          <w:p w14:paraId="22E1E17A" w14:textId="77777777" w:rsidR="009B1537" w:rsidRPr="009B1537" w:rsidRDefault="009B1537" w:rsidP="009B1537">
            <w:r w:rsidRPr="009B1537">
              <w:t>+3.0%</w:t>
            </w:r>
          </w:p>
        </w:tc>
        <w:tc>
          <w:tcPr>
            <w:tcW w:w="0" w:type="auto"/>
            <w:vAlign w:val="center"/>
            <w:hideMark/>
          </w:tcPr>
          <w:p w14:paraId="4E93C815" w14:textId="77777777" w:rsidR="009B1537" w:rsidRPr="009B1537" w:rsidRDefault="009B1537" w:rsidP="009B1537">
            <w:r w:rsidRPr="009B1537">
              <w:t>–2.6%</w:t>
            </w:r>
          </w:p>
        </w:tc>
        <w:tc>
          <w:tcPr>
            <w:tcW w:w="0" w:type="auto"/>
            <w:vAlign w:val="center"/>
            <w:hideMark/>
          </w:tcPr>
          <w:p w14:paraId="166FA167" w14:textId="77777777" w:rsidR="009B1537" w:rsidRPr="009B1537" w:rsidRDefault="009B1537" w:rsidP="009B1537">
            <w:r w:rsidRPr="009B1537">
              <w:t>+0.42 (+0.02%)</w:t>
            </w:r>
          </w:p>
        </w:tc>
      </w:tr>
    </w:tbl>
    <w:p w14:paraId="486320F3" w14:textId="77777777" w:rsidR="009B1537" w:rsidRPr="009B1537" w:rsidRDefault="009B1537" w:rsidP="009B1537">
      <w:r w:rsidRPr="009B1537">
        <w:rPr>
          <w:rFonts w:ascii="Segoe UI Emoji" w:hAnsi="Segoe UI Emoji" w:cs="Segoe UI Emoji"/>
          <w:sz w:val="32"/>
          <w:szCs w:val="32"/>
        </w:rPr>
        <w:t>📊</w:t>
      </w:r>
      <w:r w:rsidRPr="009B1537">
        <w:rPr>
          <w:sz w:val="32"/>
          <w:szCs w:val="32"/>
        </w:rPr>
        <w:t xml:space="preserve"> </w:t>
      </w:r>
      <w:r w:rsidRPr="009B1537">
        <w:rPr>
          <w:b/>
          <w:bCs/>
          <w:sz w:val="32"/>
          <w:szCs w:val="32"/>
        </w:rPr>
        <w:t>Key Insights</w:t>
      </w:r>
      <w:r w:rsidRPr="009B1537">
        <w:rPr>
          <w:sz w:val="32"/>
          <w:szCs w:val="32"/>
        </w:rPr>
        <w:t>:</w:t>
      </w:r>
      <w:r w:rsidRPr="009B1537">
        <w:br/>
        <w:t xml:space="preserve">• The </w:t>
      </w:r>
      <w:r w:rsidRPr="009B1537">
        <w:rPr>
          <w:b/>
          <w:bCs/>
        </w:rPr>
        <w:t>S&amp;P 500</w:t>
      </w:r>
      <w:r w:rsidRPr="009B1537">
        <w:t xml:space="preserve"> and </w:t>
      </w:r>
      <w:r w:rsidRPr="009B1537">
        <w:rPr>
          <w:b/>
          <w:bCs/>
        </w:rPr>
        <w:t>Nasdaq</w:t>
      </w:r>
      <w:r w:rsidRPr="009B1537">
        <w:t xml:space="preserve"> both closed at record highs, up 3.4% and 4.2% respectively, with YTD gains of 5%. Gains were led by AI and tech—particularly the "Magnificent Seven."</w:t>
      </w:r>
      <w:r w:rsidRPr="009B1537">
        <w:br/>
        <w:t xml:space="preserve">• The </w:t>
      </w:r>
      <w:r w:rsidRPr="009B1537">
        <w:rPr>
          <w:b/>
          <w:bCs/>
        </w:rPr>
        <w:t>Dow</w:t>
      </w:r>
      <w:r w:rsidRPr="009B1537">
        <w:t xml:space="preserve"> rose 3.8% this week, boosted by strength in industrials, financials, and consumer sectors.</w:t>
      </w:r>
      <w:r w:rsidRPr="009B1537">
        <w:br/>
        <w:t xml:space="preserve">• </w:t>
      </w:r>
      <w:r w:rsidRPr="009B1537">
        <w:rPr>
          <w:b/>
          <w:bCs/>
        </w:rPr>
        <w:t>Small caps</w:t>
      </w:r>
      <w:r w:rsidRPr="009B1537">
        <w:t xml:space="preserve"> also rebounded, with the </w:t>
      </w:r>
      <w:r w:rsidRPr="009B1537">
        <w:rPr>
          <w:b/>
          <w:bCs/>
        </w:rPr>
        <w:t>Russell 2000</w:t>
      </w:r>
      <w:r w:rsidRPr="009B1537">
        <w:t xml:space="preserve"> up 3%, though still negative YTD.</w:t>
      </w:r>
      <w:r w:rsidRPr="009B1537">
        <w:br/>
        <w:t xml:space="preserve">• All major indices gained around 0.5% on the day, with the </w:t>
      </w:r>
      <w:r w:rsidRPr="009B1537">
        <w:rPr>
          <w:b/>
          <w:bCs/>
        </w:rPr>
        <w:t>Dow</w:t>
      </w:r>
      <w:r w:rsidRPr="009B1537">
        <w:t xml:space="preserve"> leading in daily performance.</w:t>
      </w:r>
    </w:p>
    <w:p w14:paraId="1DF3E086" w14:textId="77777777" w:rsidR="009B1537" w:rsidRPr="009B1537" w:rsidRDefault="009B1537" w:rsidP="009B1537">
      <w:r w:rsidRPr="009B1537">
        <w:pict w14:anchorId="065534E2">
          <v:rect id="_x0000_i1143" style="width:0;height:1.5pt" o:hralign="center" o:hrstd="t" o:hr="t" fillcolor="#a0a0a0" stroked="f"/>
        </w:pict>
      </w:r>
    </w:p>
    <w:p w14:paraId="2FF92AC7" w14:textId="77777777" w:rsidR="009B1537" w:rsidRPr="009B1537" w:rsidRDefault="009B1537" w:rsidP="009B1537">
      <w:pPr>
        <w:rPr>
          <w:b/>
          <w:bCs/>
          <w:sz w:val="32"/>
          <w:szCs w:val="32"/>
        </w:rPr>
      </w:pPr>
      <w:r w:rsidRPr="009B1537">
        <w:rPr>
          <w:rFonts w:ascii="Segoe UI Emoji" w:hAnsi="Segoe UI Emoji" w:cs="Segoe UI Emoji"/>
          <w:b/>
          <w:bCs/>
          <w:sz w:val="32"/>
          <w:szCs w:val="32"/>
        </w:rPr>
        <w:t>📈</w:t>
      </w:r>
      <w:r w:rsidRPr="009B1537">
        <w:rPr>
          <w:b/>
          <w:bCs/>
          <w:sz w:val="32"/>
          <w:szCs w:val="32"/>
        </w:rPr>
        <w:t xml:space="preserve"> Noteworthy IPOs &amp; Equity Movers:</w:t>
      </w:r>
    </w:p>
    <w:p w14:paraId="04EAF3AE" w14:textId="77777777" w:rsidR="009B1537" w:rsidRPr="009B1537" w:rsidRDefault="009B1537" w:rsidP="009B1537">
      <w:r w:rsidRPr="009B1537">
        <w:t xml:space="preserve">• </w:t>
      </w:r>
      <w:proofErr w:type="spellStart"/>
      <w:r w:rsidRPr="009B1537">
        <w:rPr>
          <w:b/>
          <w:bCs/>
        </w:rPr>
        <w:t>Zeekr</w:t>
      </w:r>
      <w:proofErr w:type="spellEnd"/>
      <w:r w:rsidRPr="009B1537">
        <w:rPr>
          <w:b/>
          <w:bCs/>
        </w:rPr>
        <w:t xml:space="preserve"> (EV from China)</w:t>
      </w:r>
      <w:r w:rsidRPr="009B1537">
        <w:t>: +41% in debut week on Nasdaq, driven by optimism over its premium EV positioning and global expansion plans</w:t>
      </w:r>
      <w:r w:rsidRPr="009B1537">
        <w:br/>
        <w:t xml:space="preserve">• </w:t>
      </w:r>
      <w:proofErr w:type="spellStart"/>
      <w:r w:rsidRPr="009B1537">
        <w:rPr>
          <w:b/>
          <w:bCs/>
        </w:rPr>
        <w:t>CureGen</w:t>
      </w:r>
      <w:proofErr w:type="spellEnd"/>
      <w:r w:rsidRPr="009B1537">
        <w:rPr>
          <w:b/>
          <w:bCs/>
        </w:rPr>
        <w:t xml:space="preserve"> Biotech</w:t>
      </w:r>
      <w:r w:rsidRPr="009B1537">
        <w:t>: +89% on IPO day; specializes in RNA vaccine platform; saw strong institutional demand</w:t>
      </w:r>
      <w:r w:rsidRPr="009B1537">
        <w:br/>
        <w:t xml:space="preserve">• </w:t>
      </w:r>
      <w:proofErr w:type="spellStart"/>
      <w:r w:rsidRPr="009B1537">
        <w:rPr>
          <w:b/>
          <w:bCs/>
        </w:rPr>
        <w:t>ParcelLink</w:t>
      </w:r>
      <w:proofErr w:type="spellEnd"/>
      <w:r w:rsidRPr="009B1537">
        <w:rPr>
          <w:b/>
          <w:bCs/>
        </w:rPr>
        <w:t xml:space="preserve"> AI</w:t>
      </w:r>
      <w:r w:rsidRPr="009B1537">
        <w:t>: +35% debut; focused on AI for logistics and supply chains</w:t>
      </w:r>
      <w:r w:rsidRPr="009B1537">
        <w:br/>
        <w:t xml:space="preserve">• </w:t>
      </w:r>
      <w:r w:rsidRPr="009B1537">
        <w:rPr>
          <w:b/>
          <w:bCs/>
        </w:rPr>
        <w:t>Reddit</w:t>
      </w:r>
      <w:r w:rsidRPr="009B1537">
        <w:t>: +22% for the week after announcing 17% YoY growth in Q2 daily active users; monetization and community content strategy impress</w:t>
      </w:r>
      <w:r w:rsidRPr="009B1537">
        <w:br/>
        <w:t xml:space="preserve">• </w:t>
      </w:r>
      <w:r w:rsidRPr="009B1537">
        <w:rPr>
          <w:b/>
          <w:bCs/>
        </w:rPr>
        <w:t>Circle Internet Financial (USDC issuer)</w:t>
      </w:r>
      <w:r w:rsidRPr="009B1537">
        <w:t>: +12% this week; post-IPO gain exceeds +540% amid stablecoin regulation tailwinds from the GENIUS Act</w:t>
      </w:r>
      <w:r w:rsidRPr="009B1537">
        <w:br/>
        <w:t xml:space="preserve">• </w:t>
      </w:r>
      <w:r w:rsidRPr="009B1537">
        <w:rPr>
          <w:b/>
          <w:bCs/>
        </w:rPr>
        <w:t>Coinbase</w:t>
      </w:r>
      <w:r w:rsidRPr="009B1537">
        <w:t>: +9% this week; benefits from regulatory clarity around stablecoins, driving growth in USDC custody and crypto transaction volume</w:t>
      </w:r>
    </w:p>
    <w:p w14:paraId="44931674" w14:textId="77777777" w:rsidR="009B1537" w:rsidRPr="009B1537" w:rsidRDefault="009B1537" w:rsidP="009B1537">
      <w:r w:rsidRPr="009B1537">
        <w:rPr>
          <w:rFonts w:ascii="Segoe UI Emoji" w:hAnsi="Segoe UI Emoji" w:cs="Segoe UI Emoji"/>
          <w:sz w:val="32"/>
          <w:szCs w:val="32"/>
        </w:rPr>
        <w:lastRenderedPageBreak/>
        <w:t>🧩</w:t>
      </w:r>
      <w:r w:rsidRPr="009B1537">
        <w:rPr>
          <w:sz w:val="32"/>
          <w:szCs w:val="32"/>
        </w:rPr>
        <w:t xml:space="preserve"> </w:t>
      </w:r>
      <w:r w:rsidRPr="009B1537">
        <w:rPr>
          <w:b/>
          <w:bCs/>
          <w:sz w:val="32"/>
          <w:szCs w:val="32"/>
        </w:rPr>
        <w:t>Takeaway</w:t>
      </w:r>
      <w:r w:rsidRPr="009B1537">
        <w:rPr>
          <w:sz w:val="32"/>
          <w:szCs w:val="32"/>
        </w:rPr>
        <w:t>:</w:t>
      </w:r>
      <w:r w:rsidRPr="009B1537">
        <w:br/>
        <w:t>Circle and Coinbase are among the biggest beneficiaries of the GENIUS Act. With stablecoins now federally recognized as legitimate payment and settlement tools, Circle’s USDC is gaining traction in institutional finance and cross-border payments. Coinbase is expected to expand its role in custody and trading and launch more compliant digital asset financial products.</w:t>
      </w:r>
    </w:p>
    <w:p w14:paraId="59D13B7A" w14:textId="77777777" w:rsidR="009B1537" w:rsidRPr="009B1537" w:rsidRDefault="009B1537" w:rsidP="009B1537">
      <w:r w:rsidRPr="009B1537">
        <w:pict w14:anchorId="0DDA7282">
          <v:rect id="_x0000_i1144" style="width:0;height:1.5pt" o:hralign="center" o:hrstd="t" o:hr="t" fillcolor="#a0a0a0" stroked="f"/>
        </w:pict>
      </w:r>
    </w:p>
    <w:p w14:paraId="4AE3A145" w14:textId="77777777" w:rsidR="009B1537" w:rsidRPr="009B1537" w:rsidRDefault="009B1537" w:rsidP="009B1537">
      <w:pPr>
        <w:rPr>
          <w:b/>
          <w:bCs/>
          <w:sz w:val="32"/>
          <w:szCs w:val="32"/>
        </w:rPr>
      </w:pPr>
      <w:r w:rsidRPr="009B1537">
        <w:rPr>
          <w:b/>
          <w:bCs/>
          <w:sz w:val="32"/>
          <w:szCs w:val="32"/>
        </w:rPr>
        <w:t>III. Major News Highlights</w:t>
      </w:r>
    </w:p>
    <w:p w14:paraId="19AEA7C4" w14:textId="77777777" w:rsidR="009B1537" w:rsidRPr="009B1537" w:rsidRDefault="009B1537" w:rsidP="009B1537">
      <w:pPr>
        <w:numPr>
          <w:ilvl w:val="0"/>
          <w:numId w:val="4"/>
        </w:numPr>
      </w:pPr>
      <w:r w:rsidRPr="009B1537">
        <w:rPr>
          <w:b/>
          <w:bCs/>
        </w:rPr>
        <w:t>Core PCE data supports rate-cut expectations</w:t>
      </w:r>
      <w:r w:rsidRPr="009B1537">
        <w:t>, strengthening the case for a September shift</w:t>
      </w:r>
    </w:p>
    <w:p w14:paraId="5C66B98E" w14:textId="77777777" w:rsidR="009B1537" w:rsidRPr="009B1537" w:rsidRDefault="009B1537" w:rsidP="009B1537">
      <w:pPr>
        <w:numPr>
          <w:ilvl w:val="0"/>
          <w:numId w:val="4"/>
        </w:numPr>
      </w:pPr>
      <w:r w:rsidRPr="009B1537">
        <w:rPr>
          <w:b/>
          <w:bCs/>
        </w:rPr>
        <w:t>Apple confirms partnership with OpenAI</w:t>
      </w:r>
      <w:r w:rsidRPr="009B1537">
        <w:t>, integrating ChatGPT-5 into iOS—boosting the AI sector; NVIDIA becomes the world’s most valuable company</w:t>
      </w:r>
    </w:p>
    <w:p w14:paraId="6BE974FE" w14:textId="77777777" w:rsidR="009B1537" w:rsidRPr="009B1537" w:rsidRDefault="009B1537" w:rsidP="009B1537">
      <w:pPr>
        <w:numPr>
          <w:ilvl w:val="0"/>
          <w:numId w:val="4"/>
        </w:numPr>
      </w:pPr>
      <w:r w:rsidRPr="009B1537">
        <w:rPr>
          <w:b/>
          <w:bCs/>
        </w:rPr>
        <w:t>U.S.–China trade tension eases</w:t>
      </w:r>
      <w:r w:rsidRPr="009B1537">
        <w:t>, with signs the U.S. may extend tariff waivers</w:t>
      </w:r>
    </w:p>
    <w:p w14:paraId="763A3080" w14:textId="77777777" w:rsidR="009B1537" w:rsidRPr="009B1537" w:rsidRDefault="009B1537" w:rsidP="009B1537">
      <w:pPr>
        <w:numPr>
          <w:ilvl w:val="0"/>
          <w:numId w:val="4"/>
        </w:numPr>
      </w:pPr>
      <w:r w:rsidRPr="009B1537">
        <w:rPr>
          <w:b/>
          <w:bCs/>
        </w:rPr>
        <w:t>ECB signals another rate cut in July</w:t>
      </w:r>
      <w:r w:rsidRPr="009B1537">
        <w:t>, weakening the euro and strengthening the dollar</w:t>
      </w:r>
    </w:p>
    <w:p w14:paraId="3163A4FF" w14:textId="77777777" w:rsidR="009B1537" w:rsidRPr="009B1537" w:rsidRDefault="009B1537" w:rsidP="009B1537">
      <w:pPr>
        <w:numPr>
          <w:ilvl w:val="0"/>
          <w:numId w:val="4"/>
        </w:numPr>
      </w:pPr>
      <w:r w:rsidRPr="009B1537">
        <w:rPr>
          <w:b/>
          <w:bCs/>
        </w:rPr>
        <w:t>Israel–Lebanon conflict de-escalates</w:t>
      </w:r>
      <w:r w:rsidRPr="009B1537">
        <w:t>, sending oil prices down and lowering safe-haven demand</w:t>
      </w:r>
    </w:p>
    <w:p w14:paraId="56BDA646" w14:textId="77777777" w:rsidR="009B1537" w:rsidRPr="009B1537" w:rsidRDefault="009B1537" w:rsidP="009B1537">
      <w:r w:rsidRPr="009B1537">
        <w:pict w14:anchorId="1067A5BE">
          <v:rect id="_x0000_i1145" style="width:0;height:1.5pt" o:hralign="center" o:hrstd="t" o:hr="t" fillcolor="#a0a0a0" stroked="f"/>
        </w:pict>
      </w:r>
    </w:p>
    <w:p w14:paraId="44A0AAE3" w14:textId="77777777" w:rsidR="009B1537" w:rsidRPr="009B1537" w:rsidRDefault="009B1537" w:rsidP="009B1537">
      <w:pPr>
        <w:rPr>
          <w:b/>
          <w:bCs/>
          <w:sz w:val="32"/>
          <w:szCs w:val="32"/>
        </w:rPr>
      </w:pPr>
      <w:r w:rsidRPr="009B1537">
        <w:rPr>
          <w:b/>
          <w:bCs/>
          <w:sz w:val="32"/>
          <w:szCs w:val="32"/>
        </w:rPr>
        <w:t>IV. Commodities &amp; Safe-Haven Assets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1883"/>
        <w:gridCol w:w="3804"/>
      </w:tblGrid>
      <w:tr w:rsidR="009B1537" w:rsidRPr="009B1537" w14:paraId="7E3917B3" w14:textId="77777777" w:rsidTr="009B1537">
        <w:trPr>
          <w:tblHeader/>
          <w:tblCellSpacing w:w="15" w:type="dxa"/>
        </w:trPr>
        <w:tc>
          <w:tcPr>
            <w:tcW w:w="0" w:type="auto"/>
            <w:vAlign w:val="center"/>
            <w:hideMark/>
          </w:tcPr>
          <w:p w14:paraId="62C8B009" w14:textId="77777777" w:rsidR="009B1537" w:rsidRPr="009B1537" w:rsidRDefault="009B1537" w:rsidP="009B1537">
            <w:pPr>
              <w:rPr>
                <w:b/>
                <w:bCs/>
              </w:rPr>
            </w:pPr>
            <w:r w:rsidRPr="009B1537">
              <w:rPr>
                <w:b/>
                <w:bCs/>
              </w:rPr>
              <w:t>Asset</w:t>
            </w:r>
          </w:p>
        </w:tc>
        <w:tc>
          <w:tcPr>
            <w:tcW w:w="0" w:type="auto"/>
            <w:vAlign w:val="center"/>
            <w:hideMark/>
          </w:tcPr>
          <w:p w14:paraId="481646D9" w14:textId="77777777" w:rsidR="009B1537" w:rsidRPr="009B1537" w:rsidRDefault="009B1537" w:rsidP="009B1537">
            <w:pPr>
              <w:rPr>
                <w:b/>
                <w:bCs/>
              </w:rPr>
            </w:pPr>
            <w:r w:rsidRPr="009B1537">
              <w:rPr>
                <w:b/>
                <w:bCs/>
              </w:rPr>
              <w:t>Weekly Change</w:t>
            </w:r>
          </w:p>
        </w:tc>
        <w:tc>
          <w:tcPr>
            <w:tcW w:w="0" w:type="auto"/>
            <w:vAlign w:val="center"/>
            <w:hideMark/>
          </w:tcPr>
          <w:p w14:paraId="19A8DD28" w14:textId="77777777" w:rsidR="009B1537" w:rsidRPr="009B1537" w:rsidRDefault="009B1537" w:rsidP="009B1537">
            <w:pPr>
              <w:rPr>
                <w:b/>
                <w:bCs/>
              </w:rPr>
            </w:pPr>
            <w:r w:rsidRPr="009B1537">
              <w:rPr>
                <w:b/>
                <w:bCs/>
              </w:rPr>
              <w:t>Price (as of 6/27 close)</w:t>
            </w:r>
          </w:p>
        </w:tc>
      </w:tr>
      <w:tr w:rsidR="009B1537" w:rsidRPr="009B1537" w14:paraId="0402896C" w14:textId="77777777" w:rsidTr="009B1537">
        <w:trPr>
          <w:tblCellSpacing w:w="15" w:type="dxa"/>
        </w:trPr>
        <w:tc>
          <w:tcPr>
            <w:tcW w:w="0" w:type="auto"/>
            <w:vAlign w:val="center"/>
            <w:hideMark/>
          </w:tcPr>
          <w:p w14:paraId="6F4F3BDD" w14:textId="77777777" w:rsidR="009B1537" w:rsidRPr="009B1537" w:rsidRDefault="009B1537" w:rsidP="009B1537">
            <w:r w:rsidRPr="009B1537">
              <w:t>WTI Crude Oil</w:t>
            </w:r>
          </w:p>
        </w:tc>
        <w:tc>
          <w:tcPr>
            <w:tcW w:w="0" w:type="auto"/>
            <w:vAlign w:val="center"/>
            <w:hideMark/>
          </w:tcPr>
          <w:p w14:paraId="4DB887A4" w14:textId="77777777" w:rsidR="009B1537" w:rsidRPr="009B1537" w:rsidRDefault="009B1537" w:rsidP="009B1537">
            <w:r w:rsidRPr="009B1537">
              <w:t>–12%</w:t>
            </w:r>
          </w:p>
        </w:tc>
        <w:tc>
          <w:tcPr>
            <w:tcW w:w="0" w:type="auto"/>
            <w:vAlign w:val="center"/>
            <w:hideMark/>
          </w:tcPr>
          <w:p w14:paraId="3B38903F" w14:textId="77777777" w:rsidR="009B1537" w:rsidRPr="009B1537" w:rsidRDefault="009B1537" w:rsidP="009B1537">
            <w:r w:rsidRPr="009B1537">
              <w:t>$65.64 / barrel (</w:t>
            </w:r>
            <w:hyperlink r:id="rId6" w:tgtFrame="_new" w:history="1">
              <w:r w:rsidRPr="009B1537">
                <w:rPr>
                  <w:rStyle w:val="Hyperlink"/>
                </w:rPr>
                <w:t>Reuters</w:t>
              </w:r>
            </w:hyperlink>
            <w:r w:rsidRPr="009B1537">
              <w:t>)</w:t>
            </w:r>
          </w:p>
        </w:tc>
      </w:tr>
      <w:tr w:rsidR="009B1537" w:rsidRPr="009B1537" w14:paraId="1BD8E021" w14:textId="77777777" w:rsidTr="009B1537">
        <w:trPr>
          <w:tblCellSpacing w:w="15" w:type="dxa"/>
        </w:trPr>
        <w:tc>
          <w:tcPr>
            <w:tcW w:w="0" w:type="auto"/>
            <w:vAlign w:val="center"/>
            <w:hideMark/>
          </w:tcPr>
          <w:p w14:paraId="705EA11D" w14:textId="77777777" w:rsidR="009B1537" w:rsidRPr="009B1537" w:rsidRDefault="009B1537" w:rsidP="009B1537">
            <w:r w:rsidRPr="009B1537">
              <w:t>Brent Crude Oil</w:t>
            </w:r>
          </w:p>
        </w:tc>
        <w:tc>
          <w:tcPr>
            <w:tcW w:w="0" w:type="auto"/>
            <w:vAlign w:val="center"/>
            <w:hideMark/>
          </w:tcPr>
          <w:p w14:paraId="7957CE2B" w14:textId="77777777" w:rsidR="009B1537" w:rsidRPr="009B1537" w:rsidRDefault="009B1537" w:rsidP="009B1537">
            <w:r w:rsidRPr="009B1537">
              <w:t>–12%</w:t>
            </w:r>
          </w:p>
        </w:tc>
        <w:tc>
          <w:tcPr>
            <w:tcW w:w="0" w:type="auto"/>
            <w:vAlign w:val="center"/>
            <w:hideMark/>
          </w:tcPr>
          <w:p w14:paraId="388D328B" w14:textId="77777777" w:rsidR="009B1537" w:rsidRPr="009B1537" w:rsidRDefault="009B1537" w:rsidP="009B1537">
            <w:r w:rsidRPr="009B1537">
              <w:t>$68.08 / barrel</w:t>
            </w:r>
          </w:p>
        </w:tc>
      </w:tr>
      <w:tr w:rsidR="009B1537" w:rsidRPr="009B1537" w14:paraId="127F054A" w14:textId="77777777" w:rsidTr="009B1537">
        <w:trPr>
          <w:tblCellSpacing w:w="15" w:type="dxa"/>
        </w:trPr>
        <w:tc>
          <w:tcPr>
            <w:tcW w:w="0" w:type="auto"/>
            <w:vAlign w:val="center"/>
            <w:hideMark/>
          </w:tcPr>
          <w:p w14:paraId="6A1B1F76" w14:textId="77777777" w:rsidR="009B1537" w:rsidRPr="009B1537" w:rsidRDefault="009B1537" w:rsidP="009B1537">
            <w:r w:rsidRPr="009B1537">
              <w:t>Gold</w:t>
            </w:r>
          </w:p>
        </w:tc>
        <w:tc>
          <w:tcPr>
            <w:tcW w:w="0" w:type="auto"/>
            <w:vAlign w:val="center"/>
            <w:hideMark/>
          </w:tcPr>
          <w:p w14:paraId="2D92EB07" w14:textId="77777777" w:rsidR="009B1537" w:rsidRPr="009B1537" w:rsidRDefault="009B1537" w:rsidP="009B1537">
            <w:r w:rsidRPr="009B1537">
              <w:t>–1.4% (daily drop)</w:t>
            </w:r>
          </w:p>
        </w:tc>
        <w:tc>
          <w:tcPr>
            <w:tcW w:w="0" w:type="auto"/>
            <w:vAlign w:val="center"/>
            <w:hideMark/>
          </w:tcPr>
          <w:p w14:paraId="784F3A5D" w14:textId="77777777" w:rsidR="009B1537" w:rsidRPr="009B1537" w:rsidRDefault="009B1537" w:rsidP="009B1537">
            <w:r w:rsidRPr="009B1537">
              <w:t>£3,272 / oz ≈</w:t>
            </w:r>
            <w:r w:rsidRPr="009B1537">
              <w:rPr>
                <w:rFonts w:ascii="Arial" w:hAnsi="Arial" w:cs="Arial"/>
              </w:rPr>
              <w:t> </w:t>
            </w:r>
            <w:r w:rsidRPr="009B1537">
              <w:t>$3,272 / oz (London fix)</w:t>
            </w:r>
          </w:p>
        </w:tc>
      </w:tr>
      <w:tr w:rsidR="009B1537" w:rsidRPr="009B1537" w14:paraId="70E30DB0" w14:textId="77777777" w:rsidTr="009B1537">
        <w:trPr>
          <w:tblCellSpacing w:w="15" w:type="dxa"/>
        </w:trPr>
        <w:tc>
          <w:tcPr>
            <w:tcW w:w="0" w:type="auto"/>
            <w:vAlign w:val="center"/>
            <w:hideMark/>
          </w:tcPr>
          <w:p w14:paraId="2DFA92F8" w14:textId="77777777" w:rsidR="009B1537" w:rsidRPr="009B1537" w:rsidRDefault="009B1537" w:rsidP="009B1537">
            <w:r w:rsidRPr="009B1537">
              <w:t>Silver</w:t>
            </w:r>
          </w:p>
        </w:tc>
        <w:tc>
          <w:tcPr>
            <w:tcW w:w="0" w:type="auto"/>
            <w:vAlign w:val="center"/>
            <w:hideMark/>
          </w:tcPr>
          <w:p w14:paraId="00E4F895" w14:textId="77777777" w:rsidR="009B1537" w:rsidRPr="009B1537" w:rsidRDefault="009B1537" w:rsidP="009B1537">
            <w:r w:rsidRPr="009B1537">
              <w:t>~–1%</w:t>
            </w:r>
          </w:p>
        </w:tc>
        <w:tc>
          <w:tcPr>
            <w:tcW w:w="0" w:type="auto"/>
            <w:vAlign w:val="center"/>
            <w:hideMark/>
          </w:tcPr>
          <w:p w14:paraId="6B21205A" w14:textId="77777777" w:rsidR="009B1537" w:rsidRPr="009B1537" w:rsidRDefault="009B1537" w:rsidP="009B1537">
            <w:r w:rsidRPr="009B1537">
              <w:t>(</w:t>
            </w:r>
            <w:proofErr w:type="gramStart"/>
            <w:r w:rsidRPr="009B1537">
              <w:t>similar to</w:t>
            </w:r>
            <w:proofErr w:type="gramEnd"/>
            <w:r w:rsidRPr="009B1537">
              <w:t xml:space="preserve"> gold, no formal fix)</w:t>
            </w:r>
          </w:p>
        </w:tc>
      </w:tr>
      <w:tr w:rsidR="009B1537" w:rsidRPr="009B1537" w14:paraId="72C351AE" w14:textId="77777777" w:rsidTr="009B1537">
        <w:trPr>
          <w:tblCellSpacing w:w="15" w:type="dxa"/>
        </w:trPr>
        <w:tc>
          <w:tcPr>
            <w:tcW w:w="0" w:type="auto"/>
            <w:vAlign w:val="center"/>
            <w:hideMark/>
          </w:tcPr>
          <w:p w14:paraId="5190FB05" w14:textId="77777777" w:rsidR="009B1537" w:rsidRPr="009B1537" w:rsidRDefault="009B1537" w:rsidP="009B1537">
            <w:r w:rsidRPr="009B1537">
              <w:t>Copper</w:t>
            </w:r>
          </w:p>
        </w:tc>
        <w:tc>
          <w:tcPr>
            <w:tcW w:w="0" w:type="auto"/>
            <w:vAlign w:val="center"/>
            <w:hideMark/>
          </w:tcPr>
          <w:p w14:paraId="41FABFD0" w14:textId="77777777" w:rsidR="009B1537" w:rsidRPr="009B1537" w:rsidRDefault="009B1537" w:rsidP="009B1537">
            <w:r w:rsidRPr="009B1537">
              <w:t>–0.4%</w:t>
            </w:r>
          </w:p>
        </w:tc>
        <w:tc>
          <w:tcPr>
            <w:tcW w:w="0" w:type="auto"/>
            <w:vAlign w:val="center"/>
            <w:hideMark/>
          </w:tcPr>
          <w:p w14:paraId="4B9D75F7" w14:textId="77777777" w:rsidR="009B1537" w:rsidRPr="009B1537" w:rsidRDefault="009B1537" w:rsidP="009B1537">
            <w:r w:rsidRPr="009B1537">
              <w:t xml:space="preserve">$5.05 / </w:t>
            </w:r>
            <w:proofErr w:type="spellStart"/>
            <w:r w:rsidRPr="009B1537">
              <w:t>lb</w:t>
            </w:r>
            <w:proofErr w:type="spellEnd"/>
          </w:p>
        </w:tc>
      </w:tr>
    </w:tbl>
    <w:p w14:paraId="4A216EF4" w14:textId="77777777" w:rsidR="009B1537" w:rsidRPr="009B1537" w:rsidRDefault="009B1537" w:rsidP="009B1537">
      <w:r w:rsidRPr="009B1537">
        <w:rPr>
          <w:rFonts w:ascii="Segoe UI Emoji" w:hAnsi="Segoe UI Emoji" w:cs="Segoe UI Emoji"/>
          <w:sz w:val="32"/>
          <w:szCs w:val="32"/>
        </w:rPr>
        <w:t>🏦</w:t>
      </w:r>
      <w:r w:rsidRPr="009B1537">
        <w:rPr>
          <w:sz w:val="32"/>
          <w:szCs w:val="32"/>
        </w:rPr>
        <w:t xml:space="preserve"> </w:t>
      </w:r>
      <w:r w:rsidRPr="009B1537">
        <w:rPr>
          <w:b/>
          <w:bCs/>
          <w:sz w:val="32"/>
          <w:szCs w:val="32"/>
        </w:rPr>
        <w:t>Insights</w:t>
      </w:r>
      <w:r w:rsidRPr="009B1537">
        <w:rPr>
          <w:sz w:val="32"/>
          <w:szCs w:val="32"/>
        </w:rPr>
        <w:t>:</w:t>
      </w:r>
      <w:r w:rsidRPr="009B1537">
        <w:br/>
        <w:t>• Oil prices plunged due to Middle East tension de-escalation and fading war premium</w:t>
      </w:r>
      <w:r w:rsidRPr="009B1537">
        <w:br/>
      </w:r>
      <w:r w:rsidRPr="009B1537">
        <w:lastRenderedPageBreak/>
        <w:t>• Gold softened with reduced safe-haven demand; silver followed a similar path</w:t>
      </w:r>
      <w:r w:rsidRPr="009B1537">
        <w:br/>
        <w:t>• The U.S. dollar remained firm, supported by yield differentials and global uncertainty</w:t>
      </w:r>
    </w:p>
    <w:p w14:paraId="7FAA7275" w14:textId="77777777" w:rsidR="009B1537" w:rsidRPr="009B1537" w:rsidRDefault="009B1537" w:rsidP="009B1537">
      <w:r w:rsidRPr="009B1537">
        <w:pict w14:anchorId="734E2C8F">
          <v:rect id="_x0000_i1146" style="width:0;height:1.5pt" o:hralign="center" o:hrstd="t" o:hr="t" fillcolor="#a0a0a0" stroked="f"/>
        </w:pict>
      </w:r>
    </w:p>
    <w:p w14:paraId="48F60151" w14:textId="77777777" w:rsidR="009B1537" w:rsidRPr="009B1537" w:rsidRDefault="009B1537" w:rsidP="009B1537">
      <w:pPr>
        <w:rPr>
          <w:b/>
          <w:bCs/>
          <w:sz w:val="32"/>
          <w:szCs w:val="32"/>
        </w:rPr>
      </w:pPr>
      <w:r w:rsidRPr="009B1537">
        <w:rPr>
          <w:b/>
          <w:bCs/>
          <w:sz w:val="32"/>
          <w:szCs w:val="32"/>
        </w:rPr>
        <w:t>V. Key Corporate Highlights</w:t>
      </w:r>
    </w:p>
    <w:p w14:paraId="209D625C" w14:textId="77777777" w:rsidR="009B1537" w:rsidRPr="009B1537" w:rsidRDefault="009B1537" w:rsidP="009B1537">
      <w:r w:rsidRPr="009B1537">
        <w:t xml:space="preserve">• </w:t>
      </w:r>
      <w:r w:rsidRPr="009B1537">
        <w:rPr>
          <w:rFonts w:ascii="Segoe UI Emoji" w:hAnsi="Segoe UI Emoji" w:cs="Segoe UI Emoji"/>
        </w:rPr>
        <w:t>🧠</w:t>
      </w:r>
      <w:r w:rsidRPr="009B1537">
        <w:t xml:space="preserve"> </w:t>
      </w:r>
      <w:r w:rsidRPr="009B1537">
        <w:rPr>
          <w:b/>
          <w:bCs/>
        </w:rPr>
        <w:t>NVIDIA</w:t>
      </w:r>
      <w:r w:rsidRPr="009B1537">
        <w:t xml:space="preserve"> surpasses Apple and Microsoft in market cap, now the world’s most valuable company</w:t>
      </w:r>
      <w:r w:rsidRPr="009B1537">
        <w:br/>
        <w:t xml:space="preserve">• </w:t>
      </w:r>
      <w:r w:rsidRPr="009B1537">
        <w:rPr>
          <w:rFonts w:ascii="Segoe UI Emoji" w:hAnsi="Segoe UI Emoji" w:cs="Segoe UI Emoji"/>
        </w:rPr>
        <w:t>🤝</w:t>
      </w:r>
      <w:r w:rsidRPr="009B1537">
        <w:t xml:space="preserve"> </w:t>
      </w:r>
      <w:r w:rsidRPr="009B1537">
        <w:rPr>
          <w:b/>
          <w:bCs/>
        </w:rPr>
        <w:t>Apple &amp; OpenAI</w:t>
      </w:r>
      <w:r w:rsidRPr="009B1537">
        <w:t xml:space="preserve"> formalize strategic partnership, positioning Apple at the forefront of AI hardware integration</w:t>
      </w:r>
      <w:r w:rsidRPr="009B1537">
        <w:br/>
        <w:t xml:space="preserve">• </w:t>
      </w:r>
      <w:r w:rsidRPr="009B1537">
        <w:rPr>
          <w:rFonts w:ascii="Segoe UI Emoji" w:hAnsi="Segoe UI Emoji" w:cs="Segoe UI Emoji"/>
        </w:rPr>
        <w:t>🧬</w:t>
      </w:r>
      <w:r w:rsidRPr="009B1537">
        <w:t xml:space="preserve"> </w:t>
      </w:r>
      <w:r w:rsidRPr="009B1537">
        <w:rPr>
          <w:b/>
          <w:bCs/>
        </w:rPr>
        <w:t>Eli Lilly</w:t>
      </w:r>
      <w:r w:rsidRPr="009B1537">
        <w:t xml:space="preserve"> acquires Verve Therapeutics, expanding in gene therapy</w:t>
      </w:r>
      <w:r w:rsidRPr="009B1537">
        <w:br/>
        <w:t xml:space="preserve">• </w:t>
      </w:r>
      <w:r w:rsidRPr="009B1537">
        <w:rPr>
          <w:rFonts w:ascii="Segoe UI Emoji" w:hAnsi="Segoe UI Emoji" w:cs="Segoe UI Emoji"/>
        </w:rPr>
        <w:t>🏪</w:t>
      </w:r>
      <w:r w:rsidRPr="009B1537">
        <w:t xml:space="preserve"> </w:t>
      </w:r>
      <w:r w:rsidRPr="009B1537">
        <w:rPr>
          <w:b/>
          <w:bCs/>
        </w:rPr>
        <w:t>Reddit</w:t>
      </w:r>
      <w:r w:rsidRPr="009B1537">
        <w:t xml:space="preserve"> surges on strong user growth and positive financial outlook</w:t>
      </w:r>
    </w:p>
    <w:p w14:paraId="50D32668" w14:textId="77777777" w:rsidR="009B1537" w:rsidRPr="009B1537" w:rsidRDefault="009B1537" w:rsidP="009B1537">
      <w:r w:rsidRPr="009B1537">
        <w:pict w14:anchorId="19104F2E">
          <v:rect id="_x0000_i1147" style="width:0;height:1.5pt" o:hralign="center" o:hrstd="t" o:hr="t" fillcolor="#a0a0a0" stroked="f"/>
        </w:pict>
      </w:r>
    </w:p>
    <w:p w14:paraId="4F754C75" w14:textId="77777777" w:rsidR="009B1537" w:rsidRPr="009B1537" w:rsidRDefault="009B1537" w:rsidP="009B1537">
      <w:pPr>
        <w:rPr>
          <w:b/>
          <w:bCs/>
          <w:sz w:val="32"/>
          <w:szCs w:val="32"/>
        </w:rPr>
      </w:pPr>
      <w:r w:rsidRPr="009B1537">
        <w:rPr>
          <w:b/>
          <w:bCs/>
          <w:sz w:val="32"/>
          <w:szCs w:val="32"/>
        </w:rPr>
        <w:t>VI. Key Upcoming Events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3211"/>
        <w:gridCol w:w="5223"/>
      </w:tblGrid>
      <w:tr w:rsidR="009B1537" w:rsidRPr="009B1537" w14:paraId="369D2992" w14:textId="77777777" w:rsidTr="009B1537">
        <w:trPr>
          <w:tblHeader/>
          <w:tblCellSpacing w:w="15" w:type="dxa"/>
        </w:trPr>
        <w:tc>
          <w:tcPr>
            <w:tcW w:w="0" w:type="auto"/>
            <w:vAlign w:val="center"/>
            <w:hideMark/>
          </w:tcPr>
          <w:p w14:paraId="6202F4D3" w14:textId="77777777" w:rsidR="009B1537" w:rsidRPr="009B1537" w:rsidRDefault="009B1537" w:rsidP="009B1537">
            <w:pPr>
              <w:rPr>
                <w:b/>
                <w:bCs/>
              </w:rPr>
            </w:pPr>
            <w:r w:rsidRPr="009B1537">
              <w:rPr>
                <w:b/>
                <w:bCs/>
              </w:rPr>
              <w:t>Date</w:t>
            </w:r>
          </w:p>
        </w:tc>
        <w:tc>
          <w:tcPr>
            <w:tcW w:w="0" w:type="auto"/>
            <w:vAlign w:val="center"/>
            <w:hideMark/>
          </w:tcPr>
          <w:p w14:paraId="26773811" w14:textId="77777777" w:rsidR="009B1537" w:rsidRPr="009B1537" w:rsidRDefault="009B1537" w:rsidP="009B1537">
            <w:pPr>
              <w:rPr>
                <w:b/>
                <w:bCs/>
              </w:rPr>
            </w:pPr>
            <w:r w:rsidRPr="009B1537">
              <w:rPr>
                <w:b/>
                <w:bCs/>
              </w:rPr>
              <w:t>Event</w:t>
            </w:r>
          </w:p>
        </w:tc>
        <w:tc>
          <w:tcPr>
            <w:tcW w:w="0" w:type="auto"/>
            <w:vAlign w:val="center"/>
            <w:hideMark/>
          </w:tcPr>
          <w:p w14:paraId="46AEAFDA" w14:textId="77777777" w:rsidR="009B1537" w:rsidRPr="009B1537" w:rsidRDefault="009B1537" w:rsidP="009B1537">
            <w:pPr>
              <w:rPr>
                <w:b/>
                <w:bCs/>
              </w:rPr>
            </w:pPr>
            <w:r w:rsidRPr="009B1537">
              <w:rPr>
                <w:b/>
                <w:bCs/>
              </w:rPr>
              <w:t>Market Impact</w:t>
            </w:r>
          </w:p>
        </w:tc>
      </w:tr>
      <w:tr w:rsidR="009B1537" w:rsidRPr="009B1537" w14:paraId="57E56964" w14:textId="77777777" w:rsidTr="009B1537">
        <w:trPr>
          <w:tblCellSpacing w:w="15" w:type="dxa"/>
        </w:trPr>
        <w:tc>
          <w:tcPr>
            <w:tcW w:w="0" w:type="auto"/>
            <w:vAlign w:val="center"/>
            <w:hideMark/>
          </w:tcPr>
          <w:p w14:paraId="465084AE" w14:textId="77777777" w:rsidR="009B1537" w:rsidRPr="009B1537" w:rsidRDefault="009B1537" w:rsidP="009B1537">
            <w:r w:rsidRPr="009B1537">
              <w:t>July 10</w:t>
            </w:r>
          </w:p>
        </w:tc>
        <w:tc>
          <w:tcPr>
            <w:tcW w:w="0" w:type="auto"/>
            <w:vAlign w:val="center"/>
            <w:hideMark/>
          </w:tcPr>
          <w:p w14:paraId="19FEDB5C" w14:textId="77777777" w:rsidR="009B1537" w:rsidRPr="009B1537" w:rsidRDefault="009B1537" w:rsidP="009B1537">
            <w:r w:rsidRPr="009B1537">
              <w:t>June CPI Report</w:t>
            </w:r>
          </w:p>
        </w:tc>
        <w:tc>
          <w:tcPr>
            <w:tcW w:w="0" w:type="auto"/>
            <w:vAlign w:val="center"/>
            <w:hideMark/>
          </w:tcPr>
          <w:p w14:paraId="61320B39" w14:textId="77777777" w:rsidR="009B1537" w:rsidRPr="009B1537" w:rsidRDefault="009B1537" w:rsidP="009B1537">
            <w:r w:rsidRPr="009B1537">
              <w:t>If MoM is ≤ 0.2%, Fed rate-cut probability rises sharply</w:t>
            </w:r>
          </w:p>
        </w:tc>
      </w:tr>
      <w:tr w:rsidR="009B1537" w:rsidRPr="009B1537" w14:paraId="0A2986C8" w14:textId="77777777" w:rsidTr="009B1537">
        <w:trPr>
          <w:tblCellSpacing w:w="15" w:type="dxa"/>
        </w:trPr>
        <w:tc>
          <w:tcPr>
            <w:tcW w:w="0" w:type="auto"/>
            <w:vAlign w:val="center"/>
            <w:hideMark/>
          </w:tcPr>
          <w:p w14:paraId="1708F972" w14:textId="77777777" w:rsidR="009B1537" w:rsidRPr="009B1537" w:rsidRDefault="009B1537" w:rsidP="009B1537">
            <w:r w:rsidRPr="009B1537">
              <w:t>July 16</w:t>
            </w:r>
          </w:p>
        </w:tc>
        <w:tc>
          <w:tcPr>
            <w:tcW w:w="0" w:type="auto"/>
            <w:vAlign w:val="center"/>
            <w:hideMark/>
          </w:tcPr>
          <w:p w14:paraId="4E565544" w14:textId="77777777" w:rsidR="009B1537" w:rsidRPr="009B1537" w:rsidRDefault="009B1537" w:rsidP="009B1537">
            <w:r w:rsidRPr="009B1537">
              <w:t>Powell Congressional Testimony</w:t>
            </w:r>
          </w:p>
        </w:tc>
        <w:tc>
          <w:tcPr>
            <w:tcW w:w="0" w:type="auto"/>
            <w:vAlign w:val="center"/>
            <w:hideMark/>
          </w:tcPr>
          <w:p w14:paraId="6111FD26" w14:textId="77777777" w:rsidR="009B1537" w:rsidRPr="009B1537" w:rsidRDefault="009B1537" w:rsidP="009B1537">
            <w:r w:rsidRPr="009B1537">
              <w:t>Key moment to gauge Fed’s September stance</w:t>
            </w:r>
          </w:p>
        </w:tc>
      </w:tr>
      <w:tr w:rsidR="009B1537" w:rsidRPr="009B1537" w14:paraId="3D496393" w14:textId="77777777" w:rsidTr="009B1537">
        <w:trPr>
          <w:tblCellSpacing w:w="15" w:type="dxa"/>
        </w:trPr>
        <w:tc>
          <w:tcPr>
            <w:tcW w:w="0" w:type="auto"/>
            <w:vAlign w:val="center"/>
            <w:hideMark/>
          </w:tcPr>
          <w:p w14:paraId="76245050" w14:textId="77777777" w:rsidR="009B1537" w:rsidRPr="009B1537" w:rsidRDefault="009B1537" w:rsidP="009B1537">
            <w:r w:rsidRPr="009B1537">
              <w:t>Late July</w:t>
            </w:r>
          </w:p>
        </w:tc>
        <w:tc>
          <w:tcPr>
            <w:tcW w:w="0" w:type="auto"/>
            <w:vAlign w:val="center"/>
            <w:hideMark/>
          </w:tcPr>
          <w:p w14:paraId="6A2A0CF6" w14:textId="77777777" w:rsidR="009B1537" w:rsidRPr="009B1537" w:rsidRDefault="009B1537" w:rsidP="009B1537">
            <w:r w:rsidRPr="009B1537">
              <w:t>Q2 Earnings Season Begins</w:t>
            </w:r>
          </w:p>
        </w:tc>
        <w:tc>
          <w:tcPr>
            <w:tcW w:w="0" w:type="auto"/>
            <w:vAlign w:val="center"/>
            <w:hideMark/>
          </w:tcPr>
          <w:p w14:paraId="6A403BF7" w14:textId="77777777" w:rsidR="009B1537" w:rsidRPr="009B1537" w:rsidRDefault="009B1537" w:rsidP="009B1537">
            <w:r w:rsidRPr="009B1537">
              <w:t>Key test for AI/tech valuations</w:t>
            </w:r>
          </w:p>
        </w:tc>
      </w:tr>
      <w:tr w:rsidR="009B1537" w:rsidRPr="009B1537" w14:paraId="251CD62D" w14:textId="77777777" w:rsidTr="009B1537">
        <w:trPr>
          <w:tblCellSpacing w:w="15" w:type="dxa"/>
        </w:trPr>
        <w:tc>
          <w:tcPr>
            <w:tcW w:w="0" w:type="auto"/>
            <w:vAlign w:val="center"/>
            <w:hideMark/>
          </w:tcPr>
          <w:p w14:paraId="437DC702" w14:textId="77777777" w:rsidR="009B1537" w:rsidRPr="009B1537" w:rsidRDefault="009B1537" w:rsidP="009B1537">
            <w:r w:rsidRPr="009B1537">
              <w:t>Sept 18</w:t>
            </w:r>
          </w:p>
        </w:tc>
        <w:tc>
          <w:tcPr>
            <w:tcW w:w="0" w:type="auto"/>
            <w:vAlign w:val="center"/>
            <w:hideMark/>
          </w:tcPr>
          <w:p w14:paraId="4B4871F1" w14:textId="77777777" w:rsidR="009B1537" w:rsidRPr="009B1537" w:rsidRDefault="009B1537" w:rsidP="009B1537">
            <w:r w:rsidRPr="009B1537">
              <w:t>FOMC Meeting</w:t>
            </w:r>
          </w:p>
        </w:tc>
        <w:tc>
          <w:tcPr>
            <w:tcW w:w="0" w:type="auto"/>
            <w:vAlign w:val="center"/>
            <w:hideMark/>
          </w:tcPr>
          <w:p w14:paraId="3547F8B4" w14:textId="77777777" w:rsidR="009B1537" w:rsidRPr="009B1537" w:rsidRDefault="009B1537" w:rsidP="009B1537">
            <w:r w:rsidRPr="009B1537">
              <w:t xml:space="preserve">Widely expected as the </w:t>
            </w:r>
            <w:r w:rsidRPr="009B1537">
              <w:rPr>
                <w:b/>
                <w:bCs/>
              </w:rPr>
              <w:t>first rate-cut window</w:t>
            </w:r>
          </w:p>
        </w:tc>
      </w:tr>
    </w:tbl>
    <w:p w14:paraId="531A6F48" w14:textId="77777777" w:rsidR="009B1537" w:rsidRDefault="009B1537"/>
    <w:sectPr w:rsidR="009B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A74435"/>
    <w:multiLevelType w:val="multilevel"/>
    <w:tmpl w:val="E6AE4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A57BE"/>
    <w:multiLevelType w:val="multilevel"/>
    <w:tmpl w:val="ACB2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EA79F7"/>
    <w:multiLevelType w:val="multilevel"/>
    <w:tmpl w:val="8DCE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F87180"/>
    <w:multiLevelType w:val="multilevel"/>
    <w:tmpl w:val="05BC3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6298307">
    <w:abstractNumId w:val="0"/>
  </w:num>
  <w:num w:numId="2" w16cid:durableId="1980307564">
    <w:abstractNumId w:val="1"/>
  </w:num>
  <w:num w:numId="3" w16cid:durableId="427041182">
    <w:abstractNumId w:val="2"/>
  </w:num>
  <w:num w:numId="4" w16cid:durableId="807433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9D"/>
    <w:rsid w:val="0028799D"/>
    <w:rsid w:val="003A4258"/>
    <w:rsid w:val="009B1537"/>
    <w:rsid w:val="00D1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53A6"/>
  <w15:chartTrackingRefBased/>
  <w15:docId w15:val="{F128E8EB-83D7-4967-BFBC-D980C8EA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9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9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9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9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9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9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9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9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99D"/>
    <w:rPr>
      <w:rFonts w:eastAsiaTheme="majorEastAsia" w:cstheme="majorBidi"/>
      <w:color w:val="272727" w:themeColor="text1" w:themeTint="D8"/>
    </w:rPr>
  </w:style>
  <w:style w:type="paragraph" w:styleId="Title">
    <w:name w:val="Title"/>
    <w:basedOn w:val="Normal"/>
    <w:next w:val="Normal"/>
    <w:link w:val="TitleChar"/>
    <w:uiPriority w:val="10"/>
    <w:qFormat/>
    <w:rsid w:val="00287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99D"/>
    <w:pPr>
      <w:spacing w:before="160"/>
      <w:jc w:val="center"/>
    </w:pPr>
    <w:rPr>
      <w:i/>
      <w:iCs/>
      <w:color w:val="404040" w:themeColor="text1" w:themeTint="BF"/>
    </w:rPr>
  </w:style>
  <w:style w:type="character" w:customStyle="1" w:styleId="QuoteChar">
    <w:name w:val="Quote Char"/>
    <w:basedOn w:val="DefaultParagraphFont"/>
    <w:link w:val="Quote"/>
    <w:uiPriority w:val="29"/>
    <w:rsid w:val="0028799D"/>
    <w:rPr>
      <w:i/>
      <w:iCs/>
      <w:color w:val="404040" w:themeColor="text1" w:themeTint="BF"/>
    </w:rPr>
  </w:style>
  <w:style w:type="paragraph" w:styleId="ListParagraph">
    <w:name w:val="List Paragraph"/>
    <w:basedOn w:val="Normal"/>
    <w:uiPriority w:val="34"/>
    <w:qFormat/>
    <w:rsid w:val="0028799D"/>
    <w:pPr>
      <w:ind w:left="720"/>
      <w:contextualSpacing/>
    </w:pPr>
  </w:style>
  <w:style w:type="character" w:styleId="IntenseEmphasis">
    <w:name w:val="Intense Emphasis"/>
    <w:basedOn w:val="DefaultParagraphFont"/>
    <w:uiPriority w:val="21"/>
    <w:qFormat/>
    <w:rsid w:val="0028799D"/>
    <w:rPr>
      <w:i/>
      <w:iCs/>
      <w:color w:val="0F4761" w:themeColor="accent1" w:themeShade="BF"/>
    </w:rPr>
  </w:style>
  <w:style w:type="paragraph" w:styleId="IntenseQuote">
    <w:name w:val="Intense Quote"/>
    <w:basedOn w:val="Normal"/>
    <w:next w:val="Normal"/>
    <w:link w:val="IntenseQuoteChar"/>
    <w:uiPriority w:val="30"/>
    <w:qFormat/>
    <w:rsid w:val="00287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99D"/>
    <w:rPr>
      <w:i/>
      <w:iCs/>
      <w:color w:val="0F4761" w:themeColor="accent1" w:themeShade="BF"/>
    </w:rPr>
  </w:style>
  <w:style w:type="character" w:styleId="IntenseReference">
    <w:name w:val="Intense Reference"/>
    <w:basedOn w:val="DefaultParagraphFont"/>
    <w:uiPriority w:val="32"/>
    <w:qFormat/>
    <w:rsid w:val="0028799D"/>
    <w:rPr>
      <w:b/>
      <w:bCs/>
      <w:smallCaps/>
      <w:color w:val="0F4761" w:themeColor="accent1" w:themeShade="BF"/>
      <w:spacing w:val="5"/>
    </w:rPr>
  </w:style>
  <w:style w:type="character" w:styleId="Strong">
    <w:name w:val="Strong"/>
    <w:basedOn w:val="DefaultParagraphFont"/>
    <w:uiPriority w:val="22"/>
    <w:qFormat/>
    <w:rsid w:val="0028799D"/>
    <w:rPr>
      <w:b/>
      <w:bCs/>
    </w:rPr>
  </w:style>
  <w:style w:type="character" w:styleId="Hyperlink">
    <w:name w:val="Hyperlink"/>
    <w:basedOn w:val="DefaultParagraphFont"/>
    <w:uiPriority w:val="99"/>
    <w:unhideWhenUsed/>
    <w:rsid w:val="0028799D"/>
    <w:rPr>
      <w:color w:val="0000FF"/>
      <w:u w:val="single"/>
    </w:rPr>
  </w:style>
  <w:style w:type="character" w:styleId="UnresolvedMention">
    <w:name w:val="Unresolved Mention"/>
    <w:basedOn w:val="DefaultParagraphFont"/>
    <w:uiPriority w:val="99"/>
    <w:semiHidden/>
    <w:unhideWhenUsed/>
    <w:rsid w:val="00287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2611">
      <w:bodyDiv w:val="1"/>
      <w:marLeft w:val="0"/>
      <w:marRight w:val="0"/>
      <w:marTop w:val="0"/>
      <w:marBottom w:val="0"/>
      <w:divBdr>
        <w:top w:val="none" w:sz="0" w:space="0" w:color="auto"/>
        <w:left w:val="none" w:sz="0" w:space="0" w:color="auto"/>
        <w:bottom w:val="none" w:sz="0" w:space="0" w:color="auto"/>
        <w:right w:val="none" w:sz="0" w:space="0" w:color="auto"/>
      </w:divBdr>
      <w:divsChild>
        <w:div w:id="1377894621">
          <w:marLeft w:val="0"/>
          <w:marRight w:val="0"/>
          <w:marTop w:val="0"/>
          <w:marBottom w:val="0"/>
          <w:divBdr>
            <w:top w:val="none" w:sz="0" w:space="0" w:color="auto"/>
            <w:left w:val="none" w:sz="0" w:space="0" w:color="auto"/>
            <w:bottom w:val="none" w:sz="0" w:space="0" w:color="auto"/>
            <w:right w:val="none" w:sz="0" w:space="0" w:color="auto"/>
          </w:divBdr>
          <w:divsChild>
            <w:div w:id="1141464813">
              <w:marLeft w:val="0"/>
              <w:marRight w:val="0"/>
              <w:marTop w:val="0"/>
              <w:marBottom w:val="0"/>
              <w:divBdr>
                <w:top w:val="none" w:sz="0" w:space="0" w:color="auto"/>
                <w:left w:val="none" w:sz="0" w:space="0" w:color="auto"/>
                <w:bottom w:val="none" w:sz="0" w:space="0" w:color="auto"/>
                <w:right w:val="none" w:sz="0" w:space="0" w:color="auto"/>
              </w:divBdr>
            </w:div>
          </w:divsChild>
        </w:div>
        <w:div w:id="50152770">
          <w:marLeft w:val="0"/>
          <w:marRight w:val="0"/>
          <w:marTop w:val="0"/>
          <w:marBottom w:val="0"/>
          <w:divBdr>
            <w:top w:val="none" w:sz="0" w:space="0" w:color="auto"/>
            <w:left w:val="none" w:sz="0" w:space="0" w:color="auto"/>
            <w:bottom w:val="none" w:sz="0" w:space="0" w:color="auto"/>
            <w:right w:val="none" w:sz="0" w:space="0" w:color="auto"/>
          </w:divBdr>
          <w:divsChild>
            <w:div w:id="1584100437">
              <w:marLeft w:val="0"/>
              <w:marRight w:val="0"/>
              <w:marTop w:val="0"/>
              <w:marBottom w:val="0"/>
              <w:divBdr>
                <w:top w:val="none" w:sz="0" w:space="0" w:color="auto"/>
                <w:left w:val="none" w:sz="0" w:space="0" w:color="auto"/>
                <w:bottom w:val="none" w:sz="0" w:space="0" w:color="auto"/>
                <w:right w:val="none" w:sz="0" w:space="0" w:color="auto"/>
              </w:divBdr>
            </w:div>
          </w:divsChild>
        </w:div>
        <w:div w:id="307443629">
          <w:marLeft w:val="0"/>
          <w:marRight w:val="0"/>
          <w:marTop w:val="0"/>
          <w:marBottom w:val="0"/>
          <w:divBdr>
            <w:top w:val="none" w:sz="0" w:space="0" w:color="auto"/>
            <w:left w:val="none" w:sz="0" w:space="0" w:color="auto"/>
            <w:bottom w:val="none" w:sz="0" w:space="0" w:color="auto"/>
            <w:right w:val="none" w:sz="0" w:space="0" w:color="auto"/>
          </w:divBdr>
          <w:divsChild>
            <w:div w:id="8861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1898">
      <w:bodyDiv w:val="1"/>
      <w:marLeft w:val="0"/>
      <w:marRight w:val="0"/>
      <w:marTop w:val="0"/>
      <w:marBottom w:val="0"/>
      <w:divBdr>
        <w:top w:val="none" w:sz="0" w:space="0" w:color="auto"/>
        <w:left w:val="none" w:sz="0" w:space="0" w:color="auto"/>
        <w:bottom w:val="none" w:sz="0" w:space="0" w:color="auto"/>
        <w:right w:val="none" w:sz="0" w:space="0" w:color="auto"/>
      </w:divBdr>
    </w:div>
    <w:div w:id="287441917">
      <w:bodyDiv w:val="1"/>
      <w:marLeft w:val="0"/>
      <w:marRight w:val="0"/>
      <w:marTop w:val="0"/>
      <w:marBottom w:val="0"/>
      <w:divBdr>
        <w:top w:val="none" w:sz="0" w:space="0" w:color="auto"/>
        <w:left w:val="none" w:sz="0" w:space="0" w:color="auto"/>
        <w:bottom w:val="none" w:sz="0" w:space="0" w:color="auto"/>
        <w:right w:val="none" w:sz="0" w:space="0" w:color="auto"/>
      </w:divBdr>
    </w:div>
    <w:div w:id="596672462">
      <w:bodyDiv w:val="1"/>
      <w:marLeft w:val="0"/>
      <w:marRight w:val="0"/>
      <w:marTop w:val="0"/>
      <w:marBottom w:val="0"/>
      <w:divBdr>
        <w:top w:val="none" w:sz="0" w:space="0" w:color="auto"/>
        <w:left w:val="none" w:sz="0" w:space="0" w:color="auto"/>
        <w:bottom w:val="none" w:sz="0" w:space="0" w:color="auto"/>
        <w:right w:val="none" w:sz="0" w:space="0" w:color="auto"/>
      </w:divBdr>
    </w:div>
    <w:div w:id="727920728">
      <w:bodyDiv w:val="1"/>
      <w:marLeft w:val="0"/>
      <w:marRight w:val="0"/>
      <w:marTop w:val="0"/>
      <w:marBottom w:val="0"/>
      <w:divBdr>
        <w:top w:val="none" w:sz="0" w:space="0" w:color="auto"/>
        <w:left w:val="none" w:sz="0" w:space="0" w:color="auto"/>
        <w:bottom w:val="none" w:sz="0" w:space="0" w:color="auto"/>
        <w:right w:val="none" w:sz="0" w:space="0" w:color="auto"/>
      </w:divBdr>
    </w:div>
    <w:div w:id="778140858">
      <w:bodyDiv w:val="1"/>
      <w:marLeft w:val="0"/>
      <w:marRight w:val="0"/>
      <w:marTop w:val="0"/>
      <w:marBottom w:val="0"/>
      <w:divBdr>
        <w:top w:val="none" w:sz="0" w:space="0" w:color="auto"/>
        <w:left w:val="none" w:sz="0" w:space="0" w:color="auto"/>
        <w:bottom w:val="none" w:sz="0" w:space="0" w:color="auto"/>
        <w:right w:val="none" w:sz="0" w:space="0" w:color="auto"/>
      </w:divBdr>
    </w:div>
    <w:div w:id="833953867">
      <w:bodyDiv w:val="1"/>
      <w:marLeft w:val="0"/>
      <w:marRight w:val="0"/>
      <w:marTop w:val="0"/>
      <w:marBottom w:val="0"/>
      <w:divBdr>
        <w:top w:val="none" w:sz="0" w:space="0" w:color="auto"/>
        <w:left w:val="none" w:sz="0" w:space="0" w:color="auto"/>
        <w:bottom w:val="none" w:sz="0" w:space="0" w:color="auto"/>
        <w:right w:val="none" w:sz="0" w:space="0" w:color="auto"/>
      </w:divBdr>
    </w:div>
    <w:div w:id="973175048">
      <w:bodyDiv w:val="1"/>
      <w:marLeft w:val="0"/>
      <w:marRight w:val="0"/>
      <w:marTop w:val="0"/>
      <w:marBottom w:val="0"/>
      <w:divBdr>
        <w:top w:val="none" w:sz="0" w:space="0" w:color="auto"/>
        <w:left w:val="none" w:sz="0" w:space="0" w:color="auto"/>
        <w:bottom w:val="none" w:sz="0" w:space="0" w:color="auto"/>
        <w:right w:val="none" w:sz="0" w:space="0" w:color="auto"/>
      </w:divBdr>
    </w:div>
    <w:div w:id="1071930650">
      <w:bodyDiv w:val="1"/>
      <w:marLeft w:val="0"/>
      <w:marRight w:val="0"/>
      <w:marTop w:val="0"/>
      <w:marBottom w:val="0"/>
      <w:divBdr>
        <w:top w:val="none" w:sz="0" w:space="0" w:color="auto"/>
        <w:left w:val="none" w:sz="0" w:space="0" w:color="auto"/>
        <w:bottom w:val="none" w:sz="0" w:space="0" w:color="auto"/>
        <w:right w:val="none" w:sz="0" w:space="0" w:color="auto"/>
      </w:divBdr>
      <w:divsChild>
        <w:div w:id="467742356">
          <w:marLeft w:val="0"/>
          <w:marRight w:val="0"/>
          <w:marTop w:val="0"/>
          <w:marBottom w:val="0"/>
          <w:divBdr>
            <w:top w:val="none" w:sz="0" w:space="0" w:color="auto"/>
            <w:left w:val="none" w:sz="0" w:space="0" w:color="auto"/>
            <w:bottom w:val="none" w:sz="0" w:space="0" w:color="auto"/>
            <w:right w:val="none" w:sz="0" w:space="0" w:color="auto"/>
          </w:divBdr>
          <w:divsChild>
            <w:div w:id="1453859176">
              <w:marLeft w:val="0"/>
              <w:marRight w:val="0"/>
              <w:marTop w:val="0"/>
              <w:marBottom w:val="0"/>
              <w:divBdr>
                <w:top w:val="none" w:sz="0" w:space="0" w:color="auto"/>
                <w:left w:val="none" w:sz="0" w:space="0" w:color="auto"/>
                <w:bottom w:val="none" w:sz="0" w:space="0" w:color="auto"/>
                <w:right w:val="none" w:sz="0" w:space="0" w:color="auto"/>
              </w:divBdr>
            </w:div>
          </w:divsChild>
        </w:div>
        <w:div w:id="2069372983">
          <w:marLeft w:val="0"/>
          <w:marRight w:val="0"/>
          <w:marTop w:val="0"/>
          <w:marBottom w:val="0"/>
          <w:divBdr>
            <w:top w:val="none" w:sz="0" w:space="0" w:color="auto"/>
            <w:left w:val="none" w:sz="0" w:space="0" w:color="auto"/>
            <w:bottom w:val="none" w:sz="0" w:space="0" w:color="auto"/>
            <w:right w:val="none" w:sz="0" w:space="0" w:color="auto"/>
          </w:divBdr>
          <w:divsChild>
            <w:div w:id="1170290171">
              <w:marLeft w:val="0"/>
              <w:marRight w:val="0"/>
              <w:marTop w:val="0"/>
              <w:marBottom w:val="0"/>
              <w:divBdr>
                <w:top w:val="none" w:sz="0" w:space="0" w:color="auto"/>
                <w:left w:val="none" w:sz="0" w:space="0" w:color="auto"/>
                <w:bottom w:val="none" w:sz="0" w:space="0" w:color="auto"/>
                <w:right w:val="none" w:sz="0" w:space="0" w:color="auto"/>
              </w:divBdr>
            </w:div>
          </w:divsChild>
        </w:div>
        <w:div w:id="207113823">
          <w:marLeft w:val="0"/>
          <w:marRight w:val="0"/>
          <w:marTop w:val="0"/>
          <w:marBottom w:val="0"/>
          <w:divBdr>
            <w:top w:val="none" w:sz="0" w:space="0" w:color="auto"/>
            <w:left w:val="none" w:sz="0" w:space="0" w:color="auto"/>
            <w:bottom w:val="none" w:sz="0" w:space="0" w:color="auto"/>
            <w:right w:val="none" w:sz="0" w:space="0" w:color="auto"/>
          </w:divBdr>
          <w:divsChild>
            <w:div w:id="10463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81313">
      <w:bodyDiv w:val="1"/>
      <w:marLeft w:val="0"/>
      <w:marRight w:val="0"/>
      <w:marTop w:val="0"/>
      <w:marBottom w:val="0"/>
      <w:divBdr>
        <w:top w:val="none" w:sz="0" w:space="0" w:color="auto"/>
        <w:left w:val="none" w:sz="0" w:space="0" w:color="auto"/>
        <w:bottom w:val="none" w:sz="0" w:space="0" w:color="auto"/>
        <w:right w:val="none" w:sz="0" w:space="0" w:color="auto"/>
      </w:divBdr>
    </w:div>
    <w:div w:id="1483110627">
      <w:bodyDiv w:val="1"/>
      <w:marLeft w:val="0"/>
      <w:marRight w:val="0"/>
      <w:marTop w:val="0"/>
      <w:marBottom w:val="0"/>
      <w:divBdr>
        <w:top w:val="none" w:sz="0" w:space="0" w:color="auto"/>
        <w:left w:val="none" w:sz="0" w:space="0" w:color="auto"/>
        <w:bottom w:val="none" w:sz="0" w:space="0" w:color="auto"/>
        <w:right w:val="none" w:sz="0" w:space="0" w:color="auto"/>
      </w:divBdr>
    </w:div>
    <w:div w:id="1524174300">
      <w:bodyDiv w:val="1"/>
      <w:marLeft w:val="0"/>
      <w:marRight w:val="0"/>
      <w:marTop w:val="0"/>
      <w:marBottom w:val="0"/>
      <w:divBdr>
        <w:top w:val="none" w:sz="0" w:space="0" w:color="auto"/>
        <w:left w:val="none" w:sz="0" w:space="0" w:color="auto"/>
        <w:bottom w:val="none" w:sz="0" w:space="0" w:color="auto"/>
        <w:right w:val="none" w:sz="0" w:space="0" w:color="auto"/>
      </w:divBdr>
      <w:divsChild>
        <w:div w:id="77334922">
          <w:marLeft w:val="0"/>
          <w:marRight w:val="0"/>
          <w:marTop w:val="0"/>
          <w:marBottom w:val="0"/>
          <w:divBdr>
            <w:top w:val="none" w:sz="0" w:space="0" w:color="auto"/>
            <w:left w:val="none" w:sz="0" w:space="0" w:color="auto"/>
            <w:bottom w:val="none" w:sz="0" w:space="0" w:color="auto"/>
            <w:right w:val="none" w:sz="0" w:space="0" w:color="auto"/>
          </w:divBdr>
          <w:divsChild>
            <w:div w:id="1923951799">
              <w:marLeft w:val="0"/>
              <w:marRight w:val="0"/>
              <w:marTop w:val="0"/>
              <w:marBottom w:val="0"/>
              <w:divBdr>
                <w:top w:val="none" w:sz="0" w:space="0" w:color="auto"/>
                <w:left w:val="none" w:sz="0" w:space="0" w:color="auto"/>
                <w:bottom w:val="none" w:sz="0" w:space="0" w:color="auto"/>
                <w:right w:val="none" w:sz="0" w:space="0" w:color="auto"/>
              </w:divBdr>
            </w:div>
          </w:divsChild>
        </w:div>
        <w:div w:id="1685281705">
          <w:marLeft w:val="0"/>
          <w:marRight w:val="0"/>
          <w:marTop w:val="0"/>
          <w:marBottom w:val="0"/>
          <w:divBdr>
            <w:top w:val="none" w:sz="0" w:space="0" w:color="auto"/>
            <w:left w:val="none" w:sz="0" w:space="0" w:color="auto"/>
            <w:bottom w:val="none" w:sz="0" w:space="0" w:color="auto"/>
            <w:right w:val="none" w:sz="0" w:space="0" w:color="auto"/>
          </w:divBdr>
          <w:divsChild>
            <w:div w:id="1691565183">
              <w:marLeft w:val="0"/>
              <w:marRight w:val="0"/>
              <w:marTop w:val="0"/>
              <w:marBottom w:val="0"/>
              <w:divBdr>
                <w:top w:val="none" w:sz="0" w:space="0" w:color="auto"/>
                <w:left w:val="none" w:sz="0" w:space="0" w:color="auto"/>
                <w:bottom w:val="none" w:sz="0" w:space="0" w:color="auto"/>
                <w:right w:val="none" w:sz="0" w:space="0" w:color="auto"/>
              </w:divBdr>
            </w:div>
          </w:divsChild>
        </w:div>
        <w:div w:id="1405685446">
          <w:marLeft w:val="0"/>
          <w:marRight w:val="0"/>
          <w:marTop w:val="0"/>
          <w:marBottom w:val="0"/>
          <w:divBdr>
            <w:top w:val="none" w:sz="0" w:space="0" w:color="auto"/>
            <w:left w:val="none" w:sz="0" w:space="0" w:color="auto"/>
            <w:bottom w:val="none" w:sz="0" w:space="0" w:color="auto"/>
            <w:right w:val="none" w:sz="0" w:space="0" w:color="auto"/>
          </w:divBdr>
          <w:divsChild>
            <w:div w:id="11463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1297">
      <w:bodyDiv w:val="1"/>
      <w:marLeft w:val="0"/>
      <w:marRight w:val="0"/>
      <w:marTop w:val="0"/>
      <w:marBottom w:val="0"/>
      <w:divBdr>
        <w:top w:val="none" w:sz="0" w:space="0" w:color="auto"/>
        <w:left w:val="none" w:sz="0" w:space="0" w:color="auto"/>
        <w:bottom w:val="none" w:sz="0" w:space="0" w:color="auto"/>
        <w:right w:val="none" w:sz="0" w:space="0" w:color="auto"/>
      </w:divBdr>
    </w:div>
    <w:div w:id="1828084771">
      <w:bodyDiv w:val="1"/>
      <w:marLeft w:val="0"/>
      <w:marRight w:val="0"/>
      <w:marTop w:val="0"/>
      <w:marBottom w:val="0"/>
      <w:divBdr>
        <w:top w:val="none" w:sz="0" w:space="0" w:color="auto"/>
        <w:left w:val="none" w:sz="0" w:space="0" w:color="auto"/>
        <w:bottom w:val="none" w:sz="0" w:space="0" w:color="auto"/>
        <w:right w:val="none" w:sz="0" w:space="0" w:color="auto"/>
      </w:divBdr>
      <w:divsChild>
        <w:div w:id="1097216783">
          <w:marLeft w:val="0"/>
          <w:marRight w:val="0"/>
          <w:marTop w:val="0"/>
          <w:marBottom w:val="0"/>
          <w:divBdr>
            <w:top w:val="none" w:sz="0" w:space="0" w:color="auto"/>
            <w:left w:val="none" w:sz="0" w:space="0" w:color="auto"/>
            <w:bottom w:val="none" w:sz="0" w:space="0" w:color="auto"/>
            <w:right w:val="none" w:sz="0" w:space="0" w:color="auto"/>
          </w:divBdr>
          <w:divsChild>
            <w:div w:id="560941146">
              <w:marLeft w:val="0"/>
              <w:marRight w:val="0"/>
              <w:marTop w:val="0"/>
              <w:marBottom w:val="0"/>
              <w:divBdr>
                <w:top w:val="none" w:sz="0" w:space="0" w:color="auto"/>
                <w:left w:val="none" w:sz="0" w:space="0" w:color="auto"/>
                <w:bottom w:val="none" w:sz="0" w:space="0" w:color="auto"/>
                <w:right w:val="none" w:sz="0" w:space="0" w:color="auto"/>
              </w:divBdr>
            </w:div>
          </w:divsChild>
        </w:div>
        <w:div w:id="1573391820">
          <w:marLeft w:val="0"/>
          <w:marRight w:val="0"/>
          <w:marTop w:val="0"/>
          <w:marBottom w:val="0"/>
          <w:divBdr>
            <w:top w:val="none" w:sz="0" w:space="0" w:color="auto"/>
            <w:left w:val="none" w:sz="0" w:space="0" w:color="auto"/>
            <w:bottom w:val="none" w:sz="0" w:space="0" w:color="auto"/>
            <w:right w:val="none" w:sz="0" w:space="0" w:color="auto"/>
          </w:divBdr>
          <w:divsChild>
            <w:div w:id="1221139003">
              <w:marLeft w:val="0"/>
              <w:marRight w:val="0"/>
              <w:marTop w:val="0"/>
              <w:marBottom w:val="0"/>
              <w:divBdr>
                <w:top w:val="none" w:sz="0" w:space="0" w:color="auto"/>
                <w:left w:val="none" w:sz="0" w:space="0" w:color="auto"/>
                <w:bottom w:val="none" w:sz="0" w:space="0" w:color="auto"/>
                <w:right w:val="none" w:sz="0" w:space="0" w:color="auto"/>
              </w:divBdr>
            </w:div>
          </w:divsChild>
        </w:div>
        <w:div w:id="450977528">
          <w:marLeft w:val="0"/>
          <w:marRight w:val="0"/>
          <w:marTop w:val="0"/>
          <w:marBottom w:val="0"/>
          <w:divBdr>
            <w:top w:val="none" w:sz="0" w:space="0" w:color="auto"/>
            <w:left w:val="none" w:sz="0" w:space="0" w:color="auto"/>
            <w:bottom w:val="none" w:sz="0" w:space="0" w:color="auto"/>
            <w:right w:val="none" w:sz="0" w:space="0" w:color="auto"/>
          </w:divBdr>
          <w:divsChild>
            <w:div w:id="1968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business/energy/oil-set-weekly-loss-fading-mideast-supply-risks-2025-06-27/?utm_source=chatgpt.com" TargetMode="External"/><Relationship Id="rId5" Type="http://schemas.openxmlformats.org/officeDocument/2006/relationships/hyperlink" Target="https://www.reuters.com/business/energy/oil-set-weekly-loss-fading-mideast-supply-risks-2025-06-27/?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YONGSHENG XU</dc:creator>
  <cp:keywords/>
  <dc:description/>
  <cp:lastModifiedBy>YONGSHENG XU</cp:lastModifiedBy>
  <cp:revision>2</cp:revision>
  <dcterms:created xsi:type="dcterms:W3CDTF">2025-06-27T21:48:00Z</dcterms:created>
  <dcterms:modified xsi:type="dcterms:W3CDTF">2025-06-27T22:03:00Z</dcterms:modified>
</cp:coreProperties>
</file>