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13D36FCA" w:rsidR="009303D9" w:rsidRDefault="003D367B" w:rsidP="006347CF">
      <w:pPr>
        <w:pStyle w:val="papertitle"/>
        <w:spacing w:before="5pt" w:beforeAutospacing="1" w:after="5pt" w:afterAutospacing="1"/>
      </w:pPr>
      <w:r>
        <w:t>Pest detection using OW-OVD</w:t>
      </w:r>
    </w:p>
    <w:p w14:paraId="517AC20D" w14:textId="1F2DD9DF" w:rsidR="00D7522C" w:rsidRDefault="00D7522C" w:rsidP="00156B7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7DC3BD49" w14:textId="77777777" w:rsidR="001A3B3D" w:rsidRPr="006347CF" w:rsidRDefault="009303D9"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r w:rsidR="006347CF">
        <w:rPr>
          <w:sz w:val="18"/>
          <w:szCs w:val="18"/>
        </w:rPr>
        <w:br/>
      </w:r>
      <w:r w:rsidR="006347CF">
        <w:rPr>
          <w:sz w:val="18"/>
          <w:szCs w:val="18"/>
        </w:rPr>
        <w:br/>
      </w:r>
      <w:r w:rsidR="001A3B3D" w:rsidRPr="00F847A6">
        <w:rPr>
          <w:sz w:val="18"/>
          <w:szCs w:val="18"/>
        </w:rPr>
        <w:t>line 1: 4</w:t>
      </w:r>
      <w:r w:rsidR="001A3B3D" w:rsidRPr="00F847A6">
        <w:rPr>
          <w:sz w:val="18"/>
          <w:szCs w:val="18"/>
          <w:vertAlign w:val="superscript"/>
        </w:rPr>
        <w:t>th</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name of organization (of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547E73">
        <w:rPr>
          <w:sz w:val="18"/>
          <w:szCs w:val="18"/>
        </w:rPr>
        <w:t xml:space="preserve"> or ORCID</w:t>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14304D02" w14:textId="77777777" w:rsidR="00CA4392" w:rsidRDefault="00715BEA" w:rsidP="00CA4392">
      <w:pPr>
        <w:pStyle w:val="Author"/>
        <w:spacing w:before="5pt" w:beforeAutospacing="1"/>
        <w:contextualSpacing/>
        <w:rPr>
          <w:sz w:val="18"/>
          <w:szCs w:val="18"/>
        </w:rPr>
      </w:pPr>
      <w:r>
        <w:rPr>
          <w:sz w:val="18"/>
          <w:szCs w:val="18"/>
        </w:rPr>
        <w:t>li</w:t>
      </w:r>
      <w:r w:rsidR="00CA4392" w:rsidRPr="00F847A6">
        <w:rPr>
          <w:sz w:val="18"/>
          <w:szCs w:val="18"/>
        </w:rPr>
        <w:t xml:space="preserve">ne 1: </w:t>
      </w:r>
      <w:r w:rsidR="00CA4392">
        <w:rPr>
          <w:sz w:val="18"/>
          <w:szCs w:val="18"/>
        </w:rPr>
        <w:t>5</w:t>
      </w:r>
      <w:r w:rsidR="00CA4392" w:rsidRPr="00F847A6">
        <w:rPr>
          <w:sz w:val="18"/>
          <w:szCs w:val="18"/>
          <w:vertAlign w:val="superscript"/>
        </w:rPr>
        <w:t>th</w:t>
      </w:r>
      <w:r w:rsidR="00CA4392" w:rsidRPr="00F847A6">
        <w:rPr>
          <w:sz w:val="18"/>
          <w:szCs w:val="18"/>
        </w:rPr>
        <w:t xml:space="preserve"> Given Name Surname</w:t>
      </w:r>
      <w:r w:rsidR="00CA4392" w:rsidRPr="00F847A6">
        <w:rPr>
          <w:sz w:val="18"/>
          <w:szCs w:val="18"/>
        </w:rPr>
        <w:br/>
        <w:t xml:space="preserve">line 2: </w:t>
      </w:r>
      <w:r w:rsidR="00CA4392" w:rsidRPr="00F847A6">
        <w:rPr>
          <w:i/>
          <w:sz w:val="18"/>
          <w:szCs w:val="18"/>
        </w:rPr>
        <w:t xml:space="preserve">dept. name of organization (of </w:t>
      </w:r>
      <w:r w:rsidR="00CA4392" w:rsidRPr="00F847A6">
        <w:rPr>
          <w:i/>
          <w:iCs/>
          <w:sz w:val="18"/>
          <w:szCs w:val="18"/>
        </w:rPr>
        <w:t>Affiliation</w:t>
      </w:r>
      <w:r w:rsidR="00CA4392" w:rsidRPr="00F847A6">
        <w:rPr>
          <w:i/>
          <w:sz w:val="18"/>
          <w:szCs w:val="18"/>
        </w:rPr>
        <w:t>)</w:t>
      </w:r>
      <w:r w:rsidR="00CA4392" w:rsidRPr="00F847A6">
        <w:rPr>
          <w:sz w:val="18"/>
          <w:szCs w:val="18"/>
        </w:rPr>
        <w:br/>
        <w:t xml:space="preserve">line 3: </w:t>
      </w:r>
      <w:r w:rsidR="00CA4392" w:rsidRPr="00F847A6">
        <w:rPr>
          <w:i/>
          <w:sz w:val="18"/>
          <w:szCs w:val="18"/>
        </w:rPr>
        <w:t xml:space="preserve">name of organization (of </w:t>
      </w:r>
      <w:r w:rsidR="00CA4392">
        <w:rPr>
          <w:i/>
          <w:sz w:val="18"/>
          <w:szCs w:val="18"/>
        </w:rPr>
        <w:t>A</w:t>
      </w:r>
      <w:r w:rsidR="00CA4392" w:rsidRPr="00F847A6">
        <w:rPr>
          <w:i/>
          <w:sz w:val="18"/>
          <w:szCs w:val="18"/>
        </w:rPr>
        <w:t>ffiliation)</w:t>
      </w:r>
      <w:r w:rsidR="00CA4392" w:rsidRPr="00F847A6">
        <w:rPr>
          <w:i/>
          <w:sz w:val="18"/>
          <w:szCs w:val="18"/>
        </w:rPr>
        <w:br/>
      </w:r>
      <w:r w:rsidR="00CA4392" w:rsidRPr="00F847A6">
        <w:rPr>
          <w:sz w:val="18"/>
          <w:szCs w:val="18"/>
        </w:rPr>
        <w:t>line 4: City, Country</w:t>
      </w:r>
      <w:r w:rsidR="00CA4392" w:rsidRPr="00F847A6">
        <w:rPr>
          <w:sz w:val="18"/>
          <w:szCs w:val="18"/>
        </w:rPr>
        <w:br/>
        <w:t>line 5: email address</w:t>
      </w:r>
      <w:r w:rsidR="00CA4392" w:rsidRPr="00CA4392">
        <w:rPr>
          <w:sz w:val="18"/>
          <w:szCs w:val="18"/>
        </w:rPr>
        <w:t xml:space="preserve"> </w:t>
      </w:r>
      <w:r w:rsidR="00547E73">
        <w:rPr>
          <w:sz w:val="18"/>
          <w:szCs w:val="18"/>
        </w:rPr>
        <w:t>or ORCID</w:t>
      </w:r>
    </w:p>
    <w:p w14:paraId="1C0700B3" w14:textId="77777777" w:rsidR="00CA4392" w:rsidRDefault="00CA4392" w:rsidP="00CA4392">
      <w:pPr>
        <w:pStyle w:val="Author"/>
        <w:spacing w:before="5pt" w:beforeAutospacing="1"/>
        <w:contextualSpacing/>
        <w:rPr>
          <w:sz w:val="18"/>
          <w:szCs w:val="18"/>
        </w:rPr>
      </w:pPr>
      <w:r w:rsidRPr="00F847A6">
        <w:rPr>
          <w:sz w:val="18"/>
          <w:szCs w:val="18"/>
        </w:rPr>
        <w:t xml:space="preserve">line 1: </w:t>
      </w:r>
      <w:r>
        <w:rPr>
          <w:sz w:val="18"/>
          <w:szCs w:val="18"/>
        </w:rPr>
        <w:t>6</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sidR="00547E73">
        <w:rPr>
          <w:sz w:val="18"/>
          <w:szCs w:val="18"/>
        </w:rPr>
        <w:t xml:space="preserve"> or ORCID</w:t>
      </w: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4D07C6D4" w:rsidR="004D72B5" w:rsidRDefault="009303D9" w:rsidP="00972203">
      <w:pPr>
        <w:pStyle w:val="Abstract"/>
        <w:rPr>
          <w:i/>
          <w:iCs/>
        </w:rPr>
      </w:pPr>
      <w:r>
        <w:rPr>
          <w:i/>
          <w:iCs/>
        </w:rPr>
        <w:t>Abstract</w:t>
      </w:r>
      <w:r>
        <w:t>—</w:t>
      </w:r>
      <w:r w:rsidR="005078FC" w:rsidRPr="005078FC">
        <w:rPr>
          <w:color w:val="000000" w:themeColor="text1"/>
        </w:rPr>
        <w:t xml:space="preserve"> </w:t>
      </w:r>
      <w:r w:rsidR="005078FC" w:rsidRPr="00673917">
        <w:rPr>
          <w:color w:val="000000" w:themeColor="text1"/>
        </w:rPr>
        <w:t xml:space="preserve">Automated agricultural pest and disease detection plays a crucial role in modern smart farming; however, conventional object detection models often struggle in real-world scenarios where new and unseen pest categories continuously emerge. Traditional paradigms suffer from catastrophic forgetting and are unable to incrementally learn novel classes without retraining from scratch. To address this challenge, this paper investigates and proposes </w:t>
      </w:r>
      <w:proofErr w:type="spellStart"/>
      <w:proofErr w:type="gramStart"/>
      <w:r w:rsidR="005078FC" w:rsidRPr="00673917">
        <w:rPr>
          <w:color w:val="000000" w:themeColor="text1"/>
        </w:rPr>
        <w:t>a</w:t>
      </w:r>
      <w:proofErr w:type="spellEnd"/>
      <w:proofErr w:type="gramEnd"/>
      <w:r w:rsidR="005078FC" w:rsidRPr="00673917">
        <w:rPr>
          <w:color w:val="000000" w:themeColor="text1"/>
        </w:rPr>
        <w:t xml:space="preserve"> Open-World and Open-Vocabulary Object Detection (OW-OVD) framework tailored for agricultural pest monitoring. By leveraging advanced object detection pipelines adapted for open-world settings, the proposed approach is capable of jointly locating known pests, detecting unknown anomalies, and incrementally integrating newly introduced categories. Extensive experiments conducted on the large-scale IP102 dataset demonstrate the effectiveness of the model in mitigating catastrophic forgetting while maintaining robust detection performance across sequential learning tasks. The findings highlight the potential of continual OW-OVD systems in providing scalable, adaptable, and real-time decision support for agricultural protection</w:t>
      </w:r>
      <w:r w:rsidR="005078FC">
        <w:rPr>
          <w:color w:val="000000" w:themeColor="text1"/>
        </w:rPr>
        <w:t>.</w:t>
      </w:r>
      <w:r w:rsidR="001A42EA">
        <w:rPr>
          <w:iCs/>
        </w:rPr>
        <w:t xml:space="preserve"> </w:t>
      </w:r>
    </w:p>
    <w:p w14:paraId="3F9CDE0E" w14:textId="52F1237A" w:rsidR="009303D9" w:rsidRPr="005078FC" w:rsidRDefault="004D72B5" w:rsidP="00972203">
      <w:pPr>
        <w:pStyle w:val="Keywords"/>
        <w:rPr>
          <w:b w:val="0"/>
          <w:bCs w:val="0"/>
        </w:rPr>
      </w:pPr>
      <w:r w:rsidRPr="004D72B5">
        <w:t>Keywords—</w:t>
      </w:r>
      <w:r w:rsidR="005078FC" w:rsidRPr="005078FC">
        <w:rPr>
          <w:color w:val="000000" w:themeColor="text1"/>
        </w:rPr>
        <w:t xml:space="preserve"> </w:t>
      </w:r>
      <w:r w:rsidR="005078FC" w:rsidRPr="005078FC">
        <w:rPr>
          <w:rStyle w:val="H5CharChar"/>
          <w:rFonts w:eastAsia="SimSun"/>
          <w:b/>
          <w:bCs w:val="0"/>
          <w:color w:val="000000" w:themeColor="text1"/>
        </w:rPr>
        <w:t>OW-OVD, Object detection, YOLO-World, Open World</w:t>
      </w:r>
    </w:p>
    <w:p w14:paraId="7FFFA702" w14:textId="5B0FC5FE" w:rsidR="009303D9" w:rsidRPr="00D632BE" w:rsidRDefault="009303D9" w:rsidP="006B6B66">
      <w:pPr>
        <w:pStyle w:val="Heading1"/>
      </w:pPr>
      <w:r w:rsidRPr="00D632BE">
        <w:t>Introduction</w:t>
      </w:r>
    </w:p>
    <w:p w14:paraId="5B78162B" w14:textId="77777777" w:rsidR="005078FC" w:rsidRPr="00673917" w:rsidRDefault="005078FC" w:rsidP="005078FC">
      <w:pPr>
        <w:pStyle w:val="PARA"/>
        <w:rPr>
          <w:color w:val="000000" w:themeColor="text1"/>
          <w:spacing w:val="2"/>
        </w:rPr>
      </w:pPr>
      <w:r w:rsidRPr="00673917">
        <w:rPr>
          <w:color w:val="000000" w:themeColor="text1"/>
          <w:spacing w:val="2"/>
        </w:rPr>
        <w:t xml:space="preserve">Accurate and automated detection of agricultural pests and diseases is essential for modern smart farming, enabling timely interventions to protect crop yields and ensure food security. In recent years, deep learning-based object detection frameworks have achieved remarkable success in controlled agricultural settings. However, deploying these models in dynamic, real-world field environments exposes a fundamental limitation: their reliance on closed-set assumptions. Conventional detectors are strictly bound to a predefined, static set of known categories and assume that all target instances belong to these categories. When deployed in the wild, such systems inevitably encounter novel, unannotated pest species or unexpected anomalies that frequently emerge due to changing seasons, environmental shifts, or geographic expansion. Failing to recognize or properly handle these novel instances often leads to misclassifications, system degradation, and a general lack of adaptability in practical agricultural workflows. </w:t>
      </w:r>
    </w:p>
    <w:p w14:paraId="28F7518E" w14:textId="77777777" w:rsidR="005078FC" w:rsidRPr="00673917" w:rsidRDefault="005078FC" w:rsidP="005078FC">
      <w:pPr>
        <w:pStyle w:val="PARA"/>
        <w:rPr>
          <w:color w:val="000000" w:themeColor="text1"/>
          <w:spacing w:val="2"/>
        </w:rPr>
      </w:pPr>
      <w:r w:rsidRPr="00673917">
        <w:rPr>
          <w:color w:val="000000" w:themeColor="text1"/>
          <w:spacing w:val="2"/>
        </w:rPr>
        <w:t xml:space="preserve">To bridge this gap, recent advancements have gravitated towards two main research directions: Open-World Object Detection (OWOD) and Open-Vocabulary Detection (OVD). On the one hand, OWOD frameworks are designed to actively identify unknown objects in streaming data and progressively incorporate them through incremental learning without suffering from catastrophic forgetting. On the other hand, OVD frameworks leverage large-scale vision-language models to generalize to arbitrary unseen categories via zero-shot inference. Despite their respective potentials, existing studies largely treat these paradigms in isolation, leaving the combined challenges of open-world discovery and open-vocabulary generalization largely unexplored. In real-world agricultural scenarios, a robust pest detector must simultaneously possess zero-shot comprehension for unseen pest names and active discovery for truly unknown, unlabeled pest anomalies. </w:t>
      </w:r>
    </w:p>
    <w:p w14:paraId="33007793" w14:textId="77777777" w:rsidR="005078FC" w:rsidRPr="00673917" w:rsidRDefault="005078FC" w:rsidP="005078FC">
      <w:pPr>
        <w:pStyle w:val="PARA"/>
        <w:rPr>
          <w:color w:val="000000" w:themeColor="text1"/>
          <w:spacing w:val="2"/>
        </w:rPr>
      </w:pPr>
      <w:r w:rsidRPr="00673917">
        <w:rPr>
          <w:color w:val="000000" w:themeColor="text1"/>
          <w:spacing w:val="2"/>
        </w:rPr>
        <w:t xml:space="preserve">To address these limitations, we propose OW-OVD, a novel framework that unifies open-vocabulary generalization and open-world incremental learning for agricultural pest recognition. Starting from a standard OVD backbone, we systematically adapt the architecture to handle open-world tasks on the large-scale IP102 agricultural benchmark. Specifically, our key contributions are three-fold: </w:t>
      </w:r>
    </w:p>
    <w:p w14:paraId="33F804B7" w14:textId="77777777" w:rsidR="005078FC" w:rsidRPr="00673917" w:rsidRDefault="005078FC" w:rsidP="005078FC">
      <w:pPr>
        <w:pStyle w:val="PARA"/>
        <w:numPr>
          <w:ilvl w:val="0"/>
          <w:numId w:val="27"/>
        </w:numPr>
        <w:rPr>
          <w:color w:val="000000" w:themeColor="text1"/>
          <w:spacing w:val="2"/>
        </w:rPr>
      </w:pPr>
      <w:r w:rsidRPr="00673917">
        <w:rPr>
          <w:color w:val="000000" w:themeColor="text1"/>
          <w:spacing w:val="2"/>
        </w:rPr>
        <w:t>We introduce a unified Open-World Open-Vocabulary Object Detection (OW-OVD) pipeline tailored for agricultural pest monitoring, successfully</w:t>
      </w:r>
      <w:r>
        <w:rPr>
          <w:color w:val="000000" w:themeColor="text1"/>
          <w:spacing w:val="2"/>
        </w:rPr>
        <w:t xml:space="preserve"> </w:t>
      </w:r>
      <w:r w:rsidRPr="00673917">
        <w:rPr>
          <w:color w:val="000000" w:themeColor="text1"/>
          <w:spacing w:val="2"/>
        </w:rPr>
        <w:t>bridging zero-shot vocabulary transfer with incremental unknown discovery.</w:t>
      </w:r>
    </w:p>
    <w:p w14:paraId="4CD9B0CE" w14:textId="77777777" w:rsidR="005078FC" w:rsidRPr="00673917" w:rsidRDefault="005078FC" w:rsidP="005078FC">
      <w:pPr>
        <w:pStyle w:val="PARA"/>
        <w:numPr>
          <w:ilvl w:val="0"/>
          <w:numId w:val="27"/>
        </w:numPr>
        <w:rPr>
          <w:color w:val="000000" w:themeColor="text1"/>
          <w:spacing w:val="2"/>
        </w:rPr>
      </w:pPr>
      <w:r w:rsidRPr="00673917">
        <w:rPr>
          <w:color w:val="000000" w:themeColor="text1"/>
          <w:spacing w:val="2"/>
        </w:rPr>
        <w:t>We propose the Visual Similarity Attribute Selection (VSAS) method, which computes similarity distributions across annotated and unannotated regions to isolate the most generalizable visual attributes while enforcing diversity constraints.</w:t>
      </w:r>
    </w:p>
    <w:p w14:paraId="56609DE2" w14:textId="77777777" w:rsidR="005078FC" w:rsidRPr="00673917" w:rsidRDefault="005078FC" w:rsidP="005078FC">
      <w:pPr>
        <w:pStyle w:val="PARA"/>
        <w:numPr>
          <w:ilvl w:val="0"/>
          <w:numId w:val="27"/>
        </w:numPr>
        <w:rPr>
          <w:color w:val="000000" w:themeColor="text1"/>
          <w:spacing w:val="2"/>
        </w:rPr>
      </w:pPr>
      <w:r w:rsidRPr="00673917">
        <w:rPr>
          <w:color w:val="000000" w:themeColor="text1"/>
          <w:spacing w:val="2"/>
        </w:rPr>
        <w:t xml:space="preserve">We design the Hybrid Attribute-Uncertainty Fusion (HAUF) method to seamlessly </w:t>
      </w:r>
      <w:proofErr w:type="gramStart"/>
      <w:r w:rsidRPr="00673917">
        <w:rPr>
          <w:color w:val="000000" w:themeColor="text1"/>
          <w:spacing w:val="2"/>
        </w:rPr>
        <w:t>merge attribute</w:t>
      </w:r>
      <w:proofErr w:type="gramEnd"/>
      <w:r w:rsidRPr="00673917">
        <w:rPr>
          <w:color w:val="000000" w:themeColor="text1"/>
          <w:spacing w:val="2"/>
        </w:rPr>
        <w:t xml:space="preserve"> similarities with known-class prediction entropy, ensuring accurate inference of unknown pest instances without disrupting standard open-vocabulary processing.</w:t>
      </w:r>
    </w:p>
    <w:p w14:paraId="5395D924" w14:textId="77777777" w:rsidR="005078FC" w:rsidRDefault="005078FC" w:rsidP="005078FC">
      <w:pPr>
        <w:pStyle w:val="PARA"/>
        <w:numPr>
          <w:ilvl w:val="0"/>
          <w:numId w:val="27"/>
        </w:numPr>
        <w:rPr>
          <w:color w:val="000000" w:themeColor="text1"/>
          <w:spacing w:val="2"/>
        </w:rPr>
      </w:pPr>
      <w:r w:rsidRPr="00673917">
        <w:rPr>
          <w:color w:val="000000" w:themeColor="text1"/>
          <w:spacing w:val="2"/>
        </w:rPr>
        <w:t>Extensive evaluations on the IP102 benchmark demonstrate that our</w:t>
      </w:r>
      <w:r>
        <w:rPr>
          <w:color w:val="000000" w:themeColor="text1"/>
          <w:spacing w:val="2"/>
        </w:rPr>
        <w:t xml:space="preserve"> </w:t>
      </w:r>
      <w:r w:rsidRPr="00673917">
        <w:rPr>
          <w:color w:val="000000" w:themeColor="text1"/>
          <w:spacing w:val="2"/>
        </w:rPr>
        <w:t>proposed framework significantly outperforms existing state-of-the-art detectors, achieving superior performance in unknown object recall and average precision while maintaining robust accuracy on established pest categories.</w:t>
      </w:r>
    </w:p>
    <w:p w14:paraId="3EF35B8D" w14:textId="20D63CDE" w:rsidR="009303D9" w:rsidRPr="006B6B66" w:rsidRDefault="005078FC" w:rsidP="006B6B66">
      <w:pPr>
        <w:pStyle w:val="Heading1"/>
      </w:pPr>
      <w:r>
        <w:t>Related work</w:t>
      </w:r>
    </w:p>
    <w:p w14:paraId="5BD33E01" w14:textId="77777777" w:rsidR="00754000" w:rsidRPr="005B520E" w:rsidRDefault="00754000" w:rsidP="00754000">
      <w:pPr>
        <w:pStyle w:val="Heading2"/>
      </w:pPr>
      <w:r w:rsidRPr="005078FC">
        <w:t>Open-World Object Detection and Continual Learning</w:t>
      </w:r>
    </w:p>
    <w:p w14:paraId="3B26DD17" w14:textId="60115B0D" w:rsidR="00247DF4" w:rsidRPr="00247DF4" w:rsidRDefault="00247DF4" w:rsidP="00247DF4">
      <w:pPr>
        <w:pStyle w:val="BodyText"/>
        <w:rPr>
          <w:lang w:val="en-US"/>
        </w:rPr>
      </w:pPr>
      <w:r w:rsidRPr="00247DF4">
        <w:rPr>
          <w:lang w:val="en-US"/>
        </w:rPr>
        <w:t xml:space="preserve">To overcome the limitations of closed-set paradigms, Open-World Object Detection (OWOD) emerged as a pioneering direction to solve object detection in dynamic data streams. The concept of OWOD was first formulated by Joseph et al. [1], followed by the advent of advanced Transformer-based models such as OW-DETR [2] and improvements utilizing Probabilistic </w:t>
      </w:r>
      <w:proofErr w:type="spellStart"/>
      <w:r w:rsidRPr="00247DF4">
        <w:rPr>
          <w:lang w:val="en-US"/>
        </w:rPr>
        <w:t>Objectness</w:t>
      </w:r>
      <w:proofErr w:type="spellEnd"/>
      <w:r w:rsidRPr="00247DF4">
        <w:rPr>
          <w:lang w:val="en-US"/>
        </w:rPr>
        <w:t xml:space="preserve"> (PROB) [3] to effectively distinguish unknown objects from the background.</w:t>
      </w:r>
    </w:p>
    <w:p w14:paraId="4FFE8497" w14:textId="5CFC8F46" w:rsidR="005078FC" w:rsidRPr="005B520E" w:rsidRDefault="00247DF4" w:rsidP="00247DF4">
      <w:pPr>
        <w:pStyle w:val="BodyText"/>
        <w:ind w:firstLine="0pt"/>
      </w:pPr>
      <w:r w:rsidRPr="00247DF4">
        <w:rPr>
          <w:lang w:val="en-US"/>
        </w:rPr>
        <w:t>In addition to discovering anomalies, research on continual learning and incremental object detection frameworks—such as prototypical task correlation-guided gating mechanisms [4] or replay consolidation strategies [5]—plays a core role in helping models integrate new classes without suffering from catastrophic forgetting. Although OWOD excels at discovering anomalies, these methods still require supplementary mechanisms to accurately identify the names of novel classes when initial training annotations are lacking.</w:t>
      </w:r>
    </w:p>
    <w:p w14:paraId="0B3DD90E" w14:textId="643304BD" w:rsidR="00D560C8" w:rsidRPr="005078FC" w:rsidRDefault="00D560C8" w:rsidP="00D560C8">
      <w:pPr>
        <w:pStyle w:val="Heading2"/>
      </w:pPr>
      <w:r w:rsidRPr="00D560C8">
        <w:t>Open-Vocabulary Detection and Vision-Language Models</w:t>
      </w:r>
    </w:p>
    <w:p w14:paraId="64F0FAC6" w14:textId="789B64FA" w:rsidR="00307FBF" w:rsidRDefault="00307FBF" w:rsidP="00307FBF">
      <w:pPr>
        <w:pStyle w:val="BodyText"/>
      </w:pPr>
      <w:r>
        <w:t xml:space="preserve">Concurrently with OWOD, the explosion of large Vision-Language Models, originating from CLIP [6], has created a turning point for Open-Vocabulary Detection (OVD). Methods such as </w:t>
      </w:r>
      <w:proofErr w:type="spellStart"/>
      <w:r>
        <w:t>Detic</w:t>
      </w:r>
      <w:proofErr w:type="spellEnd"/>
      <w:r w:rsidR="00394C0F">
        <w:t xml:space="preserve"> </w:t>
      </w:r>
      <w:r>
        <w:t>[7] or multimodal knowledge distillation techniques [8] have enabled models to leverage supervision from natural language to recognize categories completely unseen during training</w:t>
      </w:r>
      <w:r w:rsidR="005C7384">
        <w:t>.</w:t>
      </w:r>
    </w:p>
    <w:p w14:paraId="4E992BC6" w14:textId="6E405170" w:rsidR="009303D9" w:rsidRDefault="00307FBF" w:rsidP="00307FBF">
      <w:pPr>
        <w:pStyle w:val="BodyText"/>
        <w:ind w:firstLine="0pt"/>
      </w:pPr>
      <w:r>
        <w:tab/>
        <w:t>Notably, the emergence of advanced architectures such as YOLO-World [9] and Grounding DINO [10] has successfully combined real-time object detection networks with grounded pre-training based on language grammar anchors. This endows systems with the ability to localize and flexibly identify objects according to arbitrary text prompts without being constrained by a fixed category list.</w:t>
      </w:r>
    </w:p>
    <w:p w14:paraId="5636960C" w14:textId="5B31200F" w:rsidR="00247DF4" w:rsidRPr="005078FC" w:rsidRDefault="00247DF4" w:rsidP="00247DF4">
      <w:pPr>
        <w:pStyle w:val="Heading2"/>
      </w:pPr>
      <w:r w:rsidRPr="00247DF4">
        <w:t>Traditional Agricultural Pest Detection and the Limits of Closed-Set</w:t>
      </w:r>
    </w:p>
    <w:p w14:paraId="604C60CD" w14:textId="100E7D22" w:rsidR="00307FBF" w:rsidRDefault="00307FBF" w:rsidP="00307FBF">
      <w:pPr>
        <w:pStyle w:val="BodyText"/>
      </w:pPr>
      <w:r>
        <w:t>In recent years, the application of Deep Learning to smart agriculture has made major strides thanks to CNN-based object detection frameworks and single-stage network architectures. The foundation for pest recognition research has been firmly reinforced through the construction of large-scale datasets, most notably the IP102 dataset, which comprises dozens of agricultural pest categories [11]. Concurrently, algorithmic improvements such as YOLO models optimized for agricultural light traps [12] or small object detection networks in fields [13] have been continuously proposed to enhance accuracy.</w:t>
      </w:r>
    </w:p>
    <w:p w14:paraId="017F25AA" w14:textId="16E34D68" w:rsidR="005078FC" w:rsidRPr="005B520E" w:rsidRDefault="00307FBF" w:rsidP="00307FBF">
      <w:pPr>
        <w:pStyle w:val="BodyText"/>
        <w:ind w:firstLine="0pt"/>
      </w:pPr>
      <w:r>
        <w:tab/>
        <w:t>However, most current systems are limited by the closed-set assumption, meaning the model is only trained to recognize a predefined, static set of categories. When deployed into real-world farming environments—where new pest species or unexpected symptoms continuously evolve across seasons and geographic regions—traditional models inevitably fail. They lack the ability to automatically adapt to classes outside the predefined categories, leading to serious errors or severe performance degradation. Furthermore, while OWOD and OVD address open-world discovery and open-vocabulary generalization separately, bridging them is essential for agricultural applications where a system must simultaneously recognize novel pest names and actively discover unlabeled anomalies. This work addresses this gap by proposing an integrated OW-OVD framework on the IP102 benchmark [11], optimizing continual learning and vocabulary inference.</w:t>
      </w:r>
    </w:p>
    <w:p w14:paraId="2CC923CC" w14:textId="7591885D" w:rsidR="00D7522C" w:rsidRPr="005F5C82" w:rsidRDefault="00DD010A" w:rsidP="005F5C82">
      <w:pPr>
        <w:pStyle w:val="Heading1"/>
      </w:pPr>
      <w:r>
        <w:t>Methodology</w:t>
      </w:r>
    </w:p>
    <w:p w14:paraId="2D27694B" w14:textId="3B6C951E" w:rsidR="009303D9" w:rsidRDefault="00B7422E" w:rsidP="00ED0149">
      <w:pPr>
        <w:pStyle w:val="Heading2"/>
      </w:pPr>
      <w:r w:rsidRPr="00B7422E">
        <w:t>Problem Formulation &amp; System Overview</w:t>
      </w:r>
    </w:p>
    <w:p w14:paraId="7DD13C2B" w14:textId="77777777" w:rsidR="00B7422E" w:rsidRDefault="00B7422E" w:rsidP="00B7422E">
      <w:pPr>
        <w:pStyle w:val="BodyText"/>
      </w:pPr>
      <w:r>
        <w:t>We formulate open-world agricultural pest detection as a dual-capability learning framework that harmonizes zero-shot open-vocabulary generalization with progressive open-world unknown pest discovery.</w:t>
      </w:r>
    </w:p>
    <w:p w14:paraId="1B7565CD" w14:textId="04148B3E" w:rsidR="002A1793" w:rsidRDefault="00B7422E" w:rsidP="002A1793">
      <w:pPr>
        <w:jc w:val="both"/>
      </w:pPr>
      <w:r>
        <w:t xml:space="preserve">Given an input crop field </w:t>
      </w:r>
      <w:proofErr w:type="gramStart"/>
      <w:r>
        <w:t>image</w:t>
      </w:r>
      <w:proofErr w:type="gramEnd"/>
      <w:r>
        <w:t xml:space="preserve"> </w:t>
      </w:r>
      <w:r w:rsidR="004127F9" w:rsidRPr="004127F9">
        <w:rPr>
          <w:i/>
          <w:iCs/>
        </w:rPr>
        <w:t>I</w:t>
      </w:r>
      <w:r>
        <w:t>, a vision backbone encoder</w:t>
      </w:r>
      <w:r w:rsidR="002A1793">
        <w:t xml:space="preserve"> </w:t>
      </w:r>
      <m:oMath>
        <m:r>
          <w:rPr>
            <w:rFonts w:ascii="Cambria Math" w:hAnsi="Cambria Math"/>
          </w:rPr>
          <m:t>fvis</m:t>
        </m:r>
        <m:d>
          <m:dPr>
            <m:ctrlPr>
              <w:rPr>
                <w:rFonts w:ascii="Cambria Math" w:hAnsi="Cambria Math"/>
                <w:i/>
              </w:rPr>
            </m:ctrlPr>
          </m:dPr>
          <m:e>
            <m:r>
              <w:rPr>
                <w:rFonts w:ascii="Cambria Math" w:hAnsi="Cambria Math"/>
              </w:rPr>
              <m:t>⋅</m:t>
            </m:r>
          </m:e>
        </m:d>
      </m:oMath>
      <w:r w:rsidR="004127F9">
        <w:t xml:space="preserve"> </w:t>
      </w:r>
      <w:r>
        <w:t>extracts a set of regional visual embeddings</w:t>
      </w:r>
    </w:p>
    <w:p w14:paraId="5EFE4949" w14:textId="1E583834" w:rsidR="00B7422E" w:rsidRPr="00DD564E" w:rsidRDefault="00DD564E" w:rsidP="002A1793">
      <w:pPr>
        <w:jc w:val="both"/>
        <w:rPr>
          <w:rFonts w:eastAsiaTheme="minorEastAsia"/>
        </w:rPr>
      </w:pPr>
      <w:r>
        <w:t xml:space="preserve"> </w:t>
      </w:r>
      <m:oMath>
        <m:sSub>
          <m:sSubPr>
            <m:ctrlPr>
              <w:rPr>
                <w:rFonts w:ascii="Cambria Math" w:eastAsiaTheme="minorEastAsia" w:hAnsi="Cambria Math"/>
                <w:i/>
              </w:rPr>
            </m:ctrlPr>
          </m:sSubPr>
          <m:e>
            <m:r>
              <w:rPr>
                <w:rFonts w:ascii="Cambria Math" w:eastAsiaTheme="minorEastAsia" w:hAnsi="Cambria Math"/>
              </w:rPr>
              <m:t>E</m:t>
            </m:r>
          </m:e>
          <m:sub>
            <m:d>
              <m:dPr>
                <m:begChr m:val="{"/>
                <m:endChr m:val="}"/>
                <m:ctrlPr>
                  <w:rPr>
                    <w:rFonts w:ascii="Cambria Math" w:eastAsiaTheme="minorEastAsia" w:hAnsi="Cambria Math"/>
                    <w:i/>
                  </w:rPr>
                </m:ctrlPr>
              </m:dPr>
              <m:e>
                <m:r>
                  <w:rPr>
                    <w:rFonts w:ascii="Cambria Math" w:eastAsiaTheme="minorEastAsia" w:hAnsi="Cambria Math"/>
                  </w:rPr>
                  <m:t>vis</m:t>
                </m:r>
              </m:e>
            </m:d>
          </m:sub>
        </m:sSub>
        <m:r>
          <w:rPr>
            <w:rFonts w:ascii="Cambria Math" w:eastAsiaTheme="minorEastAsia" w:hAnsi="Cambria Math"/>
          </w:rPr>
          <m:t xml:space="preserve">= </m:t>
        </m:r>
        <m:d>
          <m:dPr>
            <m:begChr m:val="{"/>
            <m:endChr m:val="}"/>
            <m:ctrlPr>
              <w:rPr>
                <w:rFonts w:ascii="Cambria Math" w:eastAsiaTheme="minorEastAsia" w:hAnsi="Cambria Math" w:cstheme="minorBidi"/>
                <w:i/>
                <w:kern w:val="2"/>
                <w:sz w:val="24"/>
                <w:szCs w:val="24"/>
                <w14:ligatures w14:val="standardContextual"/>
              </w:rPr>
            </m:ctrlPr>
          </m:dPr>
          <m:e>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vis</m:t>
                </m:r>
              </m:sub>
              <m:sup>
                <m:r>
                  <w:rPr>
                    <w:rFonts w:ascii="Cambria Math" w:eastAsiaTheme="minorEastAsia" w:hAnsi="Cambria Math"/>
                  </w:rPr>
                  <m:t>1</m:t>
                </m:r>
              </m:sup>
            </m:sSubSup>
            <m:r>
              <w:rPr>
                <w:rFonts w:ascii="Cambria Math" w:eastAsiaTheme="minorEastAsia" w:hAnsi="Cambria Math"/>
              </w:rPr>
              <m:t xml:space="preserve">,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vis</m:t>
                </m:r>
              </m:sub>
              <m:sup>
                <m:r>
                  <w:rPr>
                    <w:rFonts w:ascii="Cambria Math" w:eastAsiaTheme="minorEastAsia" w:hAnsi="Cambria Math"/>
                  </w:rPr>
                  <m:t>2</m:t>
                </m:r>
              </m:sup>
            </m:sSubSup>
            <m:r>
              <w:rPr>
                <w:rFonts w:ascii="Cambria Math" w:eastAsiaTheme="minorEastAsia" w:hAnsi="Cambria Math"/>
              </w:rPr>
              <m:t xml:space="preserve">, …, </m:t>
            </m:r>
            <m:sSubSup>
              <m:sSubSupPr>
                <m:ctrlPr>
                  <w:rPr>
                    <w:rFonts w:ascii="Cambria Math" w:eastAsiaTheme="minorEastAsia" w:hAnsi="Cambria Math"/>
                    <w:i/>
                  </w:rPr>
                </m:ctrlPr>
              </m:sSubSupPr>
              <m:e>
                <m:r>
                  <w:rPr>
                    <w:rFonts w:ascii="Cambria Math" w:eastAsiaTheme="minorEastAsia" w:hAnsi="Cambria Math"/>
                  </w:rPr>
                  <m:t>e</m:t>
                </m:r>
              </m:e>
              <m:sub>
                <m:r>
                  <w:rPr>
                    <w:rFonts w:ascii="Cambria Math" w:eastAsiaTheme="minorEastAsia" w:hAnsi="Cambria Math"/>
                  </w:rPr>
                  <m:t>vis</m:t>
                </m:r>
              </m:sub>
              <m:sup>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E</m:t>
                        </m:r>
                      </m:e>
                      <m:sub>
                        <m:d>
                          <m:dPr>
                            <m:begChr m:val="{"/>
                            <m:endChr m:val="}"/>
                            <m:ctrlPr>
                              <w:rPr>
                                <w:rFonts w:ascii="Cambria Math" w:eastAsiaTheme="minorEastAsia" w:hAnsi="Cambria Math"/>
                                <w:i/>
                              </w:rPr>
                            </m:ctrlPr>
                          </m:dPr>
                          <m:e>
                            <m:r>
                              <w:rPr>
                                <w:rFonts w:ascii="Cambria Math" w:eastAsiaTheme="minorEastAsia" w:hAnsi="Cambria Math"/>
                              </w:rPr>
                              <m:t>vis</m:t>
                            </m:r>
                          </m:e>
                        </m:d>
                      </m:sub>
                    </m:sSub>
                  </m:e>
                </m:d>
              </m:sup>
            </m:sSubSup>
          </m:e>
        </m:d>
      </m:oMath>
      <w:r w:rsidR="0002699E">
        <w:t xml:space="preserve">. Concurrently, a pre-trained </w:t>
      </w:r>
      <w:r w:rsidR="00B7422E">
        <w:t>text encoder</w:t>
      </w:r>
      <w:r w:rsidR="002A1793">
        <w:t xml:space="preserve"> </w:t>
      </w:r>
      <m:oMath>
        <m:r>
          <w:rPr>
            <w:rFonts w:ascii="Cambria Math" w:hAnsi="Cambria Math"/>
          </w:rPr>
          <m:t>ftxt</m:t>
        </m:r>
        <m:r>
          <m:rPr>
            <m:sty m:val="p"/>
          </m:rPr>
          <w:rPr>
            <w:rFonts w:ascii="Cambria Math" w:hAnsi="Cambria Math"/>
          </w:rPr>
          <m:t>​(</m:t>
        </m:r>
        <m:r>
          <m:rPr>
            <m:sty m:val="p"/>
          </m:rPr>
          <w:rPr>
            <w:rFonts w:ascii="Cambria Math" w:hAnsi="Cambria Math" w:cs="Cambria Math"/>
          </w:rPr>
          <m:t>⋅</m:t>
        </m:r>
        <m:r>
          <m:rPr>
            <m:sty m:val="p"/>
          </m:rPr>
          <w:rPr>
            <w:rFonts w:ascii="Cambria Math" w:hAnsi="Cambria Math"/>
          </w:rPr>
          <m:t xml:space="preserve">) </m:t>
        </m:r>
      </m:oMath>
      <w:r w:rsidR="00B7422E">
        <w:t xml:space="preserve">converts a set of known agricultural pest category labels </w:t>
      </w:r>
      <m:oMath>
        <m:sSub>
          <m:sSubPr>
            <m:ctrlPr>
              <w:rPr>
                <w:rFonts w:ascii="Cambria Math" w:hAnsi="Cambria Math"/>
              </w:rPr>
            </m:ctrlPr>
          </m:sSubPr>
          <m:e>
            <m:r>
              <w:rPr>
                <w:rFonts w:ascii="Cambria Math" w:hAnsi="Cambria Math"/>
              </w:rPr>
              <m:t>C</m:t>
            </m:r>
          </m:e>
          <m:sub>
            <m:r>
              <w:rPr>
                <w:rFonts w:ascii="Cambria Math" w:hAnsi="Cambria Math"/>
              </w:rPr>
              <m:t>kn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e>
        </m:d>
      </m:oMath>
      <w:r w:rsidR="0002699E">
        <w:t>i</w:t>
      </w:r>
      <w:proofErr w:type="spellStart"/>
      <w:r w:rsidR="00B7422E">
        <w:t>nto</w:t>
      </w:r>
      <w:proofErr w:type="spellEnd"/>
      <w:r w:rsidR="00B7422E">
        <w:t xml:space="preserve"> text feature embeddings</w:t>
      </w:r>
      <w:r w:rsidR="0002699E">
        <w:t xml:space="preserve"> </w:t>
      </w: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c1</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c2</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ck</m:t>
                </m:r>
              </m:sub>
            </m:sSub>
          </m:e>
        </m:d>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k×d</m:t>
            </m:r>
          </m:sup>
        </m:sSup>
      </m:oMath>
      <w:r w:rsidR="0002699E">
        <w:t>.</w:t>
      </w:r>
      <w:r w:rsidR="002E34B5">
        <w:t xml:space="preserve"> </w:t>
      </w:r>
      <w:r w:rsidR="00B7422E">
        <w:t>The zero-shot classification capability for known or arbitrary unseen pest prompt categories is achieved by computing region-to-text cosine similarity scores.</w:t>
      </w:r>
    </w:p>
    <w:p w14:paraId="5F162A8C" w14:textId="4D4BBB3F" w:rsidR="00B7422E" w:rsidRDefault="00B7422E" w:rsidP="00B7422E">
      <w:pPr>
        <w:pStyle w:val="BodyText"/>
      </w:pPr>
      <w:r>
        <w:t>To simulate dynamic real-world agricultural environments where novel pest species continuously emerge across seasons and geographic regions, the detection pipeline operates over a sequence of incremental learning subtasks</w:t>
      </w:r>
      <w:r w:rsidR="002E34B5">
        <w:t xml:space="preserve"> </w:t>
      </w:r>
      <m:oMath>
        <m:r>
          <w:rPr>
            <w:rFonts w:ascii="Cambria Math" w:hAnsi="Cambria Math"/>
          </w:rPr>
          <m:t>T=</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e>
        </m:d>
      </m:oMath>
      <w:r>
        <w:t>. During the training phase of subtask</w:t>
      </w:r>
      <w:r w:rsidR="002E34B5">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the system encounters annotated data from newly introduced pest categories </w:t>
      </w:r>
      <w:r w:rsidR="002E34B5">
        <w:t xml:space="preserve"> </w:t>
      </w:r>
      <m:oMath>
        <m:sSub>
          <m:sSubPr>
            <m:ctrlPr>
              <w:rPr>
                <w:rFonts w:ascii="Cambria Math" w:hAnsi="Cambria Math"/>
              </w:rPr>
            </m:ctrlPr>
          </m:sSubPr>
          <m:e>
            <m:r>
              <w:rPr>
                <w:rFonts w:ascii="Cambria Math" w:hAnsi="Cambria Math"/>
              </w:rPr>
              <m:t>K</m:t>
            </m:r>
          </m:e>
          <m:sub>
            <m:r>
              <w:rPr>
                <w:rFonts w:ascii="Cambria Math" w:hAnsi="Cambria Math"/>
              </w:rPr>
              <m:t>Ti</m:t>
            </m:r>
          </m:sub>
        </m:sSub>
      </m:oMath>
      <w:r>
        <w:t>alongside historical categories</w:t>
      </w:r>
      <w:r w:rsidR="002E34B5">
        <w:t xml:space="preserve"> </w:t>
      </w:r>
      <m:oMath>
        <m:sSub>
          <m:sSubPr>
            <m:ctrlPr>
              <w:rPr>
                <w:rFonts w:ascii="Cambria Math" w:hAnsi="Cambria Math"/>
              </w:rPr>
            </m:ctrlPr>
          </m:sSubPr>
          <m:e>
            <m:r>
              <w:rPr>
                <w:rFonts w:ascii="Cambria Math" w:hAnsi="Cambria Math"/>
              </w:rPr>
              <m:t>K</m:t>
            </m:r>
          </m:e>
          <m:sub>
            <m:r>
              <w:rPr>
                <w:rFonts w:ascii="Cambria Math" w:hAnsi="Cambria Math"/>
              </w:rPr>
              <m:t>kn</m:t>
            </m:r>
          </m:sub>
        </m:sSub>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Ti</m:t>
                </m:r>
              </m:sub>
            </m:sSub>
          </m:e>
        </m:d>
      </m:oMath>
      <w:r w:rsidR="002E34B5">
        <w:t>.</w:t>
      </w:r>
      <w:r>
        <w:t xml:space="preserve"> During field inference, the system must accurately locate and classify known pest instances</w:t>
      </w:r>
      <w:r w:rsidR="002E34B5">
        <w:t xml:space="preserve"> </w:t>
      </w:r>
      <m:oMath>
        <m:sSub>
          <m:sSubPr>
            <m:ctrlPr>
              <w:rPr>
                <w:rFonts w:ascii="Cambria Math" w:hAnsi="Cambria Math"/>
              </w:rPr>
            </m:ctrlPr>
          </m:sSubPr>
          <m:e>
            <m:r>
              <w:rPr>
                <w:rFonts w:ascii="Cambria Math" w:hAnsi="Cambria Math"/>
              </w:rPr>
              <m:t>K</m:t>
            </m:r>
          </m:e>
          <m:sub>
            <m:r>
              <w:rPr>
                <w:rFonts w:ascii="Cambria Math" w:hAnsi="Cambria Math"/>
              </w:rPr>
              <m:t>kn</m:t>
            </m:r>
          </m:sub>
        </m:sSub>
      </m:oMath>
      <w:r>
        <w:t>while actively isolating unannotated novel pest anomalies as unknown. These unknown instances are subsequently labeled by domain experts and integrated into</w:t>
      </w:r>
      <w:r w:rsidR="002E34B5">
        <w:t xml:space="preserve"> </w:t>
      </w:r>
      <m:oMath>
        <m:sSub>
          <m:sSubPr>
            <m:ctrlPr>
              <w:rPr>
                <w:rFonts w:ascii="Cambria Math" w:hAnsi="Cambria Math"/>
              </w:rPr>
            </m:ctrlPr>
          </m:sSubPr>
          <m:e>
            <m:r>
              <w:rPr>
                <w:rFonts w:ascii="Cambria Math" w:hAnsi="Cambria Math"/>
              </w:rPr>
              <m:t>K</m:t>
            </m:r>
          </m:e>
          <m:sub>
            <m:r>
              <w:rPr>
                <w:rFonts w:ascii="Cambria Math" w:hAnsi="Cambria Math"/>
              </w:rPr>
              <m:t>Ti+1</m:t>
            </m:r>
          </m:sub>
        </m:sSub>
      </m:oMath>
      <w:r>
        <w:t xml:space="preserve"> for continuous model updating via incremental fine-tuning.</w:t>
      </w:r>
    </w:p>
    <w:p w14:paraId="679761D9" w14:textId="4E484CB4" w:rsidR="009303D9" w:rsidRDefault="002E34B5" w:rsidP="00ED0149">
      <w:pPr>
        <w:pStyle w:val="Heading2"/>
      </w:pPr>
      <w:r w:rsidRPr="002E34B5">
        <w:t>LLM-Guided Agricultural Pest Attribute Generation</w:t>
      </w:r>
    </w:p>
    <w:p w14:paraId="35919E98" w14:textId="2816F4A3" w:rsidR="009303D9" w:rsidRDefault="00AB1700" w:rsidP="002E34B5">
      <w:pPr>
        <w:pStyle w:val="bulletlist"/>
        <w:numPr>
          <w:ilvl w:val="0"/>
          <w:numId w:val="0"/>
        </w:numPr>
      </w:pPr>
      <w:r>
        <w:tab/>
      </w:r>
      <w:r w:rsidR="000C0F12" w:rsidRPr="000C0F12">
        <w:t>To alleviate single-prompt descriptive bias and capture subtle visual characteristics of crop pests (such as wing patterns, body texture, antennae shape, and feeding damage symptoms on leaves), we leverage Large Language Models (LLMs) to construct fine-grained pest visual descriptions.</w:t>
      </w:r>
      <w:r>
        <w:t xml:space="preserve"> </w:t>
      </w:r>
    </w:p>
    <w:p w14:paraId="0AAAD33E" w14:textId="644CF56C" w:rsidR="00AB1700" w:rsidRDefault="00AB1700" w:rsidP="0034054B">
      <w:pPr>
        <w:ind w:firstLine="14.40pt"/>
        <w:jc w:val="both"/>
      </w:pPr>
      <w:r w:rsidRPr="008E649E">
        <w:t xml:space="preserve">For each known pest category in </w:t>
      </w:r>
      <m:oMath>
        <m:sSub>
          <m:sSubPr>
            <m:ctrlPr>
              <w:rPr>
                <w:rFonts w:ascii="Cambria Math" w:hAnsi="Cambria Math"/>
              </w:rPr>
            </m:ctrlPr>
          </m:sSubPr>
          <m:e>
            <m:r>
              <w:rPr>
                <w:rFonts w:ascii="Cambria Math" w:hAnsi="Cambria Math"/>
              </w:rPr>
              <m:t>C</m:t>
            </m:r>
          </m:e>
          <m:sub>
            <m:r>
              <w:rPr>
                <w:rFonts w:ascii="Cambria Math" w:hAnsi="Cambria Math"/>
              </w:rPr>
              <m:t>kn</m:t>
            </m:r>
          </m:sub>
        </m:sSub>
      </m:oMath>
      <w:r w:rsidRPr="008E649E">
        <w:t>, the LLM is prompted to enumerate fine-grained physical features.</w:t>
      </w:r>
      <w:r>
        <w:t xml:space="preserve"> T</w:t>
      </w:r>
      <w:r w:rsidRPr="008E649E">
        <w:t>hese descriptive traits are inserted into standardized prompt templates</w:t>
      </w:r>
      <w:r>
        <w:t>.</w:t>
      </w:r>
      <w:r w:rsidRPr="008E649E">
        <w:t xml:space="preserve"> These sentences are subsequently processed by the pre-trained text encoder </w:t>
      </w:r>
      <m:oMath>
        <m:sSub>
          <m:sSubPr>
            <m:ctrlPr>
              <w:rPr>
                <w:rFonts w:ascii="Cambria Math" w:hAnsi="Cambria Math"/>
              </w:rPr>
            </m:ctrlPr>
          </m:sSubPr>
          <m:e>
            <m:r>
              <w:rPr>
                <w:rFonts w:ascii="Cambria Math" w:hAnsi="Cambria Math"/>
              </w:rPr>
              <m:t>f</m:t>
            </m:r>
          </m:e>
          <m:sub>
            <m:r>
              <w:rPr>
                <w:rFonts w:ascii="Cambria Math" w:hAnsi="Cambria Math"/>
              </w:rPr>
              <m:t>txt</m:t>
            </m:r>
          </m:sub>
        </m:sSub>
        <m:d>
          <m:dPr>
            <m:ctrlPr>
              <w:rPr>
                <w:rFonts w:ascii="Cambria Math" w:hAnsi="Cambria Math"/>
              </w:rPr>
            </m:ctrlPr>
          </m:dPr>
          <m:e>
            <m:r>
              <w:rPr>
                <w:rFonts w:ascii="Cambria Math" w:hAnsi="Cambria Math"/>
              </w:rPr>
              <m:t>⋅</m:t>
            </m:r>
          </m:e>
        </m:d>
      </m:oMath>
      <w:r w:rsidRPr="008E649E">
        <w:t xml:space="preserve"> to yield an attribute feature matrix </w:t>
      </w:r>
      <m:oMath>
        <m:sSub>
          <m:sSubPr>
            <m:ctrlPr>
              <w:rPr>
                <w:rFonts w:ascii="Cambria Math" w:hAnsi="Cambria Math"/>
              </w:rPr>
            </m:ctrlPr>
          </m:sSubPr>
          <m:e>
            <m:r>
              <w:rPr>
                <w:rFonts w:ascii="Cambria Math" w:hAnsi="Cambria Math"/>
              </w:rPr>
              <m:t>E</m:t>
            </m:r>
          </m:e>
          <m:sub>
            <m:r>
              <w:rPr>
                <w:rFonts w:ascii="Cambria Math" w:hAnsi="Cambria Math"/>
              </w:rPr>
              <m:t>att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s×d</m:t>
            </m:r>
          </m:sup>
        </m:sSup>
      </m:oMath>
      <w:r w:rsidRPr="008E649E">
        <w:t>:</w:t>
      </w:r>
    </w:p>
    <w:p w14:paraId="7156ECE4" w14:textId="6408095C" w:rsidR="00CB23E4" w:rsidRPr="005B520E" w:rsidRDefault="00CB23E4" w:rsidP="00CB23E4">
      <w:pPr>
        <w:pStyle w:val="equation"/>
        <w:rPr>
          <w:rFonts w:hint="eastAsia"/>
        </w:rPr>
      </w:pPr>
      <w:r w:rsidRPr="005B520E">
        <w:tab/>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att</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txt</m:t>
            </m:r>
          </m:sub>
        </m:sSub>
        <m:d>
          <m:dPr>
            <m:ctrlPr>
              <w:rPr>
                <w:rFonts w:ascii="Cambria Math" w:hAnsi="Cambria Math" w:cs="Times New Roman"/>
              </w:rPr>
            </m:ctrlPr>
          </m:dPr>
          <m:e>
            <m:r>
              <w:rPr>
                <w:rFonts w:ascii="Cambria Math" w:hAnsi="Cambria Math" w:cs="Times New Roman"/>
              </w:rPr>
              <m:t>Sen</m:t>
            </m:r>
          </m:e>
        </m:d>
        <m: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s×d</m:t>
            </m:r>
          </m:sup>
        </m:sSup>
      </m:oMath>
      <w:r>
        <w:tab/>
      </w:r>
      <w:r w:rsidRPr="00CB66E6">
        <w:t></w:t>
      </w:r>
      <w:r w:rsidRPr="00CB66E6">
        <w:t></w:t>
      </w:r>
      <w:r w:rsidRPr="00CB66E6">
        <w:t></w:t>
      </w:r>
    </w:p>
    <w:p w14:paraId="6E5449DE" w14:textId="0535174B" w:rsidR="002E34B5" w:rsidRPr="005B520E" w:rsidRDefault="00CB23E4" w:rsidP="00CB23E4">
      <w:pPr>
        <w:jc w:val="both"/>
      </w:pPr>
      <w:r w:rsidRPr="008E649E">
        <w:t>W</w:t>
      </w:r>
      <w:r w:rsidR="00AB1700" w:rsidRPr="008E649E">
        <w:t>here</w:t>
      </w:r>
      <w:r>
        <w:t xml:space="preserve"> </w:t>
      </w:r>
      <m:oMath>
        <m:r>
          <w:rPr>
            <w:rFonts w:ascii="Cambria Math" w:hAnsi="Cambria Math"/>
          </w:rPr>
          <m:t>Sen</m:t>
        </m:r>
      </m:oMath>
      <w:r w:rsidR="00AB1700" w:rsidRPr="008E649E">
        <w:t xml:space="preserve"> denotes the collection of generated feature sentences, </w:t>
      </w:r>
      <m:oMath>
        <m:r>
          <w:rPr>
            <w:rFonts w:ascii="Cambria Math" w:hAnsi="Cambria Math"/>
          </w:rPr>
          <m:t>s</m:t>
        </m:r>
      </m:oMath>
      <w:r w:rsidR="00AB1700" w:rsidRPr="008E649E">
        <w:t xml:space="preserve"> is the total sentence count across all categories, and </w:t>
      </w:r>
      <m:oMath>
        <m:r>
          <w:rPr>
            <w:rFonts w:ascii="Cambria Math" w:hAnsi="Cambria Math"/>
          </w:rPr>
          <m:t>d=512</m:t>
        </m:r>
      </m:oMath>
      <w:r w:rsidR="00AB1700" w:rsidRPr="008E649E">
        <w:t xml:space="preserve"> represents the embedding dimensionality.</w:t>
      </w:r>
    </w:p>
    <w:p w14:paraId="5FD76982" w14:textId="3795E8C8" w:rsidR="009303D9" w:rsidRPr="005B520E" w:rsidRDefault="00CB23E4" w:rsidP="00ED0149">
      <w:pPr>
        <w:pStyle w:val="Heading2"/>
      </w:pPr>
      <w:r w:rsidRPr="00CB23E4">
        <w:t>Visual Similarity Attribute Selection (VSAS)</w:t>
      </w:r>
    </w:p>
    <w:p w14:paraId="65F79497" w14:textId="16C0DC8A" w:rsidR="009303D9" w:rsidRDefault="0034054B" w:rsidP="0034054B">
      <w:pPr>
        <w:pStyle w:val="BodyText"/>
      </w:pPr>
      <w:r w:rsidRPr="0034054B">
        <w:t>Although LLMs generate comprehensive biological descriptors, raw feature sets contain significant redundancy and overlap</w:t>
      </w:r>
      <w:r w:rsidR="00AE0CB4">
        <w:t xml:space="preserve">. </w:t>
      </w:r>
      <w:r w:rsidRPr="0034054B">
        <w:t>To extract the most generalizable visual traits capable of describing both annotated pests and unannotated novel anomalies, we propose the Visual Similarity Attribute Selection (VSAS) mechanism.</w:t>
      </w:r>
    </w:p>
    <w:p w14:paraId="35CC4045" w14:textId="5985990F" w:rsidR="00AE0CB4" w:rsidRDefault="00AE0CB4" w:rsidP="00E7596C">
      <w:pPr>
        <w:pStyle w:val="BodyText"/>
      </w:pPr>
      <w:r w:rsidRPr="00AE0CB4">
        <w:t xml:space="preserve">For each training field image </w:t>
      </w:r>
      <m:oMath>
        <m:r>
          <w:rPr>
            <w:rFonts w:ascii="Cambria Math" w:hAnsi="Cambria Math"/>
          </w:rPr>
          <m:t>I</m:t>
        </m:r>
      </m:oMath>
      <w:r w:rsidRPr="00AE0CB4">
        <w:t xml:space="preserve">, the visual backbone extracts region embeddings </w:t>
      </w:r>
      <m:oMath>
        <m:sSub>
          <m:sSubPr>
            <m:ctrlPr>
              <w:rPr>
                <w:rFonts w:ascii="Cambria Math" w:hAnsi="Cambria Math"/>
              </w:rPr>
            </m:ctrlPr>
          </m:sSubPr>
          <m:e>
            <m:r>
              <w:rPr>
                <w:rFonts w:ascii="Cambria Math" w:hAnsi="Cambria Math"/>
              </w:rPr>
              <m:t>E</m:t>
            </m:r>
          </m:e>
          <m:sub>
            <m:r>
              <w:rPr>
                <w:rFonts w:ascii="Cambria Math" w:hAnsi="Cambria Math"/>
              </w:rPr>
              <m:t>vis</m:t>
            </m:r>
          </m:sub>
        </m:sSub>
      </m:oMath>
      <w:r w:rsidRPr="00AE0CB4">
        <w:t>. The bounding box decoder</w:t>
      </w:r>
      <w:r>
        <w:t xml:space="preserve"> </w:t>
      </w:r>
      <m:oMath>
        <m:sSub>
          <m:sSubPr>
            <m:ctrlPr>
              <w:rPr>
                <w:rFonts w:ascii="Cambria Math" w:hAnsi="Cambria Math"/>
              </w:rPr>
            </m:ctrlPr>
          </m:sSubPr>
          <m:e>
            <m:r>
              <w:rPr>
                <w:rFonts w:ascii="Cambria Math" w:hAnsi="Cambria Math"/>
              </w:rPr>
              <m:t>h</m:t>
            </m:r>
          </m:e>
          <m:sub>
            <m:r>
              <w:rPr>
                <w:rFonts w:ascii="Cambria Math" w:hAnsi="Cambria Math"/>
              </w:rPr>
              <m:t>box</m:t>
            </m:r>
          </m:sub>
        </m:sSub>
        <m:d>
          <m:dPr>
            <m:ctrlPr>
              <w:rPr>
                <w:rFonts w:ascii="Cambria Math" w:hAnsi="Cambria Math"/>
              </w:rPr>
            </m:ctrlPr>
          </m:dPr>
          <m:e>
            <m:r>
              <w:rPr>
                <w:rFonts w:ascii="Cambria Math" w:hAnsi="Cambria Math"/>
              </w:rPr>
              <m:t>⋅</m:t>
            </m:r>
          </m:e>
        </m:d>
      </m:oMath>
      <w:r>
        <w:t xml:space="preserve"> </w:t>
      </w:r>
      <w:r w:rsidRPr="00AE0CB4">
        <w:t xml:space="preserve"> and contrastive classification</w:t>
      </w:r>
      <w:r>
        <w:t xml:space="preserve"> </w:t>
      </w:r>
      <w:r w:rsidRPr="00AE0CB4">
        <w:t>hea</w:t>
      </w:r>
      <w:r>
        <w:t xml:space="preserve">d </w:t>
      </w:r>
      <m:oMath>
        <m:sSub>
          <m:sSubPr>
            <m:ctrlPr>
              <w:rPr>
                <w:rFonts w:ascii="Cambria Math" w:hAnsi="Cambria Math"/>
              </w:rPr>
            </m:ctrlPr>
          </m:sSubPr>
          <m:e>
            <m:r>
              <w:rPr>
                <w:rFonts w:ascii="Cambria Math" w:hAnsi="Cambria Math"/>
              </w:rPr>
              <m:t>h</m:t>
            </m:r>
          </m:e>
          <m:sub>
            <m:r>
              <w:rPr>
                <w:rFonts w:ascii="Cambria Math" w:hAnsi="Cambria Math"/>
              </w:rPr>
              <m:t>cls</m:t>
            </m:r>
          </m:sub>
        </m:sSub>
        <m:d>
          <m:dPr>
            <m:ctrlPr>
              <w:rPr>
                <w:rFonts w:ascii="Cambria Math" w:hAnsi="Cambria Math"/>
              </w:rPr>
            </m:ctrlPr>
          </m:dPr>
          <m:e>
            <m:r>
              <w:rPr>
                <w:rFonts w:ascii="Cambria Math" w:hAnsi="Cambria Math"/>
              </w:rPr>
              <m:t>⋅</m:t>
            </m:r>
          </m:e>
        </m:d>
      </m:oMath>
      <w:r w:rsidRPr="00AE0CB4">
        <w:t xml:space="preserve"> decode </w:t>
      </w:r>
      <m:oMath>
        <m:sSub>
          <m:sSubPr>
            <m:ctrlPr>
              <w:rPr>
                <w:rFonts w:ascii="Cambria Math" w:hAnsi="Cambria Math"/>
              </w:rPr>
            </m:ctrlPr>
          </m:sSubPr>
          <m:e>
            <m:r>
              <w:rPr>
                <w:rFonts w:ascii="Cambria Math" w:hAnsi="Cambria Math"/>
              </w:rPr>
              <m:t>E</m:t>
            </m:r>
          </m:e>
          <m:sub>
            <m:r>
              <w:rPr>
                <w:rFonts w:ascii="Cambria Math" w:hAnsi="Cambria Math"/>
              </w:rPr>
              <m:t>vis</m:t>
            </m:r>
          </m:sub>
        </m:sSub>
      </m:oMath>
      <w:r w:rsidRPr="00AE0CB4">
        <w:t xml:space="preserve">into predicted bounding boxes </w:t>
      </w:r>
      <m:oMath>
        <m:sSub>
          <m:sSubPr>
            <m:ctrlPr>
              <w:rPr>
                <w:rFonts w:ascii="Cambria Math" w:hAnsi="Cambria Math"/>
              </w:rPr>
            </m:ctrlPr>
          </m:sSubPr>
          <m:e>
            <m:r>
              <w:rPr>
                <w:rFonts w:ascii="Cambria Math" w:hAnsi="Cambria Math"/>
              </w:rPr>
              <m:t>P</m:t>
            </m:r>
          </m:e>
          <m:sub>
            <m:r>
              <w:rPr>
                <w:rFonts w:ascii="Cambria Math" w:hAnsi="Cambria Math"/>
              </w:rPr>
              <m:t>box</m:t>
            </m:r>
          </m:sub>
        </m:sSub>
      </m:oMath>
      <w:r w:rsidRPr="00AE0CB4">
        <w:t xml:space="preserve">and class probability scores </w:t>
      </w:r>
      <m:oMath>
        <m:sSub>
          <m:sSubPr>
            <m:ctrlPr>
              <w:rPr>
                <w:rFonts w:ascii="Cambria Math" w:hAnsi="Cambria Math"/>
              </w:rPr>
            </m:ctrlPr>
          </m:sSubPr>
          <m:e>
            <m:r>
              <w:rPr>
                <w:rFonts w:ascii="Cambria Math" w:hAnsi="Cambria Math"/>
              </w:rPr>
              <m:t>P</m:t>
            </m:r>
          </m:e>
          <m:sub>
            <m:r>
              <w:rPr>
                <w:rFonts w:ascii="Cambria Math" w:hAnsi="Cambria Math"/>
              </w:rPr>
              <m:t>cls</m:t>
            </m:r>
          </m:sub>
        </m:sSub>
      </m:oMath>
      <w:r w:rsidRPr="00AE0CB4">
        <w:t>:</w:t>
      </w:r>
    </w:p>
    <w:p w14:paraId="1B3C1093" w14:textId="23CD3A34" w:rsidR="00AE0CB4" w:rsidRPr="005B520E" w:rsidRDefault="00AE0CB4" w:rsidP="00C01745">
      <w:pPr>
        <w:pStyle w:val="equation"/>
        <w:rPr>
          <w:rFonts w:hint="eastAsia"/>
        </w:rPr>
      </w:pPr>
      <w:r w:rsidRPr="005B520E">
        <w:tab/>
      </w:r>
      <m:oMath>
        <m:sSub>
          <m:sSubPr>
            <m:ctrlPr>
              <w:rPr>
                <w:rFonts w:ascii="Cambria Math" w:hAnsi="Cambria Math"/>
              </w:rPr>
            </m:ctrlPr>
          </m:sSubPr>
          <m:e>
            <m:r>
              <w:rPr>
                <w:rFonts w:ascii="Cambria Math" w:hAnsi="Cambria Math"/>
              </w:rPr>
              <m:t>P</m:t>
            </m:r>
          </m:e>
          <m:sub>
            <m:r>
              <w:rPr>
                <w:rFonts w:ascii="Cambria Math" w:hAnsi="Cambria Math"/>
              </w:rPr>
              <m:t>cls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cls</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vis</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P</m:t>
            </m:r>
          </m:e>
          <m:sub>
            <m:r>
              <w:rPr>
                <w:rFonts w:ascii="Cambria Math" w:hAnsi="Cambria Math"/>
              </w:rPr>
              <m:t>box</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box</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vis</m:t>
                </m:r>
              </m:sub>
            </m:sSub>
          </m:e>
        </m:d>
      </m:oMath>
      <w:r>
        <w:tab/>
      </w:r>
      <w:r w:rsidRPr="00CB66E6">
        <w:t></w:t>
      </w:r>
      <w:r>
        <w:t>2</w:t>
      </w:r>
      <w:r w:rsidRPr="00CB66E6">
        <w:t></w:t>
      </w:r>
    </w:p>
    <w:p w14:paraId="242071C0" w14:textId="5E440591" w:rsidR="00C01745" w:rsidRDefault="00C01745" w:rsidP="00C01745">
      <w:pPr>
        <w:pStyle w:val="BodyText"/>
        <w:ind w:firstLine="0pt"/>
        <w:rPr>
          <w:lang w:val="en-US"/>
        </w:rPr>
      </w:pPr>
      <w:r>
        <w:rPr>
          <w:lang w:val="en-US"/>
        </w:rPr>
        <w:t>w</w:t>
      </w:r>
      <w:r w:rsidRPr="00C01745">
        <w:rPr>
          <w:lang w:val="en-US"/>
        </w:rPr>
        <w:t xml:space="preserve">here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C</m:t>
            </m:r>
          </m:sub>
        </m:sSub>
      </m:oMath>
      <w:r w:rsidRPr="00C01745">
        <w:rPr>
          <w:lang w:val="en-US"/>
        </w:rPr>
        <w:t xml:space="preserve"> represents the text embeddings of known pest classes. Using standard target assignment algorithms</w:t>
      </w:r>
      <w:r>
        <w:rPr>
          <w:lang w:val="en-US"/>
        </w:rPr>
        <w:t>,</w:t>
      </w:r>
      <w:r w:rsidRPr="00C01745">
        <w:rPr>
          <w:lang w:val="en-US"/>
        </w:rPr>
        <w:t xml:space="preserve"> candidate region embeddings are evaluated against ground-truth annotations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cls</m:t>
            </m:r>
          </m:sub>
        </m:sSub>
      </m:oMath>
      <w:r w:rsidRPr="00C01745">
        <w:rPr>
          <w:lang w:val="en-US"/>
        </w:rPr>
        <w:t xml:space="preserve"> and </w:t>
      </w:r>
      <m:oMath>
        <m:sSub>
          <m:sSubPr>
            <m:ctrlPr>
              <w:rPr>
                <w:rFonts w:ascii="Cambria Math" w:hAnsi="Cambria Math"/>
                <w:lang w:val="en-US"/>
              </w:rPr>
            </m:ctrlPr>
          </m:sSubPr>
          <m:e>
            <m:r>
              <w:rPr>
                <w:rFonts w:ascii="Cambria Math" w:hAnsi="Cambria Math"/>
                <w:lang w:val="en-US"/>
              </w:rPr>
              <m:t>G</m:t>
            </m:r>
          </m:e>
          <m:sub>
            <m:r>
              <w:rPr>
                <w:rFonts w:ascii="Cambria Math" w:hAnsi="Cambria Math"/>
                <w:lang w:val="en-US"/>
              </w:rPr>
              <m:t>box</m:t>
            </m:r>
          </m:sub>
        </m:sSub>
      </m:oMath>
      <w:r w:rsidRPr="00C01745">
        <w:rPr>
          <w:lang w:val="en-US"/>
        </w:rPr>
        <w:t xml:space="preserve">. A matching score </w:t>
      </w:r>
      <m:oMath>
        <m:r>
          <w:rPr>
            <w:rFonts w:ascii="Cambria Math" w:hAnsi="Cambria Math"/>
            <w:lang w:val="en-US"/>
          </w:rPr>
          <m:t>S</m:t>
        </m:r>
        <m:d>
          <m:dPr>
            <m:begChr m:val="["/>
            <m:endChr m:val="]"/>
            <m:ctrlPr>
              <w:rPr>
                <w:rFonts w:ascii="Cambria Math" w:hAnsi="Cambria Math"/>
                <w:lang w:val="en-US"/>
              </w:rPr>
            </m:ctrlPr>
          </m:dPr>
          <m:e>
            <m:r>
              <w:rPr>
                <w:rFonts w:ascii="Cambria Math" w:hAnsi="Cambria Math"/>
                <w:lang w:val="en-US"/>
              </w:rPr>
              <m:t>i</m:t>
            </m:r>
          </m:e>
        </m:d>
      </m:oMath>
      <w:r w:rsidRPr="00C01745">
        <w:rPr>
          <w:lang w:val="en-US"/>
        </w:rPr>
        <w:t xml:space="preserve"> for the </w:t>
      </w:r>
      <m:oMath>
        <m:r>
          <w:rPr>
            <w:rFonts w:ascii="Cambria Math" w:hAnsi="Cambria Math"/>
            <w:lang w:val="en-US"/>
          </w:rPr>
          <m:t>i</m:t>
        </m:r>
      </m:oMath>
      <w:r w:rsidRPr="00C01745">
        <w:rPr>
          <w:lang w:val="en-US"/>
        </w:rPr>
        <w:t>-th region proposal is computed by combining classification and localization matching losses:</w:t>
      </w:r>
    </w:p>
    <w:p w14:paraId="106D975C" w14:textId="772ECBDC" w:rsidR="00C01745" w:rsidRPr="00C01745" w:rsidRDefault="00C01745" w:rsidP="00C01745">
      <w:pPr>
        <w:pStyle w:val="equation"/>
        <w:jc w:val="both"/>
        <w:rPr>
          <w:rFonts w:hint="eastAsia"/>
        </w:rPr>
      </w:pPr>
      <w:r w:rsidRPr="005B520E">
        <w:tab/>
      </w:r>
      <w:r>
        <w:t xml:space="preserve">            </w:t>
      </w:r>
      <m:oMath>
        <m:r>
          <w:rPr>
            <w:rFonts w:ascii="Cambria Math" w:hAnsi="Cambria Math" w:cs="Times New Roman"/>
          </w:rPr>
          <m:t>S=π</m:t>
        </m:r>
        <m:d>
          <m:dPr>
            <m:ctrlPr>
              <w:rPr>
                <w:rFonts w:ascii="Cambria Math" w:hAnsi="Cambria Math" w:cs="Times New Roman"/>
              </w:rPr>
            </m:ctrlPr>
          </m:dPr>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cls</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cls</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cls</m:t>
                    </m:r>
                  </m:sub>
                </m:sSub>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box</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box</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box</m:t>
                    </m:r>
                  </m:sub>
                </m:sSub>
              </m:e>
            </m:d>
          </m:e>
        </m:d>
      </m:oMath>
      <w:r>
        <w:rPr>
          <w:rFonts w:ascii="Cambria Math" w:hAnsi="Cambria Math" w:cs="Times New Roman"/>
        </w:rPr>
        <w:t xml:space="preserve">               </w:t>
      </w:r>
      <w:r w:rsidRPr="00CB66E6">
        <w:t></w:t>
      </w:r>
      <w:r>
        <w:t>3</w:t>
      </w:r>
      <w:r w:rsidRPr="00CB66E6">
        <w:t></w:t>
      </w:r>
    </w:p>
    <w:p w14:paraId="30F7F04A" w14:textId="181915BF" w:rsidR="007D5C86" w:rsidRDefault="007D5C86" w:rsidP="007D5C86">
      <w:pPr>
        <w:pStyle w:val="BodyText"/>
        <w:rPr>
          <w:lang w:val="en-US"/>
        </w:rPr>
      </w:pPr>
      <w:r w:rsidRPr="007D5C86">
        <w:rPr>
          <w:lang w:val="en-US"/>
        </w:rPr>
        <w:t xml:space="preserve">Candidate regions are then partitioned into positive samples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vis</m:t>
            </m:r>
          </m:sub>
          <m:sup>
            <m:r>
              <w:rPr>
                <w:rFonts w:ascii="Cambria Math" w:hAnsi="Cambria Math"/>
                <w:lang w:val="en-US"/>
              </w:rPr>
              <m:t>+</m:t>
            </m:r>
          </m:sup>
        </m:sSubSup>
      </m:oMath>
      <w:r w:rsidRPr="007D5C86">
        <w:rPr>
          <w:lang w:val="en-US"/>
        </w:rPr>
        <w:t xml:space="preserve"> (annotated pest instances) and negative samples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vis</m:t>
            </m:r>
          </m:sub>
          <m:sup>
            <m:r>
              <w:rPr>
                <w:rFonts w:ascii="Cambria Math" w:hAnsi="Cambria Math"/>
                <w:lang w:val="en-US"/>
              </w:rPr>
              <m:t>-</m:t>
            </m:r>
          </m:sup>
        </m:sSubSup>
      </m:oMath>
      <w:r w:rsidRPr="007D5C86">
        <w:rPr>
          <w:lang w:val="en-US"/>
        </w:rPr>
        <w:t xml:space="preserve"> (background clutter or potential unannotated novel pests) using a threshold </w:t>
      </w:r>
      <m:oMath>
        <m:r>
          <w:rPr>
            <w:rFonts w:ascii="Cambria Math" w:hAnsi="Cambria Math"/>
            <w:lang w:val="en-US"/>
          </w:rPr>
          <m:t>α</m:t>
        </m:r>
      </m:oMath>
      <w:r w:rsidRPr="007D5C86">
        <w:rPr>
          <w:lang w:val="en-US"/>
        </w:rPr>
        <w:t>:</w:t>
      </w:r>
    </w:p>
    <w:p w14:paraId="3804E625" w14:textId="65D167ED" w:rsidR="007D5C86" w:rsidRPr="007D5C86" w:rsidRDefault="007D5C86" w:rsidP="007D5C86">
      <w:pPr>
        <w:pStyle w:val="BodyText"/>
        <w:ind w:firstLine="0pt"/>
        <w:rPr>
          <w:lang w:val="en-US"/>
        </w:rPr>
      </w:pPr>
      <w:r>
        <w:t xml:space="preserve">         </w:t>
      </w:r>
      <m:oMath>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m:t>
            </m:r>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i</m:t>
                </m:r>
              </m:sup>
            </m:sSubSup>
            <m:r>
              <w:rPr>
                <w:rFonts w:ascii="Cambria Math" w:hAnsi="Cambria Math"/>
              </w:rPr>
              <m:t>∣S</m:t>
            </m:r>
            <m:d>
              <m:dPr>
                <m:begChr m:val="["/>
                <m:endChr m:val="]"/>
                <m:ctrlPr>
                  <w:rPr>
                    <w:rFonts w:ascii="Cambria Math" w:hAnsi="Cambria Math"/>
                  </w:rPr>
                </m:ctrlPr>
              </m:dPr>
              <m:e>
                <m:r>
                  <w:rPr>
                    <w:rFonts w:ascii="Cambria Math" w:hAnsi="Cambria Math"/>
                  </w:rPr>
                  <m:t>i</m:t>
                </m:r>
              </m:e>
            </m:d>
            <m:r>
              <w:rPr>
                <w:rFonts w:ascii="Cambria Math" w:hAnsi="Cambria Math"/>
              </w:rPr>
              <m:t>≥α</m:t>
            </m:r>
          </m:e>
        </m:d>
        <m:r>
          <w:rPr>
            <w:rFonts w:ascii="Cambria Math" w:hAnsi="Cambria Math"/>
          </w:rPr>
          <m:t xml:space="preserve">,  </m:t>
        </m:r>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m:t>
            </m:r>
          </m:sup>
        </m:sSubSup>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i</m:t>
                </m:r>
              </m:sup>
            </m:sSubSup>
            <m:r>
              <w:rPr>
                <w:rFonts w:ascii="Cambria Math" w:hAnsi="Cambria Math"/>
              </w:rPr>
              <m:t>∣S</m:t>
            </m:r>
            <m:d>
              <m:dPr>
                <m:begChr m:val="["/>
                <m:endChr m:val="]"/>
                <m:ctrlPr>
                  <w:rPr>
                    <w:rFonts w:ascii="Cambria Math" w:hAnsi="Cambria Math"/>
                  </w:rPr>
                </m:ctrlPr>
              </m:dPr>
              <m:e>
                <m:r>
                  <w:rPr>
                    <w:rFonts w:ascii="Cambria Math" w:hAnsi="Cambria Math"/>
                  </w:rPr>
                  <m:t>i</m:t>
                </m:r>
              </m:e>
            </m:d>
            <m:r>
              <w:rPr>
                <w:rFonts w:ascii="Cambria Math" w:hAnsi="Cambria Math"/>
              </w:rPr>
              <m:t>&lt;α</m:t>
            </m:r>
          </m:e>
        </m:d>
      </m:oMath>
      <w:r>
        <w:rPr>
          <w:rFonts w:ascii="Cambria Math" w:hAnsi="Cambria Math"/>
          <w:i/>
          <w:color w:val="666666"/>
        </w:rPr>
        <w:t xml:space="preserve">      </w:t>
      </w:r>
      <w:r w:rsidR="007C100F">
        <w:rPr>
          <w:rFonts w:ascii="Cambria Math" w:hAnsi="Cambria Math"/>
          <w:i/>
          <w:color w:val="666666"/>
        </w:rPr>
        <w:t xml:space="preserve">  </w:t>
      </w:r>
      <w:r>
        <w:rPr>
          <w:rFonts w:ascii="Cambria Math" w:hAnsi="Cambria Math"/>
          <w:i/>
          <w:color w:val="666666"/>
        </w:rPr>
        <w:t xml:space="preserve"> </w:t>
      </w:r>
      <w:r>
        <w:t>(4)</w:t>
      </w:r>
    </w:p>
    <w:p w14:paraId="17F890A4" w14:textId="22B23AA0" w:rsidR="007C100F" w:rsidRPr="007C100F" w:rsidRDefault="007C100F" w:rsidP="007C100F">
      <w:pPr>
        <w:pStyle w:val="BodyText"/>
        <w:rPr>
          <w:lang w:val="en-US"/>
        </w:rPr>
      </w:pPr>
      <w:r w:rsidRPr="007C100F">
        <w:rPr>
          <w:lang w:val="en-US"/>
        </w:rPr>
        <w:t xml:space="preserve">Next, we measure the similarity scores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7C100F">
        <w:rPr>
          <w:lang w:val="en-US"/>
        </w:rPr>
        <w:t xml:space="preserve"> and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7C100F">
        <w:rPr>
          <w:lang w:val="en-US"/>
        </w:rPr>
        <w:t xml:space="preserve"> between each attribute vector </w:t>
      </w:r>
      <m:oMath>
        <m:sSubSup>
          <m:sSubSupPr>
            <m:ctrlPr>
              <w:rPr>
                <w:rFonts w:ascii="Cambria Math" w:hAnsi="Cambria Math"/>
                <w:lang w:val="en-US"/>
              </w:rPr>
            </m:ctrlPr>
          </m:sSubSupPr>
          <m:e>
            <m:r>
              <w:rPr>
                <w:rFonts w:ascii="Cambria Math" w:hAnsi="Cambria Math"/>
                <w:lang w:val="en-US"/>
              </w:rPr>
              <m:t>e</m:t>
            </m:r>
          </m:e>
          <m:sub>
            <m:r>
              <w:rPr>
                <w:rFonts w:ascii="Cambria Math" w:hAnsi="Cambria Math"/>
                <w:lang w:val="en-US"/>
              </w:rPr>
              <m:t>att</m:t>
            </m:r>
          </m:sub>
          <m:sup>
            <m:r>
              <w:rPr>
                <w:rFonts w:ascii="Cambria Math" w:hAnsi="Cambria Math"/>
                <w:lang w:val="en-US"/>
              </w:rPr>
              <m:t>i</m:t>
            </m:r>
          </m:sup>
        </m:sSubSup>
        <m:r>
          <w:rPr>
            <w:rFonts w:ascii="Cambria Math" w:hAnsi="Cambria Math"/>
            <w:lang w:val="en-US"/>
          </w:rPr>
          <m:t>∈</m:t>
        </m:r>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att</m:t>
            </m:r>
          </m:sub>
        </m:sSub>
      </m:oMath>
      <w:r w:rsidRPr="007C100F">
        <w:rPr>
          <w:lang w:val="en-US"/>
        </w:rPr>
        <w:t xml:space="preserve"> and the visual embeddings of the positive and negative subsets:</w:t>
      </w:r>
    </w:p>
    <w:p w14:paraId="6FECF162" w14:textId="6B294075" w:rsidR="00357B1A" w:rsidRPr="005F5C82" w:rsidRDefault="007C100F" w:rsidP="005F5C82">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ind w:firstLine="0pt"/>
        <w:rPr>
          <w:lang w:val="en-US"/>
        </w:rPr>
      </w:pP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cls</m:t>
            </m:r>
          </m:sub>
        </m:sSub>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att</m:t>
                </m:r>
              </m:sub>
              <m:sup>
                <m:r>
                  <w:rPr>
                    <w:rFonts w:ascii="Cambria Math" w:hAnsi="Cambria Math"/>
                  </w:rPr>
                  <m:t>i</m:t>
                </m:r>
              </m:sup>
            </m:sSubSup>
          </m:e>
        </m:d>
        <m:r>
          <w:rPr>
            <w:rFonts w:ascii="Cambria Math" w:hAnsi="Cambria Math"/>
          </w:rPr>
          <m:t>,</m:t>
        </m:r>
        <m:r>
          <w:rPr>
            <w:rFonts w:ascii="Cambria Math" w:hAnsi="Cambria Math"/>
            <w:i/>
          </w:rPr>
          <m:t> </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cls</m:t>
            </m:r>
          </m:sub>
        </m:sSub>
        <m:d>
          <m:dPr>
            <m:ctrlPr>
              <w:rPr>
                <w:rFonts w:ascii="Cambria Math" w:hAnsi="Cambria Math"/>
              </w:rPr>
            </m:ctrlPr>
          </m:dPr>
          <m:e>
            <m:sSubSup>
              <m:sSubSupPr>
                <m:ctrlPr>
                  <w:rPr>
                    <w:rFonts w:ascii="Cambria Math" w:hAnsi="Cambria Math"/>
                  </w:rPr>
                </m:ctrlPr>
              </m:sSubSupPr>
              <m:e>
                <m:r>
                  <w:rPr>
                    <w:rFonts w:ascii="Cambria Math" w:hAnsi="Cambria Math"/>
                  </w:rPr>
                  <m:t>e</m:t>
                </m:r>
              </m:e>
              <m:sub>
                <m:r>
                  <w:rPr>
                    <w:rFonts w:ascii="Cambria Math" w:hAnsi="Cambria Math"/>
                  </w:rPr>
                  <m:t>vis</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att</m:t>
                </m:r>
              </m:sub>
              <m:sup>
                <m:r>
                  <w:rPr>
                    <w:rFonts w:ascii="Cambria Math" w:hAnsi="Cambria Math"/>
                  </w:rPr>
                  <m:t>i</m:t>
                </m:r>
              </m:sup>
            </m:sSubSup>
          </m:e>
        </m:d>
      </m:oMath>
      <w:r>
        <w:rPr>
          <w:rFonts w:ascii="Cambria Math" w:hAnsi="Cambria Math"/>
          <w:i/>
          <w:color w:val="666666"/>
        </w:rPr>
        <w:t xml:space="preserve">               </w:t>
      </w:r>
      <w:r>
        <w:t>(5)</w:t>
      </w:r>
    </w:p>
    <w:p w14:paraId="2AA3E531" w14:textId="53A869CB" w:rsidR="00357B1A" w:rsidRDefault="00357B1A" w:rsidP="00AE0CB4">
      <w:pPr>
        <w:pStyle w:val="BodyText"/>
      </w:pPr>
      <w:r w:rsidRPr="00357B1A">
        <w:t xml:space="preserve">These similarity scores are aggregated across the entire agricultural training dataset and normalized by total occurrence frequency to establish probability distributions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357B1A">
        <w:t>and</w:t>
      </w:r>
      <w:r>
        <w:t xml:space="preserve"> </w:t>
      </w:r>
      <m:oMath>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oMath>
      <w:r w:rsidRPr="00357B1A">
        <w:t xml:space="preserve"> for each attribute </w:t>
      </w:r>
      <m:oMath>
        <m:r>
          <w:rPr>
            <w:rFonts w:ascii="Cambria Math" w:hAnsi="Cambria Math"/>
          </w:rPr>
          <m:t>i</m:t>
        </m:r>
      </m:oMath>
      <w:r w:rsidR="005F5C82">
        <w:t>.</w:t>
      </w:r>
    </w:p>
    <w:p w14:paraId="26A3B17A" w14:textId="36B84D98" w:rsidR="005F5C82" w:rsidRDefault="005F5C82" w:rsidP="005F5C82">
      <w:pPr>
        <w:pStyle w:val="BodyText"/>
        <w:rPr>
          <w:lang w:val="en-US"/>
        </w:rPr>
      </w:pPr>
      <w:r w:rsidRPr="005F5C82">
        <w:rPr>
          <w:lang w:val="en-US"/>
        </w:rPr>
        <w:t>Attributes suitable for zero-shot discovery of unknown pests must exhibit high generality</w:t>
      </w:r>
      <w:r>
        <w:rPr>
          <w:lang w:val="en-US"/>
        </w:rPr>
        <w:t xml:space="preserve">, </w:t>
      </w:r>
      <w:r w:rsidRPr="005F5C82">
        <w:rPr>
          <w:lang w:val="en-US"/>
        </w:rPr>
        <w:t>meaning they should appear with similar probability distributions across both annotated pest regions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5F5C82">
        <w:rPr>
          <w:lang w:val="en-US"/>
        </w:rPr>
        <w:t>) and unannotated candidate regions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5F5C82">
        <w:rPr>
          <w:lang w:val="en-US"/>
        </w:rPr>
        <w:t xml:space="preserve">). To capture this, we quantify the divergence between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5F5C82">
        <w:rPr>
          <w:lang w:val="en-US"/>
        </w:rPr>
        <w:t xml:space="preserve"> and </w:t>
      </w:r>
      <m:oMath>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oMath>
      <w:r w:rsidRPr="005F5C82">
        <w:rPr>
          <w:lang w:val="en-US"/>
        </w:rPr>
        <w:t xml:space="preserve"> using Jensen-Shannon Divergence (JSD):</w:t>
      </w:r>
    </w:p>
    <w:p w14:paraId="45E67F7A" w14:textId="3BC63643" w:rsidR="005F5C82" w:rsidRPr="005F5C82" w:rsidRDefault="005F5C82" w:rsidP="005F5C82">
      <w:pPr>
        <w:pStyle w:val="BodyText"/>
        <w:ind w:firstLine="0pt"/>
        <w:rPr>
          <w:lang w:val="en-US"/>
        </w:rPr>
      </w:pPr>
      <w:r>
        <w:t xml:space="preserve">            </w:t>
      </w:r>
      <m:oMath>
        <m:r>
          <m:rPr>
            <m:nor/>
          </m:rPr>
          <w:rPr>
            <w:rFonts w:ascii="Cambria Math" w:hAnsi="Cambria Math"/>
          </w:rPr>
          <m:t>JSD</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Cambria Math" w:hAnsi="Cambria Math"/>
          </w:rPr>
          <m:t>KL</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Cambria Math" w:hAnsi="Cambria Math"/>
          </w:rPr>
          <m:t>KL</m:t>
        </m:r>
        <m:d>
          <m:dPr>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m:t>
            </m:r>
          </m:e>
        </m:d>
      </m:oMath>
      <w:r>
        <w:rPr>
          <w:rFonts w:ascii="Cambria Math" w:hAnsi="Cambria Math"/>
          <w:i/>
          <w:color w:val="666666"/>
        </w:rPr>
        <w:t xml:space="preserve">          </w:t>
      </w:r>
      <w:r>
        <w:t>(</w:t>
      </w:r>
      <w:r w:rsidR="00130594">
        <w:t>6</w:t>
      </w:r>
      <w:r>
        <w:t>)</w:t>
      </w:r>
    </w:p>
    <w:p w14:paraId="3A5E311F" w14:textId="098A9504" w:rsidR="005F5C82" w:rsidRPr="005F5C82" w:rsidRDefault="005F5C82" w:rsidP="005F5C82">
      <w:pPr>
        <w:pStyle w:val="BodyText"/>
        <w:ind w:firstLine="0pt"/>
        <w:rPr>
          <w:lang w:val="en-US"/>
        </w:rPr>
      </w:pPr>
      <w:r w:rsidRPr="005F5C82">
        <w:rPr>
          <w:lang w:val="en-US"/>
        </w:rPr>
        <w:t xml:space="preserve">where </w:t>
      </w:r>
      <m:oMath>
        <m:r>
          <w:rPr>
            <w:rFonts w:ascii="Cambria Math" w:hAnsi="Cambria Math"/>
            <w:lang w:val="en-US"/>
          </w:rPr>
          <m:t>M=</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2</m:t>
            </m:r>
          </m:den>
        </m:f>
        <m:d>
          <m:dPr>
            <m:ctrlPr>
              <w:rPr>
                <w:rFonts w:ascii="Cambria Math" w:hAnsi="Cambria Math"/>
                <w:lang w:val="en-US"/>
              </w:rPr>
            </m:ctrlPr>
          </m:dPr>
          <m:e>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sSubSup>
              <m:sSubSupPr>
                <m:ctrlPr>
                  <w:rPr>
                    <w:rFonts w:ascii="Cambria Math" w:hAnsi="Cambria Math"/>
                    <w:lang w:val="en-US"/>
                  </w:rPr>
                </m:ctrlPr>
              </m:sSubSupPr>
              <m:e>
                <m:r>
                  <w:rPr>
                    <w:rFonts w:ascii="Cambria Math" w:hAnsi="Cambria Math"/>
                    <w:lang w:val="en-US"/>
                  </w:rPr>
                  <m:t>D</m:t>
                </m:r>
              </m:e>
              <m:sub>
                <m:r>
                  <w:rPr>
                    <w:rFonts w:ascii="Cambria Math" w:hAnsi="Cambria Math"/>
                    <w:lang w:val="en-US"/>
                  </w:rPr>
                  <m:t>i</m:t>
                </m:r>
              </m:sub>
              <m:sup>
                <m:r>
                  <w:rPr>
                    <w:rFonts w:ascii="Cambria Math" w:hAnsi="Cambria Math"/>
                    <w:lang w:val="en-US"/>
                  </w:rPr>
                  <m:t>-</m:t>
                </m:r>
              </m:sup>
            </m:sSubSup>
          </m:e>
        </m:d>
      </m:oMath>
      <w:r w:rsidRPr="005F5C82">
        <w:rPr>
          <w:lang w:val="en-US"/>
        </w:rPr>
        <w:t xml:space="preserve"> and </w:t>
      </w:r>
      <m:oMath>
        <m:r>
          <m:rPr>
            <m:nor/>
          </m:rPr>
          <w:rPr>
            <w:lang w:val="en-US"/>
          </w:rPr>
          <m:t>KL</m:t>
        </m:r>
        <m:d>
          <m:dPr>
            <m:ctrlPr>
              <w:rPr>
                <w:rFonts w:ascii="Cambria Math" w:hAnsi="Cambria Math"/>
                <w:lang w:val="en-US"/>
              </w:rPr>
            </m:ctrlPr>
          </m:dPr>
          <m:e>
            <m:r>
              <w:rPr>
                <w:rFonts w:ascii="Cambria Math" w:hAnsi="Cambria Math"/>
                <w:lang w:val="en-US"/>
              </w:rPr>
              <m:t>⋅</m:t>
            </m:r>
          </m:e>
        </m:d>
      </m:oMath>
      <w:r w:rsidRPr="005F5C82">
        <w:rPr>
          <w:lang w:val="en-US"/>
        </w:rPr>
        <w:t xml:space="preserve"> denotes the Kullback-Leibler Divergence. Finally, to prevent selecting redundant attributes during iteration, we enforce an explicit pairwise similarity constraint. In each selection step, attributes that are overly similar to previously selected candidates are penalized:</w:t>
      </w:r>
    </w:p>
    <w:p w14:paraId="52D333F5" w14:textId="55930168" w:rsidR="004140DB" w:rsidRPr="004140DB" w:rsidRDefault="009C5925" w:rsidP="004140DB">
      <w:pPr>
        <w:pStyle w:val="BodyText"/>
        <w:pBdr>
          <w:top w:val="single" w:sz="4" w:space="1" w:color="auto"/>
          <w:left w:val="single" w:sz="4" w:space="4" w:color="auto"/>
          <w:bottom w:val="single" w:sz="4" w:space="1" w:color="auto"/>
          <w:right w:val="single" w:sz="4" w:space="4" w:color="auto"/>
          <w:between w:val="single" w:sz="4" w:space="1" w:color="auto"/>
          <w:bar w:val="single" w:sz="4" w:color="auto"/>
        </w:pBdr>
        <w:ind w:firstLine="0pt"/>
        <w:rPr>
          <w:color w:val="000000" w:themeColor="text1"/>
          <w:lang w:val="en-US"/>
        </w:rPr>
      </w:pPr>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att</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att</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arg</m:t>
            </m:r>
          </m:fName>
          <m:e>
            <m:func>
              <m:funcPr>
                <m:ctrlPr>
                  <w:rPr>
                    <w:rFonts w:ascii="Cambria Math" w:hAnsi="Cambria Math"/>
                    <w:color w:val="000000" w:themeColor="text1"/>
                  </w:rPr>
                </m:ctrlPr>
              </m:funcPr>
              <m:fName>
                <m:limLow>
                  <m:limLowPr>
                    <m:ctrlPr>
                      <w:rPr>
                        <w:rFonts w:ascii="Cambria Math" w:hAnsi="Cambria Math"/>
                        <w:color w:val="000000" w:themeColor="text1"/>
                      </w:rPr>
                    </m:ctrlPr>
                  </m:limLowPr>
                  <m:e>
                    <m:r>
                      <m:rPr>
                        <m:sty m:val="p"/>
                      </m:rPr>
                      <w:rPr>
                        <w:rFonts w:ascii="Cambria Math" w:hAnsi="Cambria Math"/>
                        <w:color w:val="000000" w:themeColor="text1"/>
                      </w:rPr>
                      <m:t>min</m:t>
                    </m:r>
                  </m:e>
                  <m:lim>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att</m:t>
                        </m:r>
                      </m:sub>
                      <m:sup>
                        <m:r>
                          <w:rPr>
                            <w:rFonts w:ascii="Cambria Math" w:hAnsi="Cambria Math"/>
                            <w:color w:val="000000" w:themeColor="text1"/>
                          </w:rPr>
                          <m:t>i</m:t>
                        </m:r>
                      </m:sup>
                    </m:sSubSup>
                  </m:lim>
                </m:limLow>
              </m:fName>
              <m:e>
                <m:d>
                  <m:dPr>
                    <m:ctrlPr>
                      <w:rPr>
                        <w:rFonts w:ascii="Cambria Math" w:hAnsi="Cambria Math"/>
                        <w:color w:val="000000" w:themeColor="text1"/>
                      </w:rPr>
                    </m:ctrlPr>
                  </m:dPr>
                  <m:e>
                    <m:r>
                      <w:rPr>
                        <w:rFonts w:ascii="Cambria Math" w:hAnsi="Cambria Math"/>
                        <w:color w:val="000000" w:themeColor="text1"/>
                      </w:rPr>
                      <m:t>β⋅</m:t>
                    </m:r>
                    <m:r>
                      <m:rPr>
                        <m:nor/>
                      </m:rPr>
                      <w:rPr>
                        <w:rFonts w:ascii="Cambria Math" w:hAnsi="Cambria Math"/>
                        <w:color w:val="000000" w:themeColor="text1"/>
                      </w:rPr>
                      <m:t>JSD</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D</m:t>
                            </m:r>
                          </m:e>
                          <m:sub>
                            <m:r>
                              <w:rPr>
                                <w:rFonts w:ascii="Cambria Math" w:hAnsi="Cambria Math"/>
                                <w:color w:val="000000" w:themeColor="text1"/>
                              </w:rPr>
                              <m:t>i</m:t>
                            </m:r>
                          </m:sub>
                          <m:sup>
                            <m:r>
                              <w:rPr>
                                <w:rFonts w:ascii="Cambria Math" w:hAnsi="Cambria Math"/>
                                <w:color w:val="000000" w:themeColor="text1"/>
                              </w:rPr>
                              <m:t>-</m:t>
                            </m:r>
                          </m:sup>
                        </m:sSubSup>
                      </m:e>
                    </m:d>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1-β</m:t>
                        </m:r>
                      </m:e>
                    </m:d>
                    <m:r>
                      <w:rPr>
                        <w:rFonts w:ascii="Cambria Math" w:hAnsi="Cambria Math"/>
                        <w:color w:val="000000" w:themeColor="text1"/>
                      </w:rPr>
                      <m:t xml:space="preserve">⋅                                              </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att</m:t>
                            </m:r>
                          </m:sub>
                        </m:sSub>
                        <m:r>
                          <w:rPr>
                            <w:rFonts w:ascii="Cambria Math" w:hAnsi="Cambria Math"/>
                            <w:color w:val="000000" w:themeColor="text1"/>
                          </w:rPr>
                          <m:t>|</m:t>
                        </m:r>
                      </m:den>
                    </m:f>
                    <m:nary>
                      <m:naryPr>
                        <m:chr m:val="∑"/>
                        <m:limLoc m:val="undOvr"/>
                        <m:subHide m:val="1"/>
                        <m:supHide m:val="1"/>
                        <m:ctrlPr>
                          <w:rPr>
                            <w:rFonts w:ascii="Cambria Math" w:hAnsi="Cambria Math"/>
                            <w:color w:val="000000" w:themeColor="text1"/>
                          </w:rPr>
                        </m:ctrlPr>
                      </m:naryPr>
                      <m:sub/>
                      <m:sup/>
                      <m:e>
                        <m:r>
                          <w:rPr>
                            <w:rFonts w:ascii="Cambria Math" w:hAnsi="Cambria Math"/>
                            <w:color w:val="000000" w:themeColor="text1"/>
                          </w:rPr>
                          <m:t>σ</m:t>
                        </m:r>
                      </m:e>
                    </m:nary>
                    <m:d>
                      <m:dPr>
                        <m:ctrlPr>
                          <w:rPr>
                            <w:rFonts w:ascii="Cambria Math" w:hAnsi="Cambria Math"/>
                            <w:color w:val="000000" w:themeColor="text1"/>
                          </w:rPr>
                        </m:ctrlPr>
                      </m:dPr>
                      <m:e>
                        <m:r>
                          <m:rPr>
                            <m:nor/>
                          </m:rPr>
                          <w:rPr>
                            <w:rFonts w:ascii="Cambria Math" w:hAnsi="Cambria Math"/>
                            <w:color w:val="000000" w:themeColor="text1"/>
                          </w:rPr>
                          <m:t>sim</m:t>
                        </m:r>
                        <m:d>
                          <m:dPr>
                            <m:ctrlPr>
                              <w:rPr>
                                <w:rFonts w:ascii="Cambria Math" w:hAnsi="Cambria Math"/>
                                <w:color w:val="000000" w:themeColor="text1"/>
                              </w:rPr>
                            </m:ctrlPr>
                          </m:dPr>
                          <m:e>
                            <m:sSubSup>
                              <m:sSubSupPr>
                                <m:ctrlPr>
                                  <w:rPr>
                                    <w:rFonts w:ascii="Cambria Math" w:hAnsi="Cambria Math"/>
                                    <w:color w:val="000000" w:themeColor="text1"/>
                                  </w:rPr>
                                </m:ctrlPr>
                              </m:sSubSupPr>
                              <m:e>
                                <m:r>
                                  <w:rPr>
                                    <w:rFonts w:ascii="Cambria Math" w:hAnsi="Cambria Math"/>
                                    <w:color w:val="000000" w:themeColor="text1"/>
                                  </w:rPr>
                                  <m:t>e</m:t>
                                </m:r>
                              </m:e>
                              <m:sub>
                                <m:r>
                                  <w:rPr>
                                    <w:rFonts w:ascii="Cambria Math" w:hAnsi="Cambria Math"/>
                                    <w:color w:val="000000" w:themeColor="text1"/>
                                  </w:rPr>
                                  <m:t>att</m:t>
                                </m:r>
                              </m:sub>
                              <m:sup>
                                <m:r>
                                  <w:rPr>
                                    <w:rFonts w:ascii="Cambria Math" w:hAnsi="Cambria Math"/>
                                    <w:color w:val="000000" w:themeColor="text1"/>
                                  </w:rPr>
                                  <m:t>i</m:t>
                                </m:r>
                              </m:sup>
                            </m:sSubSup>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E</m:t>
                                    </m:r>
                                  </m:e>
                                </m:acc>
                              </m:e>
                              <m:sub>
                                <m:r>
                                  <w:rPr>
                                    <w:rFonts w:ascii="Cambria Math" w:hAnsi="Cambria Math"/>
                                    <w:color w:val="000000" w:themeColor="text1"/>
                                  </w:rPr>
                                  <m:t>att</m:t>
                                </m:r>
                              </m:sub>
                            </m:sSub>
                          </m:e>
                        </m:d>
                      </m:e>
                    </m:d>
                  </m:e>
                </m:d>
              </m:e>
            </m:func>
          </m:e>
        </m:func>
      </m:oMath>
      <w:r w:rsidR="005F5C82" w:rsidRPr="004140DB">
        <w:rPr>
          <w:rFonts w:ascii="Cambria Math" w:hAnsi="Cambria Math"/>
          <w:i/>
          <w:color w:val="000000" w:themeColor="text1"/>
        </w:rPr>
        <w:t xml:space="preserve"> </w:t>
      </w:r>
      <w:r w:rsidR="004140DB" w:rsidRPr="004140DB">
        <w:rPr>
          <w:rFonts w:ascii="Cambria Math" w:hAnsi="Cambria Math"/>
          <w:i/>
          <w:color w:val="000000" w:themeColor="text1"/>
        </w:rPr>
        <w:t xml:space="preserve">             </w:t>
      </w:r>
      <w:r w:rsidR="004140DB" w:rsidRPr="004140DB">
        <w:rPr>
          <w:iCs/>
          <w:color w:val="000000" w:themeColor="text1"/>
        </w:rPr>
        <w:t>(7)</w:t>
      </w:r>
      <w:r w:rsidR="004140DB" w:rsidRPr="004140DB">
        <w:rPr>
          <w:rFonts w:ascii="Cambria Math" w:hAnsi="Cambria Math"/>
          <w:i/>
          <w:color w:val="000000" w:themeColor="text1"/>
        </w:rPr>
        <w:t xml:space="preserve">                           </w:t>
      </w:r>
    </w:p>
    <w:p w14:paraId="1E28A334" w14:textId="412056C2" w:rsidR="004140DB" w:rsidRPr="004140DB" w:rsidRDefault="004140DB" w:rsidP="004140DB">
      <w:pPr>
        <w:pStyle w:val="BodyText"/>
        <w:ind w:firstLine="0pt"/>
        <w:rPr>
          <w:lang w:val="en-US"/>
        </w:rPr>
      </w:pPr>
      <w:r w:rsidRPr="004140DB">
        <w:t xml:space="preserve">where </w:t>
      </w:r>
      <m:oMath>
        <m:r>
          <w:rPr>
            <w:rFonts w:ascii="Cambria Math" w:hAnsi="Cambria Math"/>
          </w:rPr>
          <m:t>σ</m:t>
        </m:r>
        <m:d>
          <m:dPr>
            <m:ctrlPr>
              <w:rPr>
                <w:rFonts w:ascii="Cambria Math" w:hAnsi="Cambria Math"/>
              </w:rPr>
            </m:ctrlPr>
          </m:dPr>
          <m:e>
            <m:r>
              <w:rPr>
                <w:rFonts w:ascii="Cambria Math" w:hAnsi="Cambria Math"/>
              </w:rPr>
              <m:t>⋅</m:t>
            </m:r>
          </m:e>
        </m:d>
      </m:oMath>
      <w:r w:rsidRPr="004140DB">
        <w:t xml:space="preserve"> denotes the Sigmoid activation function, </w:t>
      </w:r>
      <m:oMath>
        <m:r>
          <m:rPr>
            <m:nor/>
          </m:rPr>
          <m:t>sim</m:t>
        </m:r>
        <m:d>
          <m:dPr>
            <m:ctrlPr>
              <w:rPr>
                <w:rFonts w:ascii="Cambria Math" w:hAnsi="Cambria Math"/>
              </w:rPr>
            </m:ctrlPr>
          </m:dPr>
          <m:e>
            <m:r>
              <w:rPr>
                <w:rFonts w:ascii="Cambria Math" w:hAnsi="Cambria Math"/>
              </w:rPr>
              <m:t>⋅</m:t>
            </m:r>
          </m:e>
        </m:d>
      </m:oMath>
      <w:r w:rsidRPr="004140DB">
        <w:t xml:space="preserve"> represents cosine similarity, </w:t>
      </w:r>
      <m:oMath>
        <m:sSub>
          <m:sSubPr>
            <m:ctrlPr>
              <w:rPr>
                <w:rFonts w:ascii="Cambria Math" w:hAnsi="Cambria Math"/>
              </w:rPr>
            </m:ctrlPr>
          </m:sSubPr>
          <m:e>
            <m:acc>
              <m:accPr>
                <m:chr m:val="ˆ"/>
                <m:ctrlPr>
                  <w:rPr>
                    <w:rFonts w:ascii="Cambria Math" w:hAnsi="Cambria Math"/>
                  </w:rPr>
                </m:ctrlPr>
              </m:accPr>
              <m:e>
                <m:r>
                  <w:rPr>
                    <w:rFonts w:ascii="Cambria Math" w:hAnsi="Cambria Math"/>
                  </w:rPr>
                  <m:t>E</m:t>
                </m:r>
              </m:e>
            </m:acc>
          </m:e>
          <m:sub>
            <m:r>
              <w:rPr>
                <w:rFonts w:ascii="Cambria Math" w:hAnsi="Cambria Math"/>
              </w:rPr>
              <m:t>att</m:t>
            </m:r>
          </m:sub>
        </m:sSub>
      </m:oMath>
      <w:r w:rsidRPr="004140DB">
        <w:t xml:space="preserve"> is the subset of selected generalizable pest attributes, and </w:t>
      </w:r>
      <m:oMath>
        <m:r>
          <w:rPr>
            <w:rFonts w:ascii="Cambria Math" w:hAnsi="Cambria Math"/>
          </w:rPr>
          <m:t>β</m:t>
        </m:r>
      </m:oMath>
      <w:r w:rsidRPr="004140DB">
        <w:t xml:space="preserve"> is a balancing hyperparameter.</w:t>
      </w:r>
    </w:p>
    <w:p w14:paraId="7309CC73" w14:textId="4B818B69" w:rsidR="009303D9" w:rsidRPr="0024136C" w:rsidRDefault="0024136C" w:rsidP="00ED0149">
      <w:pPr>
        <w:pStyle w:val="Heading2"/>
      </w:pPr>
      <w:r w:rsidRPr="0024136C">
        <w:t>Hybrid Attribute-Uncertainty Fusion (HAUF) for Open-World Inference</w:t>
      </w:r>
    </w:p>
    <w:p w14:paraId="4878948E" w14:textId="6A1B4863" w:rsidR="009303D9" w:rsidRDefault="00130594" w:rsidP="00E7596C">
      <w:pPr>
        <w:pStyle w:val="BodyText"/>
        <w:rPr>
          <w:lang w:val="en-US"/>
        </w:rPr>
      </w:pPr>
      <w:r w:rsidRPr="00130594">
        <w:rPr>
          <w:lang w:val="en-US"/>
        </w:rPr>
        <w:t>To preserve the standard inference architecture and zero-shot detection capability of OVD detectors, our unknown prediction mechanism executes in parallel without modifying known-class logit weights or introducing extra linear projection layers.</w:t>
      </w:r>
    </w:p>
    <w:p w14:paraId="3E93FAA0" w14:textId="77777777" w:rsidR="00130594" w:rsidRDefault="00130594" w:rsidP="00130594">
      <w:pPr>
        <w:pStyle w:val="BodyText"/>
        <w:rPr>
          <w:lang w:val="en-US"/>
        </w:rPr>
      </w:pPr>
      <w:r w:rsidRPr="00130594">
        <w:rPr>
          <w:lang w:val="en-US"/>
        </w:rPr>
        <w:t xml:space="preserve">As illustrated above, during inference, HAUF evaluates the likelihood of a region embedding </w:t>
      </w:r>
      <m:oMath>
        <m:sSub>
          <m:sSubPr>
            <m:ctrlPr>
              <w:rPr>
                <w:rFonts w:ascii="Cambria Math" w:hAnsi="Cambria Math"/>
                <w:lang w:val="en-US"/>
              </w:rPr>
            </m:ctrlPr>
          </m:sSubPr>
          <m:e>
            <m:r>
              <w:rPr>
                <w:rFonts w:ascii="Cambria Math" w:hAnsi="Cambria Math"/>
                <w:lang w:val="en-US"/>
              </w:rPr>
              <m:t>e</m:t>
            </m:r>
          </m:e>
          <m:sub>
            <m:r>
              <w:rPr>
                <w:rFonts w:ascii="Cambria Math" w:hAnsi="Cambria Math"/>
                <w:lang w:val="en-US"/>
              </w:rPr>
              <m:t>vis</m:t>
            </m:r>
          </m:sub>
        </m:sSub>
      </m:oMath>
      <w:r w:rsidRPr="00130594">
        <w:rPr>
          <w:lang w:val="en-US"/>
        </w:rPr>
        <w:t xml:space="preserve"> being an unknown pest instance by combining top-attribute similarity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b</m:t>
            </m:r>
          </m:sub>
        </m:sSub>
      </m:oMath>
      <w:r w:rsidRPr="00130594">
        <w:rPr>
          <w:lang w:val="en-US"/>
        </w:rPr>
        <w:t>) and known-class prediction uncertainty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un</m:t>
            </m:r>
          </m:sub>
        </m:sSub>
      </m:oMath>
      <w:r w:rsidRPr="00130594">
        <w:rPr>
          <w:lang w:val="en-US"/>
        </w:rPr>
        <w:t>)</w:t>
      </w:r>
      <w:r>
        <w:rPr>
          <w:lang w:val="en-US"/>
        </w:rPr>
        <w:t xml:space="preserve">. </w:t>
      </w:r>
    </w:p>
    <w:p w14:paraId="5F7FE7CF" w14:textId="3B3D6D39" w:rsidR="00130594" w:rsidRDefault="00130594" w:rsidP="00130594">
      <w:pPr>
        <w:pStyle w:val="BodyText"/>
        <w:rPr>
          <w:lang w:val="en-US"/>
        </w:rPr>
      </w:pPr>
      <w:r w:rsidRPr="00130594">
        <w:rPr>
          <w:lang w:val="en-US"/>
        </w:rPr>
        <w:t>Top-Attribute Visual Score</w:t>
      </w:r>
      <w:r w:rsidRPr="00130594">
        <w:rPr>
          <w:b/>
          <w:bCs/>
          <w:lang w:val="en-US"/>
        </w:rPr>
        <w:t xml:space="preserve"> (</w:t>
      </w:r>
      <m:oMath>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b</m:t>
            </m:r>
          </m:sub>
        </m:sSub>
      </m:oMath>
      <w:r w:rsidRPr="00130594">
        <w:rPr>
          <w:b/>
          <w:bCs/>
          <w:lang w:val="en-US"/>
        </w:rPr>
        <w:t>)</w:t>
      </w:r>
      <w:r>
        <w:rPr>
          <w:b/>
          <w:bCs/>
          <w:lang w:val="en-US"/>
        </w:rPr>
        <w:t xml:space="preserve"> </w:t>
      </w:r>
      <w:r w:rsidRPr="00130594">
        <w:rPr>
          <w:lang w:val="en-US"/>
        </w:rPr>
        <w:t xml:space="preserve">measures region affinity against the top </w:t>
      </w:r>
      <m:oMath>
        <m:r>
          <w:rPr>
            <w:rFonts w:ascii="Cambria Math" w:hAnsi="Cambria Math"/>
            <w:lang w:val="en-US"/>
          </w:rPr>
          <m:t>γ</m:t>
        </m:r>
      </m:oMath>
      <w:r w:rsidRPr="00130594">
        <w:rPr>
          <w:lang w:val="en-US"/>
        </w:rPr>
        <w:t xml:space="preserve"> selected generalizable pest attributes in </w:t>
      </w:r>
      <m:oMath>
        <m:sSub>
          <m:sSubPr>
            <m:ctrlPr>
              <w:rPr>
                <w:rFonts w:ascii="Cambria Math" w:hAnsi="Cambria Math"/>
                <w:lang w:val="en-US"/>
              </w:rPr>
            </m:ctrlPr>
          </m:sSubPr>
          <m:e>
            <m:acc>
              <m:accPr>
                <m:chr m:val="ˆ"/>
                <m:ctrlPr>
                  <w:rPr>
                    <w:rFonts w:ascii="Cambria Math" w:hAnsi="Cambria Math"/>
                    <w:lang w:val="en-US"/>
                  </w:rPr>
                </m:ctrlPr>
              </m:accPr>
              <m:e>
                <m:r>
                  <w:rPr>
                    <w:rFonts w:ascii="Cambria Math" w:hAnsi="Cambria Math"/>
                    <w:lang w:val="en-US"/>
                  </w:rPr>
                  <m:t>E</m:t>
                </m:r>
              </m:e>
            </m:acc>
          </m:e>
          <m:sub>
            <m:r>
              <w:rPr>
                <w:rFonts w:ascii="Cambria Math" w:hAnsi="Cambria Math"/>
                <w:lang w:val="en-US"/>
              </w:rPr>
              <m:t>att</m:t>
            </m:r>
          </m:sub>
        </m:sSub>
      </m:oMath>
      <w:r w:rsidRPr="00130594">
        <w:rPr>
          <w:lang w:val="en-US"/>
        </w:rPr>
        <w:t xml:space="preserve"> via softmax-weighted averaging:</w:t>
      </w:r>
    </w:p>
    <w:p w14:paraId="285B18DD" w14:textId="66C66FDD" w:rsidR="00130594" w:rsidRPr="005F5C82" w:rsidRDefault="00130594" w:rsidP="00130594">
      <w:pPr>
        <w:pStyle w:val="BodyText"/>
        <w:ind w:firstLine="0pt"/>
        <w:rPr>
          <w:lang w:val="en-US"/>
        </w:rPr>
      </w:pPr>
      <w:r>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γ</m:t>
            </m:r>
          </m:den>
        </m:f>
        <m:nary>
          <m:naryPr>
            <m:chr m:val="∑"/>
            <m:limLoc m:val="undOvr"/>
            <m:subHide m:val="1"/>
            <m:ctrlPr>
              <w:rPr>
                <w:rFonts w:ascii="Cambria Math" w:hAnsi="Cambria Math"/>
              </w:rPr>
            </m:ctrlPr>
          </m:naryPr>
          <m:sub/>
          <m:sup>
            <m:r>
              <w:rPr>
                <w:rFonts w:ascii="Cambria Math" w:hAnsi="Cambria Math"/>
              </w:rPr>
              <m:t>γ</m:t>
            </m:r>
          </m:sup>
          <m:e>
            <m:r>
              <m:rPr>
                <m:nor/>
              </m:rPr>
              <w:rPr>
                <w:rFonts w:ascii="Cambria Math" w:hAnsi="Cambria Math"/>
              </w:rPr>
              <m:t>softmax</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γ</m:t>
                </m:r>
              </m:sub>
            </m:sSub>
          </m:e>
        </m:d>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γ</m:t>
            </m:r>
          </m:sub>
        </m:sSub>
        <m:r>
          <w:rPr>
            <w:rFonts w:ascii="Cambria Math" w:hAnsi="Cambria Math"/>
          </w:rPr>
          <m:t xml:space="preserve">, </m:t>
        </m:r>
        <m:r>
          <m:rPr>
            <m:nor/>
          </m:rPr>
          <w:rPr>
            <w:rFonts w:ascii="Cambria Math" w:hAnsi="Cambria Math"/>
          </w:rPr>
          <m:t>where </m:t>
        </m:r>
        <m:r>
          <w:rPr>
            <w:rFonts w:ascii="Cambria Math" w:hAnsi="Cambria Math"/>
          </w:rPr>
          <m:t>s=</m:t>
        </m:r>
        <m:sSub>
          <m:sSubPr>
            <m:ctrlPr>
              <w:rPr>
                <w:rFonts w:ascii="Cambria Math" w:hAnsi="Cambria Math"/>
              </w:rPr>
            </m:ctrlPr>
          </m:sSubPr>
          <m:e>
            <m:r>
              <w:rPr>
                <w:rFonts w:ascii="Cambria Math" w:hAnsi="Cambria Math"/>
              </w:rPr>
              <m:t>h</m:t>
            </m:r>
          </m:e>
          <m:sub>
            <m:r>
              <w:rPr>
                <w:rFonts w:ascii="Cambria Math" w:hAnsi="Cambria Math"/>
              </w:rPr>
              <m:t>cls</m:t>
            </m:r>
          </m:sub>
        </m:sSub>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vis</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E</m:t>
                    </m:r>
                  </m:e>
                </m:acc>
              </m:e>
              <m:sub>
                <m:r>
                  <w:rPr>
                    <w:rFonts w:ascii="Cambria Math" w:hAnsi="Cambria Math"/>
                  </w:rPr>
                  <m:t>att</m:t>
                </m:r>
              </m:sub>
            </m:sSub>
          </m:e>
        </m:d>
      </m:oMath>
      <w:r>
        <w:rPr>
          <w:rFonts w:ascii="Cambria Math" w:hAnsi="Cambria Math"/>
          <w:i/>
          <w:color w:val="666666"/>
        </w:rPr>
        <w:t xml:space="preserve">        </w:t>
      </w:r>
      <w:r>
        <w:t>(8)</w:t>
      </w:r>
    </w:p>
    <w:p w14:paraId="22B55CA0" w14:textId="4643303A" w:rsidR="00130594" w:rsidRPr="00130594" w:rsidRDefault="00130594" w:rsidP="00130594">
      <w:pPr>
        <w:pStyle w:val="BodyText"/>
      </w:pPr>
      <w:r w:rsidRPr="00130594">
        <w:t>Known Class Uncertainty</w:t>
      </w:r>
      <w:r w:rsidRPr="00130594">
        <w:rPr>
          <w:b/>
          <w:bCs/>
        </w:rPr>
        <w:t xml:space="preserve"> (</w:t>
      </w:r>
      <m:oMath>
        <m:sSub>
          <m:sSubPr>
            <m:ctrlPr>
              <w:rPr>
                <w:rFonts w:ascii="Cambria Math" w:hAnsi="Cambria Math"/>
              </w:rPr>
            </m:ctrlPr>
          </m:sSubPr>
          <m:e>
            <m:r>
              <w:rPr>
                <w:rFonts w:ascii="Cambria Math" w:hAnsi="Cambria Math"/>
              </w:rPr>
              <m:t>P</m:t>
            </m:r>
          </m:e>
          <m:sub>
            <m:r>
              <w:rPr>
                <w:rFonts w:ascii="Cambria Math" w:hAnsi="Cambria Math"/>
              </w:rPr>
              <m:t>un</m:t>
            </m:r>
          </m:sub>
        </m:sSub>
      </m:oMath>
      <w:r w:rsidRPr="00130594">
        <w:rPr>
          <w:b/>
          <w:bCs/>
        </w:rPr>
        <w:t>):</w:t>
      </w:r>
      <w:r w:rsidRPr="00130594">
        <w:t xml:space="preserve"> Quantifies the model's confusion regarding known pest classes using predictive entropy:</w:t>
      </w:r>
    </w:p>
    <w:p w14:paraId="622A428E" w14:textId="1797F828" w:rsidR="00130594" w:rsidRPr="005F5C82" w:rsidRDefault="00130594" w:rsidP="00130594">
      <w:pPr>
        <w:pStyle w:val="BodyText"/>
        <w:ind w:firstLine="0pt"/>
        <w:rPr>
          <w:lang w:val="en-US"/>
        </w:rPr>
      </w:pPr>
      <w:r>
        <w:t xml:space="preserve">      </w:t>
      </w:r>
      <m:oMath>
        <m:sSub>
          <m:sSubPr>
            <m:ctrlPr>
              <w:rPr>
                <w:rFonts w:ascii="Cambria Math" w:hAnsi="Cambria Math"/>
              </w:rPr>
            </m:ctrlPr>
          </m:sSubPr>
          <m:e>
            <m:r>
              <w:rPr>
                <w:rFonts w:ascii="Cambria Math" w:hAnsi="Cambria Math"/>
              </w:rPr>
              <m:t>P</m:t>
            </m:r>
          </m:e>
          <m:sub>
            <m:r>
              <w:rPr>
                <w:rFonts w:ascii="Cambria Math" w:hAnsi="Cambria Math"/>
              </w:rPr>
              <m:t>un</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bHide m:val="1"/>
            <m:ctrlPr>
              <w:rPr>
                <w:rFonts w:ascii="Cambria Math" w:hAnsi="Cambria Math"/>
              </w:rPr>
            </m:ctrlPr>
          </m:naryPr>
          <m:sub/>
          <m:sup>
            <m:r>
              <w:rPr>
                <w:rFonts w:ascii="Cambria Math" w:hAnsi="Cambria Math"/>
              </w:rPr>
              <m:t>k</m:t>
            </m:r>
          </m:sup>
          <m:e>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e>
            </m:func>
            <m:r>
              <w:rPr>
                <w:rFonts w:ascii="Cambria Math" w:hAnsi="Cambria Math"/>
              </w:rPr>
              <m:t>+</m:t>
            </m:r>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k</m:t>
                    </m:r>
                  </m:sub>
                </m:sSub>
              </m:e>
            </m:d>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k</m:t>
                        </m:r>
                      </m:sub>
                    </m:sSub>
                  </m:e>
                </m:d>
              </m:e>
            </m:func>
          </m:e>
        </m:d>
      </m:oMath>
      <w:r>
        <w:rPr>
          <w:rFonts w:ascii="Cambria Math" w:hAnsi="Cambria Math"/>
          <w:i/>
          <w:color w:val="666666"/>
        </w:rPr>
        <w:t xml:space="preserve">           </w:t>
      </w:r>
      <w:r>
        <w:t>(9)</w:t>
      </w:r>
    </w:p>
    <w:p w14:paraId="5528E06D" w14:textId="77777777" w:rsidR="00130594" w:rsidRDefault="00130594" w:rsidP="00130594">
      <w:pPr>
        <w:jc w:val="start"/>
        <w:rPr>
          <w:rFonts w:eastAsia="Times New Roman"/>
        </w:rPr>
      </w:pPr>
      <w:r w:rsidRPr="00130594">
        <w:rPr>
          <w:rFonts w:eastAsia="Times New Roman"/>
        </w:rPr>
        <w:t xml:space="preserve">where </w:t>
      </w:r>
      <m:oMath>
        <m:sSub>
          <m:sSubPr>
            <m:ctrlPr>
              <w:rPr>
                <w:rFonts w:ascii="Cambria Math" w:eastAsia="Times New Roman" w:hAnsi="Cambria Math" w:cs="Arial"/>
              </w:rPr>
            </m:ctrlPr>
          </m:sSubPr>
          <m:e>
            <m:r>
              <w:rPr>
                <w:rFonts w:ascii="Cambria Math" w:eastAsia="Times New Roman" w:hAnsi="Cambria Math" w:cs="Arial"/>
              </w:rPr>
              <m:t>p</m:t>
            </m:r>
          </m:e>
          <m:sub>
            <m:r>
              <w:rPr>
                <w:rFonts w:ascii="Cambria Math" w:eastAsia="Times New Roman" w:hAnsi="Cambria Math" w:cs="Arial"/>
              </w:rPr>
              <m:t>k</m:t>
            </m:r>
          </m:sub>
        </m:sSub>
      </m:oMath>
      <w:r w:rsidRPr="00130594">
        <w:rPr>
          <w:rFonts w:eastAsia="Times New Roman"/>
        </w:rPr>
        <w:t xml:space="preserve"> represents the predicted probability for the </w:t>
      </w:r>
      <m:oMath>
        <m:r>
          <w:rPr>
            <w:rFonts w:ascii="Cambria Math" w:eastAsia="Times New Roman" w:hAnsi="Cambria Math" w:cs="Arial"/>
          </w:rPr>
          <m:t>k</m:t>
        </m:r>
      </m:oMath>
      <w:r w:rsidRPr="00130594">
        <w:rPr>
          <w:rFonts w:eastAsia="Times New Roman"/>
        </w:rPr>
        <w:t xml:space="preserve">-th known pest category. </w:t>
      </w:r>
    </w:p>
    <w:p w14:paraId="7D0E38D6" w14:textId="307BE061" w:rsidR="00130594" w:rsidRDefault="00130594" w:rsidP="00130594">
      <w:pPr>
        <w:jc w:val="start"/>
        <w:rPr>
          <w:rFonts w:eastAsia="Times New Roman"/>
        </w:rPr>
      </w:pPr>
      <w:r w:rsidRPr="00130594">
        <w:rPr>
          <w:rFonts w:eastAsia="Times New Roman"/>
        </w:rPr>
        <w:t>Out-of-Distribution (OOD) Gating &amp; Final Unknown Fusi</w:t>
      </w:r>
      <w:r>
        <w:rPr>
          <w:rFonts w:eastAsia="Times New Roman"/>
        </w:rPr>
        <w:t>on</w:t>
      </w:r>
      <w:r w:rsidRPr="00130594">
        <w:rPr>
          <w:rFonts w:eastAsia="Times New Roman"/>
          <w:b/>
          <w:bCs/>
        </w:rPr>
        <w:t xml:space="preserve">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u</m:t>
            </m:r>
          </m:sub>
        </m:sSub>
      </m:oMath>
      <w:r w:rsidRPr="00130594">
        <w:rPr>
          <w:rFonts w:eastAsia="Times New Roman"/>
          <w:b/>
          <w:bCs/>
        </w:rPr>
        <w:t>):</w:t>
      </w:r>
      <w:r w:rsidRPr="00130594">
        <w:rPr>
          <w:rFonts w:eastAsia="Times New Roman"/>
        </w:rPr>
        <w:t xml:space="preserve"> To prevent known pest instances with high attribute scores from being falsely flagged as unknown, we incorporate an OOD gating factor </w:t>
      </w:r>
      <m:oMath>
        <m:d>
          <m:dPr>
            <m:ctrlPr>
              <w:rPr>
                <w:rFonts w:ascii="Cambria Math" w:eastAsia="Times New Roman" w:hAnsi="Cambria Math"/>
              </w:rPr>
            </m:ctrlPr>
          </m:dPr>
          <m:e>
            <m:r>
              <w:rPr>
                <w:rFonts w:ascii="Cambria Math" w:eastAsia="Times New Roman" w:hAnsi="Cambria Math"/>
              </w:rPr>
              <m:t>1-</m:t>
            </m:r>
            <m:func>
              <m:funcPr>
                <m:ctrlPr>
                  <w:rPr>
                    <w:rFonts w:ascii="Cambria Math" w:eastAsia="Times New Roman" w:hAnsi="Cambria Math"/>
                  </w:rPr>
                </m:ctrlPr>
              </m:funcPr>
              <m:fName>
                <m:r>
                  <m:rPr>
                    <m:sty m:val="p"/>
                  </m:rPr>
                  <w:rPr>
                    <w:rFonts w:ascii="Cambria Math" w:eastAsia="Times New Roman" w:hAnsi="Cambria Math"/>
                  </w:rPr>
                  <m:t>max</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C</m:t>
                        </m:r>
                      </m:sub>
                    </m:sSub>
                  </m:e>
                </m:d>
              </m:e>
            </m:func>
          </m:e>
        </m:d>
      </m:oMath>
      <w:r w:rsidRPr="00130594">
        <w:rPr>
          <w:rFonts w:eastAsia="Times New Roman"/>
        </w:rPr>
        <w:t xml:space="preserve"> based on the maximum known-class confidence score </w:t>
      </w:r>
      <m:oMath>
        <m:func>
          <m:funcPr>
            <m:ctrlPr>
              <w:rPr>
                <w:rFonts w:ascii="Cambria Math" w:eastAsia="Times New Roman" w:hAnsi="Cambria Math"/>
              </w:rPr>
            </m:ctrlPr>
          </m:funcPr>
          <m:fName>
            <m:r>
              <m:rPr>
                <m:sty m:val="p"/>
              </m:rPr>
              <w:rPr>
                <w:rFonts w:ascii="Cambria Math" w:eastAsia="Times New Roman" w:hAnsi="Cambria Math"/>
              </w:rPr>
              <m:t>max</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C</m:t>
                    </m:r>
                  </m:sub>
                </m:sSub>
              </m:e>
            </m:d>
          </m:e>
        </m:func>
      </m:oMath>
      <w:r>
        <w:rPr>
          <w:rFonts w:eastAsia="Times New Roman"/>
        </w:rPr>
        <w:t>:</w:t>
      </w:r>
    </w:p>
    <w:p w14:paraId="27104DB4" w14:textId="77777777" w:rsidR="00130594" w:rsidRPr="00130594" w:rsidRDefault="00130594" w:rsidP="00130594">
      <w:pPr>
        <w:jc w:val="start"/>
        <w:rPr>
          <w:rFonts w:eastAsia="Times New Roman"/>
        </w:rPr>
      </w:pPr>
    </w:p>
    <w:p w14:paraId="48047011" w14:textId="298AE3FC" w:rsidR="00130594" w:rsidRPr="005F5C82" w:rsidRDefault="00130594" w:rsidP="00130594">
      <w:pPr>
        <w:pStyle w:val="BodyText"/>
        <w:ind w:firstLine="0pt"/>
        <w:rPr>
          <w:lang w:val="en-US"/>
        </w:rPr>
      </w:pPr>
      <w:r>
        <w:t xml:space="preserve">                     </w:t>
      </w:r>
      <m:oMath>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un</m:t>
                </m:r>
              </m:sub>
            </m:sSub>
          </m:e>
        </m:d>
        <m:r>
          <w:rPr>
            <w:rFonts w:ascii="Cambria Math" w:hAnsi="Cambria Math"/>
          </w:rPr>
          <m:t>⋅</m:t>
        </m:r>
        <m:d>
          <m:dPr>
            <m:ctrlPr>
              <w:rPr>
                <w:rFonts w:ascii="Cambria Math" w:hAnsi="Cambria Math"/>
              </w:rPr>
            </m:ctrlPr>
          </m:dPr>
          <m:e>
            <m:r>
              <w:rPr>
                <w:rFonts w:ascii="Cambria Math" w:hAnsi="Cambria Math"/>
              </w:rPr>
              <m:t>1-</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sub>
                    </m:sSub>
                  </m:e>
                </m:d>
              </m:e>
            </m:func>
          </m:e>
        </m:d>
      </m:oMath>
      <w:r>
        <w:rPr>
          <w:rFonts w:ascii="Cambria Math" w:hAnsi="Cambria Math"/>
          <w:i/>
          <w:color w:val="666666"/>
        </w:rPr>
        <w:t xml:space="preserve">                            </w:t>
      </w:r>
      <w:r>
        <w:t>(5)</w:t>
      </w:r>
    </w:p>
    <w:p w14:paraId="6D4D8FA3" w14:textId="0FED58FB" w:rsidR="00130594" w:rsidRPr="00130594" w:rsidRDefault="00130594" w:rsidP="00130594">
      <w:pPr>
        <w:ind w:firstLine="14.40pt"/>
        <w:jc w:val="start"/>
        <w:rPr>
          <w:rFonts w:eastAsia="Times New Roman"/>
        </w:rPr>
      </w:pPr>
      <w:r w:rsidRPr="00130594">
        <w:rPr>
          <w:rFonts w:eastAsia="Times New Roman"/>
        </w:rPr>
        <w:t xml:space="preserve">The final prediction vector is formed by concatenating the known-class logits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C</m:t>
            </m:r>
          </m:sub>
        </m:sSub>
      </m:oMath>
      <w:r w:rsidRPr="00130594">
        <w:rPr>
          <w:rFonts w:eastAsia="Times New Roman"/>
        </w:rPr>
        <w:t xml:space="preserve"> and the novel anomaly logit </w:t>
      </w:r>
      <m:oMath>
        <m:sSub>
          <m:sSubPr>
            <m:ctrlPr>
              <w:rPr>
                <w:rFonts w:ascii="Cambria Math" w:eastAsia="Times New Roman" w:hAnsi="Cambria Math"/>
              </w:rPr>
            </m:ctrlPr>
          </m:sSubPr>
          <m:e>
            <m:r>
              <w:rPr>
                <w:rFonts w:ascii="Cambria Math" w:eastAsia="Times New Roman" w:hAnsi="Cambria Math"/>
              </w:rPr>
              <m:t>P</m:t>
            </m:r>
          </m:e>
          <m:sub>
            <m:r>
              <w:rPr>
                <w:rFonts w:ascii="Cambria Math" w:eastAsia="Times New Roman" w:hAnsi="Cambria Math"/>
              </w:rPr>
              <m:t>u</m:t>
            </m:r>
          </m:sub>
        </m:sSub>
      </m:oMath>
      <w:r w:rsidRPr="00130594">
        <w:rPr>
          <w:rFonts w:eastAsia="Times New Roman"/>
        </w:rPr>
        <w:t xml:space="preserve">. Because HAUF evaluates unknown likelihood in an isolated parallel branch, the open-vocabulary zero-shot inference pipeline for known and user-prompted pest categories </w:t>
      </w:r>
      <w:proofErr w:type="gramStart"/>
      <w:r w:rsidRPr="00130594">
        <w:rPr>
          <w:rFonts w:eastAsia="Times New Roman"/>
        </w:rPr>
        <w:t>remains</w:t>
      </w:r>
      <w:proofErr w:type="gramEnd"/>
      <w:r w:rsidRPr="00130594">
        <w:rPr>
          <w:rFonts w:eastAsia="Times New Roman"/>
        </w:rPr>
        <w:t xml:space="preserve"> fully intact.</w:t>
      </w:r>
    </w:p>
    <w:p w14:paraId="54E7EC78" w14:textId="07DA602E" w:rsidR="009303D9" w:rsidRDefault="00B7225C" w:rsidP="006B6B66">
      <w:pPr>
        <w:pStyle w:val="Heading1"/>
      </w:pPr>
      <w:r w:rsidRPr="00B7225C">
        <w:t>Experiments</w:t>
      </w:r>
    </w:p>
    <w:p w14:paraId="60678C1C" w14:textId="7B1B37E0"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r w:rsidR="00F332FE">
        <w:tab/>
      </w:r>
    </w:p>
    <w:p w14:paraId="7F770A2D" w14:textId="4CBC10D2" w:rsidR="009303D9" w:rsidRDefault="00F332FE" w:rsidP="00ED0149">
      <w:pPr>
        <w:pStyle w:val="Heading2"/>
      </w:pPr>
      <w:r>
        <w:t>Dataset</w:t>
      </w:r>
    </w:p>
    <w:p w14:paraId="4E30F92C" w14:textId="77777777" w:rsidR="00C72C0E" w:rsidRDefault="00C72C0E" w:rsidP="00E7596C">
      <w:pPr>
        <w:pStyle w:val="BodyText"/>
        <w:rPr>
          <w:lang w:val="en-US"/>
        </w:rPr>
      </w:pPr>
      <w:r w:rsidRPr="00C72C0E">
        <w:rPr>
          <w:lang w:val="en-US"/>
        </w:rPr>
        <w:t xml:space="preserve">To evaluate the proposed Open-World Open-Vocabulary Object Detection (OW-OVD) framework tailored for agricultural pest monitoring, we conduct extensive experiments on the large-scale IP102 benchmark. The original IP102 dataset serves as a comprehensive benchmark for insect pest recognition, comprising 102 pest categories and over 75,000 images. However, for object detection tasks, only a subset of approximately 19,000 images is annotated with ground-truth bounding boxes.  </w:t>
      </w:r>
    </w:p>
    <w:p w14:paraId="2FCBF72A" w14:textId="15C29011" w:rsidR="006F6D3D" w:rsidRPr="00C72C0E" w:rsidRDefault="00C72C0E" w:rsidP="00C72C0E">
      <w:pPr>
        <w:pStyle w:val="BodyText"/>
      </w:pPr>
      <w:r w:rsidRPr="00C72C0E">
        <w:rPr>
          <w:lang w:val="en-US"/>
        </w:rPr>
        <w:t>To ensure robust training and reliable evaluation of our object detection pipeline, we apply a rigorous filtering process to this annotated subset. Specifically, we retain only the pest categories that contain a sufficient volume of representative data, establishing a threshold of more than 200 annotated images per class. Following this filtering procedure, the refined dataset consists of 25 distinct pest categories encompassing a total of 13,555 images. This curated subset provides a balanced and substantial foundation for evaluating the model's ability to jointly locate known pests and detect unknown anomalies in complex agricultural environments.</w:t>
      </w:r>
    </w:p>
    <w:p>
      <w:pPr>
        <w:pStyle w:val="Heading2"/>
      </w:pPr>
      <w:r>
        <w:t>B. Experiment Setting</w:t>
      </w:r>
    </w:p>
    <w:p>
      <w:pPr>
        <w:pStyle w:val="BodyText"/>
      </w:pPr>
      <w:r>
        <w:t>We implement our OW-OVD framework on top of the YOLO-World v2 Large architecture. The visual backbone utilizes the pre-trained weights from YOLO-World v2, which are pre-trained on the Object365 dataset. The Path Aggregation Feature Pyramid Network (PAFPN) serves as the multi-modal neck, configured with Max-Sigmoid CSP layers with two convolutions and a text guide dimension of 512 channels. The multi-modal neck uses projection embedding channels of [128, 256, 256] and multi-head attention with [4, 8, 8] heads across different pyramid scales. The detection head is implemented as a custom bounding box head with Batch Normalization and 512-dimensional class text embeddings. To obtain regional semantic features and perform zero-shot evaluation, we employ the pre-trained CLIP-ViT-Base-Patch32 text encoder to encode the names of pest categories into 512-dimensional semantic embeddings.</w:t>
      </w:r>
    </w:p>
    <w:p>
      <w:pPr>
        <w:pStyle w:val="BodyText"/>
      </w:pPr>
      <w:r>
        <w:t>To simulate a dynamic agricultural scenario, we organize the 25 selected categories from the IP102 dataset into a sequence of four incremental learning tasks (T1, T2, T3, T4). Task T1 comprises the first 7 pest categories, which are trained from scratch. In the subsequent task T2, 6 new categories are introduced, expanding the model's vocabulary to 13 classes. Similarly, task T3 introduces another 6 categories (totaling 19 classes), and task T4 adds the final 6 categories (totaling 25 classes). For tasks T2, T3, and T4, the model weights are initialized from the best checkpoint of the preceding task, allowing the model to incrementally learn the new categories.</w:t>
      </w:r>
    </w:p>
    <w:p>
      <w:pPr>
        <w:pStyle w:val="BodyText"/>
      </w:pPr>
      <w:r>
        <w:t>All incremental tasks are trained for 5 epochs on a multi-GPU environment utilizing PyTorch's distributed data-parallel framework (torchrun) across 2 GPUs. We set the training batch size to 24 per GPU, resulting in an effective total batch size of 48. The network parameters are optimized using the AdamW optimizer with a base learning rate of 1.0 x 10^-4 and a weight decay of 0.05. We apply a linear learning rate scheduler with a decay factor of 0.01 over the course of the 5 training epochs. To preserve zero-shot generalization capabilities, the text-language branch of the vision-language backbone is fine-tuned at a much slower rate using a learning rate multiplier of 0.01. Mosaic data augmentation is kept active throughout the training duration. Additionally, an early stopping mechanism is configured to monitor the known class Average Precision (AP50), terminating training early if no improvement of at least 0.001 is observed for 2 consecutive epochs.</w:t>
      </w:r>
    </w:p>
    <w:p>
      <w:pPr>
        <w:pStyle w:val="BodyText"/>
      </w:pPr>
      <w:r>
        <w:t>For the open-world inference phase, the unknown activation threshold τ is set to 0.55 to effectively separate potential novel pests from the background and known classes. The balancing weight α, which controls the contribution of known-class predictive uncertainty relative to attribute similarity scores, is set to 0.2. During visual similarity matching, the top k = 10 selected generalizable visual attributes are leveraged to calculate the query score of region proposals. To assess the model's performance in both identifying known categories and discovering novel anomalies, we evaluate the system on the test set across all 25 classes. In this evaluation protocol, any undetected instances that belong to unannotated classes are grouped under a unified 'unknown' class label to compute standard open-world object detection metrics, including known class average precision (AP) and unknown class recall.</w:t>
      </w:r>
    </w:p>
    <w:p w14:paraId="3ED5C486" w14:textId="77777777" w:rsidR="009303D9" w:rsidRDefault="009303D9" w:rsidP="00ED0149">
      <w:pPr>
        <w:pStyle w:val="Heading2"/>
      </w:pPr>
      <w:r w:rsidRPr="005B520E">
        <w:t>Identify</w:t>
      </w:r>
      <w:r>
        <w:t xml:space="preserve"> the Headings</w:t>
      </w:r>
    </w:p>
    <w:p w14:paraId="29E12059"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3CA2BDBD"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4A55D978"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5A84BA51" w14:textId="77777777" w:rsidR="009303D9" w:rsidRDefault="009303D9" w:rsidP="00ED0149">
      <w:pPr>
        <w:pStyle w:val="Heading2"/>
      </w:pPr>
      <w:r>
        <w:t>Figures and Tables</w:t>
      </w:r>
    </w:p>
    <w:p w14:paraId="30EC9A95"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FF301D8"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1278A9EF" w14:textId="77777777">
        <w:trPr>
          <w:cantSplit/>
          <w:trHeight w:val="240"/>
          <w:tblHeader/>
          <w:jc w:val="center"/>
        </w:trPr>
        <w:tc>
          <w:tcPr>
            <w:tcW w:w="36pt" w:type="dxa"/>
            <w:vMerge w:val="restart"/>
            <w:vAlign w:val="center"/>
          </w:tcPr>
          <w:p w14:paraId="289AB2C2" w14:textId="77777777" w:rsidR="009303D9" w:rsidRDefault="009303D9">
            <w:pPr>
              <w:pStyle w:val="tablecolhead"/>
            </w:pPr>
            <w:r>
              <w:t>Table Head</w:t>
            </w:r>
          </w:p>
        </w:tc>
        <w:tc>
          <w:tcPr>
            <w:tcW w:w="207pt" w:type="dxa"/>
            <w:gridSpan w:val="3"/>
            <w:vAlign w:val="center"/>
          </w:tcPr>
          <w:p w14:paraId="51C8768C" w14:textId="77777777" w:rsidR="009303D9" w:rsidRDefault="009303D9">
            <w:pPr>
              <w:pStyle w:val="tablecolhead"/>
            </w:pPr>
            <w:r>
              <w:t>Table Column Head</w:t>
            </w:r>
          </w:p>
        </w:tc>
      </w:tr>
      <w:tr w:rsidR="009303D9" w14:paraId="6C4244AA" w14:textId="77777777">
        <w:trPr>
          <w:cantSplit/>
          <w:trHeight w:val="240"/>
          <w:tblHeader/>
          <w:jc w:val="center"/>
        </w:trPr>
        <w:tc>
          <w:tcPr>
            <w:tcW w:w="36pt" w:type="dxa"/>
            <w:vMerge/>
          </w:tcPr>
          <w:p w14:paraId="3A1BFDD5" w14:textId="77777777" w:rsidR="009303D9" w:rsidRDefault="009303D9">
            <w:pPr>
              <w:rPr>
                <w:sz w:val="16"/>
                <w:szCs w:val="16"/>
              </w:rPr>
            </w:pPr>
          </w:p>
        </w:tc>
        <w:tc>
          <w:tcPr>
            <w:tcW w:w="117pt" w:type="dxa"/>
            <w:vAlign w:val="center"/>
          </w:tcPr>
          <w:p w14:paraId="5EE59D35" w14:textId="77777777" w:rsidR="009303D9" w:rsidRDefault="009303D9">
            <w:pPr>
              <w:pStyle w:val="tablecolsubhead"/>
            </w:pPr>
            <w:r>
              <w:t>Table column subhead</w:t>
            </w:r>
          </w:p>
        </w:tc>
        <w:tc>
          <w:tcPr>
            <w:tcW w:w="45pt" w:type="dxa"/>
            <w:vAlign w:val="center"/>
          </w:tcPr>
          <w:p w14:paraId="29CCE960" w14:textId="77777777" w:rsidR="009303D9" w:rsidRDefault="009303D9">
            <w:pPr>
              <w:pStyle w:val="tablecolsubhead"/>
            </w:pPr>
            <w:r>
              <w:t>Subhead</w:t>
            </w:r>
          </w:p>
        </w:tc>
        <w:tc>
          <w:tcPr>
            <w:tcW w:w="45pt" w:type="dxa"/>
            <w:vAlign w:val="center"/>
          </w:tcPr>
          <w:p w14:paraId="3521C9AA" w14:textId="77777777" w:rsidR="009303D9" w:rsidRDefault="009303D9">
            <w:pPr>
              <w:pStyle w:val="tablecolsubhead"/>
            </w:pPr>
            <w:r>
              <w:t>Subhead</w:t>
            </w:r>
          </w:p>
        </w:tc>
      </w:tr>
      <w:tr w:rsidR="009303D9" w14:paraId="2694D18A" w14:textId="77777777">
        <w:trPr>
          <w:trHeight w:val="320"/>
          <w:jc w:val="center"/>
        </w:trPr>
        <w:tc>
          <w:tcPr>
            <w:tcW w:w="36pt" w:type="dxa"/>
            <w:vAlign w:val="center"/>
          </w:tcPr>
          <w:p w14:paraId="455119A8" w14:textId="77777777" w:rsidR="009303D9" w:rsidRDefault="009303D9">
            <w:pPr>
              <w:pStyle w:val="tablecopy"/>
              <w:rPr>
                <w:sz w:val="8"/>
                <w:szCs w:val="8"/>
              </w:rPr>
            </w:pPr>
            <w:r>
              <w:t>copy</w:t>
            </w:r>
          </w:p>
        </w:tc>
        <w:tc>
          <w:tcPr>
            <w:tcW w:w="117pt" w:type="dxa"/>
            <w:vAlign w:val="center"/>
          </w:tcPr>
          <w:p w14:paraId="53520B16" w14:textId="77777777" w:rsidR="009303D9" w:rsidRDefault="009303D9">
            <w:pPr>
              <w:pStyle w:val="tablecopy"/>
            </w:pPr>
            <w:r>
              <w:t>More table copy</w:t>
            </w:r>
            <w:r>
              <w:rPr>
                <w:vertAlign w:val="superscript"/>
              </w:rPr>
              <w:t>a</w:t>
            </w:r>
          </w:p>
        </w:tc>
        <w:tc>
          <w:tcPr>
            <w:tcW w:w="45pt" w:type="dxa"/>
            <w:vAlign w:val="center"/>
          </w:tcPr>
          <w:p w14:paraId="0D8028A8" w14:textId="77777777" w:rsidR="009303D9" w:rsidRDefault="009303D9">
            <w:pPr>
              <w:rPr>
                <w:sz w:val="16"/>
                <w:szCs w:val="16"/>
              </w:rPr>
            </w:pPr>
          </w:p>
        </w:tc>
        <w:tc>
          <w:tcPr>
            <w:tcW w:w="45pt" w:type="dxa"/>
            <w:vAlign w:val="center"/>
          </w:tcPr>
          <w:p w14:paraId="08A46A75" w14:textId="77777777" w:rsidR="009303D9" w:rsidRDefault="009303D9">
            <w:pPr>
              <w:rPr>
                <w:sz w:val="16"/>
                <w:szCs w:val="16"/>
              </w:rPr>
            </w:pPr>
          </w:p>
        </w:tc>
      </w:tr>
    </w:tbl>
    <w:p w14:paraId="3637561A" w14:textId="77777777" w:rsidR="009303D9" w:rsidRPr="005B520E" w:rsidRDefault="006347CF" w:rsidP="005E2800">
      <w:pPr>
        <w:pStyle w:val="tablefootnote"/>
      </w:pPr>
      <w:r>
        <w:rPr>
          <w:noProof/>
        </w:rPr>
        <w:drawing>
          <wp:anchor distT="0" distB="0" distL="114300" distR="114300" simplePos="0" relativeHeight="251657728" behindDoc="1" locked="0" layoutInCell="1" allowOverlap="1" wp14:anchorId="381BB491" wp14:editId="19EAE509">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72C3C5A"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37140F8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03EEFB6A"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22FCE6E"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0EF8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7C7060F5" w14:textId="77777777" w:rsidR="00575BCA" w:rsidRDefault="0080791D" w:rsidP="001A42EA">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7E448512" w14:textId="77777777" w:rsidR="009303D9" w:rsidRDefault="009303D9" w:rsidP="00A059B3">
      <w:pPr>
        <w:pStyle w:val="Heading5"/>
      </w:pPr>
      <w:r w:rsidRPr="005B520E">
        <w:t>References</w:t>
      </w:r>
    </w:p>
    <w:p w14:paraId="25B1FD4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384F2CE5"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07A1054"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20D99005" w14:textId="115299C9" w:rsidR="00C806E1" w:rsidRPr="0007336D" w:rsidRDefault="009303D9" w:rsidP="0007336D">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sdt>
      <w:sdtPr>
        <w:rPr>
          <w:color w:val="000000"/>
        </w:rPr>
        <w:tag w:val="MENDELEY_BIBLIOGRAPHY"/>
        <w:id w:val="-56247700"/>
        <w:placeholder>
          <w:docPart w:val="DefaultPlaceholder_-1854013440"/>
        </w:placeholder>
      </w:sdtPr>
      <w:sdtEndPr>
        <w:rPr>
          <w:sz w:val="16"/>
          <w:szCs w:val="16"/>
        </w:rPr>
      </w:sdtEndPr>
      <w:sdtContent>
        <w:p w14:paraId="59EDB3C8" w14:textId="77777777" w:rsidR="0007336D" w:rsidRPr="0007336D" w:rsidRDefault="0007336D" w:rsidP="0007336D">
          <w:pPr>
            <w:autoSpaceDE w:val="0"/>
            <w:autoSpaceDN w:val="0"/>
            <w:ind w:hanging="32pt"/>
            <w:jc w:val="start"/>
            <w:divId w:val="609895791"/>
            <w:rPr>
              <w:rFonts w:eastAsia="Times New Roman"/>
              <w:color w:val="000000"/>
              <w:sz w:val="16"/>
            </w:rPr>
          </w:pPr>
          <w:r w:rsidRPr="0007336D">
            <w:rPr>
              <w:rFonts w:eastAsia="Times New Roman"/>
              <w:color w:val="000000"/>
              <w:sz w:val="16"/>
              <w:szCs w:val="16"/>
            </w:rPr>
            <w:t>[1]</w:t>
          </w:r>
          <w:r w:rsidRPr="0007336D">
            <w:rPr>
              <w:rFonts w:eastAsia="Times New Roman"/>
              <w:color w:val="000000"/>
              <w:sz w:val="16"/>
              <w:szCs w:val="16"/>
            </w:rPr>
            <w:tab/>
            <w:t>X. Wu, C. Zhan, Y.-K. Lai, M.-M. Cheng, and J. Yang, “IP102: A Large-Scale Benchmark Dataset for Insect Pest Recognition.” [Online]. Available: https://github.com/</w:t>
          </w:r>
        </w:p>
        <w:p w14:paraId="0F16E064" w14:textId="77777777" w:rsidR="0007336D" w:rsidRPr="0007336D" w:rsidRDefault="0007336D" w:rsidP="0007336D">
          <w:pPr>
            <w:autoSpaceDE w:val="0"/>
            <w:autoSpaceDN w:val="0"/>
            <w:ind w:hanging="32pt"/>
            <w:jc w:val="start"/>
            <w:divId w:val="175849793"/>
            <w:rPr>
              <w:rFonts w:eastAsia="Times New Roman"/>
              <w:color w:val="000000"/>
              <w:sz w:val="16"/>
              <w:szCs w:val="16"/>
            </w:rPr>
          </w:pPr>
          <w:r w:rsidRPr="0007336D">
            <w:rPr>
              <w:rFonts w:eastAsia="Times New Roman"/>
              <w:color w:val="000000"/>
              <w:sz w:val="16"/>
              <w:szCs w:val="16"/>
            </w:rPr>
            <w:t>[2]</w:t>
          </w:r>
          <w:r w:rsidRPr="0007336D">
            <w:rPr>
              <w:rFonts w:eastAsia="Times New Roman"/>
              <w:color w:val="000000"/>
              <w:sz w:val="16"/>
              <w:szCs w:val="16"/>
            </w:rPr>
            <w:tab/>
            <w:t>W. Zhang, H. Huang, Y. Sun, and X. Wu, “</w:t>
          </w:r>
          <w:proofErr w:type="spellStart"/>
          <w:r w:rsidRPr="0007336D">
            <w:rPr>
              <w:rFonts w:eastAsia="Times New Roman"/>
              <w:color w:val="000000"/>
              <w:sz w:val="16"/>
              <w:szCs w:val="16"/>
            </w:rPr>
            <w:t>AgriPest</w:t>
          </w:r>
          <w:proofErr w:type="spellEnd"/>
          <w:r w:rsidRPr="0007336D">
            <w:rPr>
              <w:rFonts w:eastAsia="Times New Roman"/>
              <w:color w:val="000000"/>
              <w:sz w:val="16"/>
              <w:szCs w:val="16"/>
            </w:rPr>
            <w:t xml:space="preserve">-YOLO: A rapid light-trap agricultural pest detection method based on deep learning,” </w:t>
          </w:r>
          <w:r w:rsidRPr="0007336D">
            <w:rPr>
              <w:rFonts w:eastAsia="Times New Roman"/>
              <w:i/>
              <w:iCs/>
              <w:color w:val="000000"/>
              <w:sz w:val="16"/>
              <w:szCs w:val="16"/>
            </w:rPr>
            <w:t>Front. Plant Sci.</w:t>
          </w:r>
          <w:r w:rsidRPr="0007336D">
            <w:rPr>
              <w:rFonts w:eastAsia="Times New Roman"/>
              <w:color w:val="000000"/>
              <w:sz w:val="16"/>
              <w:szCs w:val="16"/>
            </w:rPr>
            <w:t xml:space="preserve">, vol. 13, Dec. 2022, </w:t>
          </w:r>
          <w:proofErr w:type="spellStart"/>
          <w:r w:rsidRPr="0007336D">
            <w:rPr>
              <w:rFonts w:eastAsia="Times New Roman"/>
              <w:color w:val="000000"/>
              <w:sz w:val="16"/>
              <w:szCs w:val="16"/>
            </w:rPr>
            <w:t>doi</w:t>
          </w:r>
          <w:proofErr w:type="spellEnd"/>
          <w:r w:rsidRPr="0007336D">
            <w:rPr>
              <w:rFonts w:eastAsia="Times New Roman"/>
              <w:color w:val="000000"/>
              <w:sz w:val="16"/>
              <w:szCs w:val="16"/>
            </w:rPr>
            <w:t>: 10.3389/fpls.2022.1079384.</w:t>
          </w:r>
        </w:p>
        <w:p w14:paraId="7BAB22E8" w14:textId="77777777" w:rsidR="0007336D" w:rsidRPr="0007336D" w:rsidRDefault="0007336D" w:rsidP="0007336D">
          <w:pPr>
            <w:autoSpaceDE w:val="0"/>
            <w:autoSpaceDN w:val="0"/>
            <w:ind w:hanging="32pt"/>
            <w:jc w:val="start"/>
            <w:divId w:val="1026249177"/>
            <w:rPr>
              <w:rFonts w:eastAsia="Times New Roman"/>
              <w:color w:val="000000"/>
              <w:sz w:val="16"/>
              <w:szCs w:val="16"/>
            </w:rPr>
          </w:pPr>
          <w:r w:rsidRPr="0007336D">
            <w:rPr>
              <w:rFonts w:eastAsia="Times New Roman"/>
              <w:color w:val="000000"/>
              <w:sz w:val="16"/>
              <w:szCs w:val="16"/>
            </w:rPr>
            <w:t>[3]</w:t>
          </w:r>
          <w:r w:rsidRPr="0007336D">
            <w:rPr>
              <w:rFonts w:eastAsia="Times New Roman"/>
              <w:color w:val="000000"/>
              <w:sz w:val="16"/>
              <w:szCs w:val="16"/>
            </w:rPr>
            <w:tab/>
            <w:t xml:space="preserve">X. Wu </w:t>
          </w:r>
          <w:r w:rsidRPr="0007336D">
            <w:rPr>
              <w:rFonts w:eastAsia="Times New Roman"/>
              <w:i/>
              <w:iCs/>
              <w:color w:val="000000"/>
              <w:sz w:val="16"/>
              <w:szCs w:val="16"/>
            </w:rPr>
            <w:t>et al.</w:t>
          </w:r>
          <w:r w:rsidRPr="0007336D">
            <w:rPr>
              <w:rFonts w:eastAsia="Times New Roman"/>
              <w:color w:val="000000"/>
              <w:sz w:val="16"/>
              <w:szCs w:val="16"/>
            </w:rPr>
            <w:t xml:space="preserve">, “SAW-YOLO: A Multi-Scale YOLO for Small Target Citrus Pests Detection,” </w:t>
          </w:r>
          <w:r w:rsidRPr="0007336D">
            <w:rPr>
              <w:rFonts w:eastAsia="Times New Roman"/>
              <w:i/>
              <w:iCs/>
              <w:color w:val="000000"/>
              <w:sz w:val="16"/>
              <w:szCs w:val="16"/>
            </w:rPr>
            <w:t>Agronomy</w:t>
          </w:r>
          <w:r w:rsidRPr="0007336D">
            <w:rPr>
              <w:rFonts w:eastAsia="Times New Roman"/>
              <w:color w:val="000000"/>
              <w:sz w:val="16"/>
              <w:szCs w:val="16"/>
            </w:rPr>
            <w:t xml:space="preserve">, vol. 14, no. 7, Jul. 2024, </w:t>
          </w:r>
          <w:proofErr w:type="spellStart"/>
          <w:r w:rsidRPr="0007336D">
            <w:rPr>
              <w:rFonts w:eastAsia="Times New Roman"/>
              <w:color w:val="000000"/>
              <w:sz w:val="16"/>
              <w:szCs w:val="16"/>
            </w:rPr>
            <w:t>doi</w:t>
          </w:r>
          <w:proofErr w:type="spellEnd"/>
          <w:r w:rsidRPr="0007336D">
            <w:rPr>
              <w:rFonts w:eastAsia="Times New Roman"/>
              <w:color w:val="000000"/>
              <w:sz w:val="16"/>
              <w:szCs w:val="16"/>
            </w:rPr>
            <w:t>: 10.3390/agronomy14071571.</w:t>
          </w:r>
        </w:p>
        <w:p w14:paraId="6F672287" w14:textId="77777777" w:rsidR="0007336D" w:rsidRPr="0007336D" w:rsidRDefault="0007336D" w:rsidP="0007336D">
          <w:pPr>
            <w:autoSpaceDE w:val="0"/>
            <w:autoSpaceDN w:val="0"/>
            <w:ind w:hanging="32pt"/>
            <w:jc w:val="start"/>
            <w:divId w:val="814950983"/>
            <w:rPr>
              <w:rFonts w:eastAsia="Times New Roman"/>
              <w:color w:val="000000"/>
              <w:sz w:val="16"/>
              <w:szCs w:val="16"/>
            </w:rPr>
          </w:pPr>
          <w:r w:rsidRPr="0007336D">
            <w:rPr>
              <w:rFonts w:eastAsia="Times New Roman"/>
              <w:color w:val="000000"/>
              <w:sz w:val="16"/>
              <w:szCs w:val="16"/>
            </w:rPr>
            <w:t>[4]</w:t>
          </w:r>
          <w:r w:rsidRPr="0007336D">
            <w:rPr>
              <w:rFonts w:eastAsia="Times New Roman"/>
              <w:color w:val="000000"/>
              <w:sz w:val="16"/>
              <w:szCs w:val="16"/>
            </w:rPr>
            <w:tab/>
            <w:t>K. J. Joseph, S. Khan, F. S. Khan, and V. N. Balasubramanian, “Towards Open World Object Detection,” May 2021, [</w:t>
          </w:r>
          <w:proofErr w:type="gramStart"/>
          <w:r w:rsidRPr="0007336D">
            <w:rPr>
              <w:rFonts w:eastAsia="Times New Roman"/>
              <w:color w:val="000000"/>
              <w:sz w:val="16"/>
              <w:szCs w:val="16"/>
            </w:rPr>
            <w:t>Online</w:t>
          </w:r>
          <w:proofErr w:type="gramEnd"/>
          <w:r w:rsidRPr="0007336D">
            <w:rPr>
              <w:rFonts w:eastAsia="Times New Roman"/>
              <w:color w:val="000000"/>
              <w:sz w:val="16"/>
              <w:szCs w:val="16"/>
            </w:rPr>
            <w:t>]. Available: http://arxiv.org/abs/2103.02603</w:t>
          </w:r>
        </w:p>
        <w:p w14:paraId="762EC548" w14:textId="62A485CF" w:rsidR="009303D9" w:rsidRPr="0007336D" w:rsidRDefault="0007336D" w:rsidP="0007336D">
          <w:pPr>
            <w:jc w:val="both"/>
            <w:rPr>
              <w:sz w:val="16"/>
              <w:szCs w:val="16"/>
            </w:rPr>
          </w:pPr>
          <w:r w:rsidRPr="0007336D">
            <w:rPr>
              <w:rFonts w:eastAsia="Times New Roman"/>
              <w:color w:val="000000"/>
              <w:sz w:val="16"/>
              <w:szCs w:val="16"/>
            </w:rPr>
            <w:t> </w:t>
          </w:r>
        </w:p>
      </w:sdtContent>
    </w:sdt>
    <w:p w14:paraId="7FDEE4D2" w14:textId="77777777" w:rsidR="0007336D" w:rsidRDefault="0007336D" w:rsidP="0007336D">
      <w:pPr>
        <w:jc w:val="both"/>
      </w:pPr>
    </w:p>
    <w:p w14:paraId="106CE787" w14:textId="77777777" w:rsidR="0007336D" w:rsidRPr="005B520E" w:rsidRDefault="0007336D" w:rsidP="0007336D">
      <w:pPr>
        <w:jc w:val="both"/>
      </w:pPr>
    </w:p>
    <w:p w14:paraId="7B535177" w14:textId="77777777" w:rsidR="009303D9" w:rsidRDefault="009303D9" w:rsidP="0004781E">
      <w:pPr>
        <w:pStyle w:val="references0"/>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693B3D" w14:textId="77777777" w:rsidR="009303D9" w:rsidRDefault="009303D9" w:rsidP="0004781E">
      <w:pPr>
        <w:pStyle w:val="references0"/>
        <w:ind w:start="17.70pt" w:hanging="17.70pt"/>
      </w:pPr>
      <w:r>
        <w:t>J. Clerk Maxwell, A Treatise on Electricity and Magnetism, 3rd ed., vol. 2. Oxford: Clarendon, 1892, pp.68–73.</w:t>
      </w:r>
    </w:p>
    <w:p w14:paraId="4E127A7C" w14:textId="77777777" w:rsidR="009303D9" w:rsidRDefault="009303D9" w:rsidP="0004781E">
      <w:pPr>
        <w:pStyle w:val="references0"/>
        <w:ind w:start="17.70pt" w:hanging="17.70pt"/>
      </w:pPr>
      <w:r>
        <w:t>I. S. Jacobs and C. P. Bean, “Fine particles, thin films and exchange anisotropy,” in Magnetism, vol. III, G. T. Rado and H. Suhl, Eds. New York: Academic, 1963, pp. 271–350.</w:t>
      </w:r>
    </w:p>
    <w:p w14:paraId="35F1D365" w14:textId="77777777" w:rsidR="009303D9" w:rsidRDefault="009303D9" w:rsidP="0004781E">
      <w:pPr>
        <w:pStyle w:val="references0"/>
        <w:ind w:start="17.70pt" w:hanging="17.70pt"/>
      </w:pPr>
      <w:r>
        <w:t>K. Elissa, “Title of paper if known,” unpublished.</w:t>
      </w:r>
    </w:p>
    <w:p w14:paraId="19479632" w14:textId="77777777" w:rsidR="009303D9" w:rsidRDefault="009303D9" w:rsidP="0004781E">
      <w:pPr>
        <w:pStyle w:val="references0"/>
        <w:ind w:start="17.70pt" w:hanging="17.70pt"/>
      </w:pPr>
      <w:r>
        <w:t>R. Nicole, “Title of paper with only first word capitalized,” J. Name Stand. Abbrev., in press.</w:t>
      </w:r>
    </w:p>
    <w:p w14:paraId="6A59C119" w14:textId="77777777" w:rsidR="009303D9" w:rsidRDefault="009303D9" w:rsidP="0004781E">
      <w:pPr>
        <w:pStyle w:val="references0"/>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03CAF9EC" w14:textId="77777777" w:rsidR="00156B74" w:rsidRDefault="009303D9" w:rsidP="00156B74">
      <w:pPr>
        <w:pStyle w:val="references0"/>
        <w:ind w:start="17.70pt" w:hanging="17.70pt"/>
      </w:pPr>
      <w:r>
        <w:t>M. Young, The Technical Writer</w:t>
      </w:r>
      <w:r w:rsidR="00E7596C">
        <w:t>’</w:t>
      </w:r>
      <w:r>
        <w:t>s Handbook. Mill Valley, CA: University Science, 1989.</w:t>
      </w:r>
    </w:p>
    <w:p w14:paraId="095CD6D1" w14:textId="77777777" w:rsidR="00156B74" w:rsidRPr="00156B74" w:rsidRDefault="00156B74" w:rsidP="00156B74">
      <w:pPr>
        <w:pStyle w:val="references0"/>
        <w:ind w:start="17.70pt" w:hanging="17.70pt"/>
        <w:rPr>
          <w:rFonts w:ascii="NimbusRomNo9L-Regu" w:eastAsia="NimbusRomNo9L-Regu" w:cs="NimbusRomNo9L-Regu"/>
        </w:rPr>
      </w:pPr>
      <w:r w:rsidRPr="00156B74">
        <w:rPr>
          <w:rFonts w:ascii="NimbusRomNo9L-Regu" w:eastAsia="NimbusRomNo9L-Regu" w:cs="NimbusRomNo9L-Regu"/>
        </w:rPr>
        <w:t xml:space="preserve"> </w:t>
      </w: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02A693BF" w14:textId="77777777" w:rsidR="00156B74" w:rsidRDefault="00156B74" w:rsidP="00156B74">
      <w:pPr>
        <w:pStyle w:val="references0"/>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2E399E5B" w14:textId="78F18DC4" w:rsidR="00156B74" w:rsidRDefault="00156B74" w:rsidP="00156B74">
      <w:pPr>
        <w:pStyle w:val="references0"/>
        <w:autoSpaceDE w:val="0"/>
        <w:autoSpaceDN w:val="0"/>
        <w:adjustRightInd w:val="0"/>
        <w:ind w:start="17.70pt" w:hanging="17.70pt"/>
        <w:jc w:val="start"/>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[Online]. Available: </w:t>
      </w:r>
      <w:r>
        <w:t xml:space="preserve">https://github.com/liustone99/Wi-Fi-Energy-Detection-Testbed-12MTC </w:t>
      </w:r>
    </w:p>
    <w:p w14:paraId="3B8DFCE8" w14:textId="7921C274" w:rsidR="00156B74" w:rsidRPr="00156B74" w:rsidRDefault="00156B74" w:rsidP="00156B74">
      <w:pPr>
        <w:pStyle w:val="references0"/>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2A5DE92A" w14:textId="77777777" w:rsidR="009303D9" w:rsidRPr="00F96569" w:rsidRDefault="001A42EA" w:rsidP="00F96569">
      <w:pPr>
        <w:pStyle w:val="references0"/>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A83751">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395DAFC" w14:textId="77777777" w:rsidR="009C5925" w:rsidRDefault="009C5925" w:rsidP="001A3B3D">
      <w:r>
        <w:separator/>
      </w:r>
    </w:p>
  </w:endnote>
  <w:endnote w:type="continuationSeparator" w:id="0">
    <w:p w14:paraId="499D4CAB" w14:textId="77777777" w:rsidR="009C5925" w:rsidRDefault="009C592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TimesLTStd-Roman">
    <w:altName w:val="Times New Roman"/>
    <w:panose1 w:val="00000000000000000000"/>
    <w:charset w:characterSet="iso-8859-1"/>
    <w:family w:val="auto"/>
    <w:notTrueType/>
    <w:pitch w:val="default"/>
    <w:sig w:usb0="00000003" w:usb1="00000000" w:usb2="00000000" w:usb3="00000000" w:csb0="00000001" w:csb1="00000000"/>
  </w:font>
  <w:font w:name="Helvetica">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D5DD747" w14:textId="77777777" w:rsidR="009C5925" w:rsidRDefault="009C5925" w:rsidP="001A3B3D">
      <w:r>
        <w:separator/>
      </w:r>
    </w:p>
  </w:footnote>
  <w:footnote w:type="continuationSeparator" w:id="0">
    <w:p w14:paraId="2D1A823E" w14:textId="77777777" w:rsidR="009C5925" w:rsidRDefault="009C592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A877D64"/>
    <w:multiLevelType w:val="singleLevel"/>
    <w:tmpl w:val="37E4B88C"/>
    <w:lvl w:ilvl="0">
      <w:start w:val="1"/>
      <w:numFmt w:val="decimal"/>
      <w:pStyle w:val="References"/>
      <w:lvlText w:val="[%1]"/>
      <w:lvlJc w:val="start"/>
      <w:pPr>
        <w:tabs>
          <w:tab w:val="num" w:pos="58.50pt"/>
        </w:tabs>
        <w:ind w:start="58.50pt" w:hanging="18pt"/>
      </w:pPr>
      <w:rPr>
        <w:i w:val="0"/>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0"/>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5E1B6D39"/>
    <w:multiLevelType w:val="hybridMultilevel"/>
    <w:tmpl w:val="01D82C3E"/>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21"/>
  </w:num>
  <w:num w:numId="3" w16cid:durableId="539585121">
    <w:abstractNumId w:val="13"/>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2"/>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730304559">
    <w:abstractNumId w:val="16"/>
  </w:num>
  <w:num w:numId="27" w16cid:durableId="1118723941">
    <w:abstractNumId w:val="20"/>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4C94"/>
    <w:rsid w:val="0002699E"/>
    <w:rsid w:val="0004781E"/>
    <w:rsid w:val="0007336D"/>
    <w:rsid w:val="00074E45"/>
    <w:rsid w:val="0008758A"/>
    <w:rsid w:val="000C0F12"/>
    <w:rsid w:val="000C1E68"/>
    <w:rsid w:val="00127137"/>
    <w:rsid w:val="00130594"/>
    <w:rsid w:val="0015079E"/>
    <w:rsid w:val="00156B74"/>
    <w:rsid w:val="00162EA6"/>
    <w:rsid w:val="00176F37"/>
    <w:rsid w:val="001A2EFD"/>
    <w:rsid w:val="001A3B3D"/>
    <w:rsid w:val="001A42EA"/>
    <w:rsid w:val="001B67DC"/>
    <w:rsid w:val="001D7BCF"/>
    <w:rsid w:val="002254A9"/>
    <w:rsid w:val="00233D97"/>
    <w:rsid w:val="0024136C"/>
    <w:rsid w:val="00247DF4"/>
    <w:rsid w:val="002850E3"/>
    <w:rsid w:val="002A1793"/>
    <w:rsid w:val="002B31D6"/>
    <w:rsid w:val="002E34B5"/>
    <w:rsid w:val="00307FBF"/>
    <w:rsid w:val="0034054B"/>
    <w:rsid w:val="0034150A"/>
    <w:rsid w:val="00354FCF"/>
    <w:rsid w:val="00357B1A"/>
    <w:rsid w:val="00394C0F"/>
    <w:rsid w:val="003A19E2"/>
    <w:rsid w:val="003D367B"/>
    <w:rsid w:val="003F7926"/>
    <w:rsid w:val="004127F9"/>
    <w:rsid w:val="004140DB"/>
    <w:rsid w:val="00421EC6"/>
    <w:rsid w:val="004325FB"/>
    <w:rsid w:val="004432BA"/>
    <w:rsid w:val="0044407E"/>
    <w:rsid w:val="004D72B5"/>
    <w:rsid w:val="005078FC"/>
    <w:rsid w:val="005440A3"/>
    <w:rsid w:val="00547E73"/>
    <w:rsid w:val="00551B7F"/>
    <w:rsid w:val="0056610F"/>
    <w:rsid w:val="00575BCA"/>
    <w:rsid w:val="005B0344"/>
    <w:rsid w:val="005B520E"/>
    <w:rsid w:val="005C7384"/>
    <w:rsid w:val="005D5B1E"/>
    <w:rsid w:val="005E2800"/>
    <w:rsid w:val="005F13B1"/>
    <w:rsid w:val="005F5C82"/>
    <w:rsid w:val="00616C17"/>
    <w:rsid w:val="006347CF"/>
    <w:rsid w:val="00645D22"/>
    <w:rsid w:val="006475F1"/>
    <w:rsid w:val="00651A08"/>
    <w:rsid w:val="00654204"/>
    <w:rsid w:val="00670434"/>
    <w:rsid w:val="006708DD"/>
    <w:rsid w:val="006A5C95"/>
    <w:rsid w:val="006B6B66"/>
    <w:rsid w:val="006E7B7D"/>
    <w:rsid w:val="006F6D3D"/>
    <w:rsid w:val="00704134"/>
    <w:rsid w:val="00715BEA"/>
    <w:rsid w:val="007274B8"/>
    <w:rsid w:val="00740EEA"/>
    <w:rsid w:val="00754000"/>
    <w:rsid w:val="00794804"/>
    <w:rsid w:val="007B33F1"/>
    <w:rsid w:val="007B4895"/>
    <w:rsid w:val="007B5A75"/>
    <w:rsid w:val="007C0308"/>
    <w:rsid w:val="007C100F"/>
    <w:rsid w:val="007C2FF2"/>
    <w:rsid w:val="007D5C86"/>
    <w:rsid w:val="007D6232"/>
    <w:rsid w:val="007E5AA5"/>
    <w:rsid w:val="007F1F99"/>
    <w:rsid w:val="007F768F"/>
    <w:rsid w:val="00807687"/>
    <w:rsid w:val="0080791D"/>
    <w:rsid w:val="00873603"/>
    <w:rsid w:val="008A2C7D"/>
    <w:rsid w:val="008C20D4"/>
    <w:rsid w:val="008C4B23"/>
    <w:rsid w:val="008F6E2C"/>
    <w:rsid w:val="009043BA"/>
    <w:rsid w:val="009303D9"/>
    <w:rsid w:val="00933C64"/>
    <w:rsid w:val="00972203"/>
    <w:rsid w:val="009C5925"/>
    <w:rsid w:val="00A059B3"/>
    <w:rsid w:val="00A12374"/>
    <w:rsid w:val="00A6572D"/>
    <w:rsid w:val="00A83751"/>
    <w:rsid w:val="00AB1700"/>
    <w:rsid w:val="00AD5C71"/>
    <w:rsid w:val="00AE0CB4"/>
    <w:rsid w:val="00AE3409"/>
    <w:rsid w:val="00B11A60"/>
    <w:rsid w:val="00B22613"/>
    <w:rsid w:val="00B7225C"/>
    <w:rsid w:val="00B7422E"/>
    <w:rsid w:val="00BA1025"/>
    <w:rsid w:val="00BC3420"/>
    <w:rsid w:val="00BE7D3C"/>
    <w:rsid w:val="00BF5FF6"/>
    <w:rsid w:val="00C01745"/>
    <w:rsid w:val="00C0207F"/>
    <w:rsid w:val="00C142D8"/>
    <w:rsid w:val="00C16117"/>
    <w:rsid w:val="00C3075A"/>
    <w:rsid w:val="00C50BF0"/>
    <w:rsid w:val="00C564A8"/>
    <w:rsid w:val="00C72C0E"/>
    <w:rsid w:val="00C76FFC"/>
    <w:rsid w:val="00C806E1"/>
    <w:rsid w:val="00C816B8"/>
    <w:rsid w:val="00C919A4"/>
    <w:rsid w:val="00CA4392"/>
    <w:rsid w:val="00CB23E4"/>
    <w:rsid w:val="00CC393F"/>
    <w:rsid w:val="00CE64F5"/>
    <w:rsid w:val="00D13749"/>
    <w:rsid w:val="00D2176E"/>
    <w:rsid w:val="00D560C8"/>
    <w:rsid w:val="00D632BE"/>
    <w:rsid w:val="00D72D06"/>
    <w:rsid w:val="00D7522C"/>
    <w:rsid w:val="00D7536F"/>
    <w:rsid w:val="00D76668"/>
    <w:rsid w:val="00DD010A"/>
    <w:rsid w:val="00DD4E30"/>
    <w:rsid w:val="00DD564E"/>
    <w:rsid w:val="00E0534D"/>
    <w:rsid w:val="00E61E12"/>
    <w:rsid w:val="00E741CD"/>
    <w:rsid w:val="00E7596C"/>
    <w:rsid w:val="00E878F2"/>
    <w:rsid w:val="00ED0149"/>
    <w:rsid w:val="00EF7DE3"/>
    <w:rsid w:val="00F03103"/>
    <w:rsid w:val="00F12284"/>
    <w:rsid w:val="00F271DE"/>
    <w:rsid w:val="00F332F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1700"/>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0">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paragraph" w:customStyle="1" w:styleId="PARA">
    <w:name w:val="PARA"/>
    <w:basedOn w:val="Normal"/>
    <w:rsid w:val="005078FC"/>
    <w:pPr>
      <w:suppressAutoHyphens/>
      <w:autoSpaceDE w:val="0"/>
      <w:autoSpaceDN w:val="0"/>
      <w:adjustRightInd w:val="0"/>
      <w:spacing w:line="12pt" w:lineRule="exact"/>
      <w:jc w:val="both"/>
    </w:pPr>
    <w:rPr>
      <w:rFonts w:eastAsia="Times New Roman" w:cs="TimesLTStd-Roman"/>
      <w:spacing w:val="-2"/>
    </w:rPr>
  </w:style>
  <w:style w:type="paragraph" w:customStyle="1" w:styleId="References">
    <w:name w:val="References"/>
    <w:basedOn w:val="Normal"/>
    <w:rsid w:val="005078FC"/>
    <w:pPr>
      <w:numPr>
        <w:numId w:val="26"/>
      </w:numPr>
      <w:ind w:start="18pt"/>
      <w:jc w:val="both"/>
    </w:pPr>
    <w:rPr>
      <w:rFonts w:eastAsia="Times New Roman"/>
      <w:sz w:val="16"/>
      <w:szCs w:val="16"/>
    </w:rPr>
  </w:style>
  <w:style w:type="paragraph" w:customStyle="1" w:styleId="H5">
    <w:name w:val="H5"/>
    <w:basedOn w:val="Abstract"/>
    <w:link w:val="H5CharChar"/>
    <w:rsid w:val="005078FC"/>
    <w:pPr>
      <w:spacing w:after="17pt" w:line="12pt" w:lineRule="exact"/>
      <w:ind w:end="69pt" w:firstLine="0pt"/>
    </w:pPr>
    <w:rPr>
      <w:rFonts w:ascii="Helvetica" w:eastAsia="Times New Roman" w:hAnsi="Helvetica"/>
      <w:bCs w:val="0"/>
      <w:color w:val="00629B"/>
      <w:sz w:val="20"/>
      <w:szCs w:val="20"/>
    </w:rPr>
  </w:style>
  <w:style w:type="character" w:customStyle="1" w:styleId="H5CharChar">
    <w:name w:val="H5 Char Char"/>
    <w:link w:val="H5"/>
    <w:rsid w:val="005078FC"/>
    <w:rPr>
      <w:rFonts w:ascii="Helvetica" w:eastAsia="Times New Roman" w:hAnsi="Helvetica"/>
      <w:b/>
      <w:color w:val="00629B"/>
    </w:rPr>
  </w:style>
  <w:style w:type="paragraph" w:styleId="NormalWeb">
    <w:name w:val="Normal (Web)"/>
    <w:basedOn w:val="Normal"/>
    <w:rsid w:val="00C564A8"/>
    <w:rPr>
      <w:sz w:val="24"/>
      <w:szCs w:val="24"/>
    </w:rPr>
  </w:style>
  <w:style w:type="character" w:styleId="PlaceholderText">
    <w:name w:val="Placeholder Text"/>
    <w:basedOn w:val="DefaultParagraphFont"/>
    <w:uiPriority w:val="99"/>
    <w:semiHidden/>
    <w:rsid w:val="007E5AA5"/>
    <w:rPr>
      <w:color w:val="666666"/>
    </w:rPr>
  </w:style>
  <w:style w:type="table" w:styleId="TableGrid">
    <w:name w:val="Table Grid"/>
    <w:basedOn w:val="TableNormal"/>
    <w:rsid w:val="00AB1700"/>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49793">
      <w:marLeft w:val="32pt"/>
      <w:marRight w:val="0pt"/>
      <w:marTop w:val="0pt"/>
      <w:marBottom w:val="0pt"/>
      <w:divBdr>
        <w:top w:val="none" w:sz="0" w:space="0" w:color="auto"/>
        <w:left w:val="none" w:sz="0" w:space="0" w:color="auto"/>
        <w:bottom w:val="none" w:sz="0" w:space="0" w:color="auto"/>
        <w:right w:val="none" w:sz="0" w:space="0" w:color="auto"/>
      </w:divBdr>
    </w:div>
    <w:div w:id="382489725">
      <w:marLeft w:val="32pt"/>
      <w:marRight w:val="0pt"/>
      <w:marTop w:val="0pt"/>
      <w:marBottom w:val="0pt"/>
      <w:divBdr>
        <w:top w:val="none" w:sz="0" w:space="0" w:color="auto"/>
        <w:left w:val="none" w:sz="0" w:space="0" w:color="auto"/>
        <w:bottom w:val="none" w:sz="0" w:space="0" w:color="auto"/>
        <w:right w:val="none" w:sz="0" w:space="0" w:color="auto"/>
      </w:divBdr>
    </w:div>
    <w:div w:id="609895791">
      <w:marLeft w:val="32pt"/>
      <w:marRight w:val="0pt"/>
      <w:marTop w:val="0pt"/>
      <w:marBottom w:val="0pt"/>
      <w:divBdr>
        <w:top w:val="none" w:sz="0" w:space="0" w:color="auto"/>
        <w:left w:val="none" w:sz="0" w:space="0" w:color="auto"/>
        <w:bottom w:val="none" w:sz="0" w:space="0" w:color="auto"/>
        <w:right w:val="none" w:sz="0" w:space="0" w:color="auto"/>
      </w:divBdr>
    </w:div>
    <w:div w:id="740561312">
      <w:marLeft w:val="32pt"/>
      <w:marRight w:val="0pt"/>
      <w:marTop w:val="0pt"/>
      <w:marBottom w:val="0pt"/>
      <w:divBdr>
        <w:top w:val="none" w:sz="0" w:space="0" w:color="auto"/>
        <w:left w:val="none" w:sz="0" w:space="0" w:color="auto"/>
        <w:bottom w:val="none" w:sz="0" w:space="0" w:color="auto"/>
        <w:right w:val="none" w:sz="0" w:space="0" w:color="auto"/>
      </w:divBdr>
    </w:div>
    <w:div w:id="812021835">
      <w:marLeft w:val="32pt"/>
      <w:marRight w:val="0pt"/>
      <w:marTop w:val="0pt"/>
      <w:marBottom w:val="0pt"/>
      <w:divBdr>
        <w:top w:val="none" w:sz="0" w:space="0" w:color="auto"/>
        <w:left w:val="none" w:sz="0" w:space="0" w:color="auto"/>
        <w:bottom w:val="none" w:sz="0" w:space="0" w:color="auto"/>
        <w:right w:val="none" w:sz="0" w:space="0" w:color="auto"/>
      </w:divBdr>
    </w:div>
    <w:div w:id="814950983">
      <w:marLeft w:val="32pt"/>
      <w:marRight w:val="0pt"/>
      <w:marTop w:val="0pt"/>
      <w:marBottom w:val="0pt"/>
      <w:divBdr>
        <w:top w:val="none" w:sz="0" w:space="0" w:color="auto"/>
        <w:left w:val="none" w:sz="0" w:space="0" w:color="auto"/>
        <w:bottom w:val="none" w:sz="0" w:space="0" w:color="auto"/>
        <w:right w:val="none" w:sz="0" w:space="0" w:color="auto"/>
      </w:divBdr>
    </w:div>
    <w:div w:id="1026249177">
      <w:marLeft w:val="32pt"/>
      <w:marRight w:val="0pt"/>
      <w:marTop w:val="0pt"/>
      <w:marBottom w:val="0pt"/>
      <w:divBdr>
        <w:top w:val="none" w:sz="0" w:space="0" w:color="auto"/>
        <w:left w:val="none" w:sz="0" w:space="0" w:color="auto"/>
        <w:bottom w:val="none" w:sz="0" w:space="0" w:color="auto"/>
        <w:right w:val="none" w:sz="0" w:space="0" w:color="auto"/>
      </w:divBdr>
    </w:div>
    <w:div w:id="1627274001">
      <w:marLeft w:val="32pt"/>
      <w:marRight w:val="0pt"/>
      <w:marTop w:val="0pt"/>
      <w:marBottom w:val="0pt"/>
      <w:divBdr>
        <w:top w:val="none" w:sz="0" w:space="0" w:color="auto"/>
        <w:left w:val="none" w:sz="0" w:space="0" w:color="auto"/>
        <w:bottom w:val="none" w:sz="0" w:space="0" w:color="auto"/>
        <w:right w:val="none" w:sz="0" w:space="0" w:color="auto"/>
      </w:divBdr>
    </w:div>
    <w:div w:id="1950355402">
      <w:marLeft w:val="32pt"/>
      <w:marRight w:val="0pt"/>
      <w:marTop w:val="0pt"/>
      <w:marBottom w:val="0pt"/>
      <w:divBdr>
        <w:top w:val="none" w:sz="0" w:space="0" w:color="auto"/>
        <w:left w:val="none" w:sz="0" w:space="0" w:color="auto"/>
        <w:bottom w:val="none" w:sz="0" w:space="0" w:color="auto"/>
        <w:right w:val="none" w:sz="0" w:space="0" w:color="auto"/>
      </w:divBdr>
    </w:div>
    <w:div w:id="2055544700">
      <w:marLeft w:val="32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glossaryDocument" Target="glossary/document.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7E203E42-9F0F-4F23-8E76-A4B59CC1E8E4}"/>
      </w:docPartPr>
      <w:docPartBody>
        <w:p w:rsidR="00AF5C3F" w:rsidRDefault="00B662E9">
          <w:r w:rsidRPr="007F23E7">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TimesLTStd-Roman">
    <w:altName w:val="Times New Roman"/>
    <w:panose1 w:val="00000000000000000000"/>
    <w:charset w:characterSet="iso-8859-1"/>
    <w:family w:val="auto"/>
    <w:notTrueType/>
    <w:pitch w:val="default"/>
    <w:sig w:usb0="00000003" w:usb1="00000000" w:usb2="00000000" w:usb3="00000000" w:csb0="00000001" w:csb1="00000000"/>
  </w:font>
  <w:font w:name="Helvetica">
    <w:panose1 w:val="020B0604020202020204"/>
    <w:charset w:characterSet="iso-8859-1"/>
    <w:family w:val="swiss"/>
    <w:pitch w:val="variable"/>
    <w:sig w:usb0="E0002EFF" w:usb1="C000785B" w:usb2="00000009" w:usb3="00000000" w:csb0="000001FF" w:csb1="00000000"/>
  </w:font>
  <w:font w:name="Cambria Math">
    <w:panose1 w:val="02040503050406030204"/>
    <w:charset w:characterSet="iso-8859-1"/>
    <w:family w:val="roman"/>
    <w:pitch w:val="variable"/>
    <w:sig w:usb0="E00006FF" w:usb1="420024FF" w:usb2="02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9"/>
    <w:rsid w:val="00176F37"/>
    <w:rsid w:val="001A6983"/>
    <w:rsid w:val="001F4402"/>
    <w:rsid w:val="00351ACB"/>
    <w:rsid w:val="003E10BA"/>
    <w:rsid w:val="005440A3"/>
    <w:rsid w:val="00616C17"/>
    <w:rsid w:val="006E7B7D"/>
    <w:rsid w:val="007B5A75"/>
    <w:rsid w:val="00886EA3"/>
    <w:rsid w:val="008B6AF9"/>
    <w:rsid w:val="00A6572D"/>
    <w:rsid w:val="00AD5C71"/>
    <w:rsid w:val="00AF5C3F"/>
    <w:rsid w:val="00B662E9"/>
    <w:rsid w:val="00BA1221"/>
    <w:rsid w:val="00D02083"/>
    <w:rsid w:val="00DB10E7"/>
    <w:rsid w:val="00DD4E30"/>
    <w:rsid w:val="00E53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6983"/>
    <w:rPr>
      <w:color w:val="666666"/>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AFCFF6A3-2FAC-40B4-9B3B-267A0605F434}">
  <we:reference id="wa104382081" version="1.55.1.0" store="en-GB" storeType="OMEX"/>
  <we:alternateReferences>
    <we:reference id="wa104382081" version="1.55.1.0" store="en-GB" storeType="OMEX"/>
  </we:alternateReferences>
  <we:properties>
    <we:property name="MENDELEY_BIBLIOGRAPHY_IS_DIRTY" value="true"/>
    <we:property name="MENDELEY_BIBLIOGRAPHY_LAST_MODIFIED" value="1785404752794"/>
    <we:property name="MENDELEY_CITATIONS" value="[{&quot;citationID&quot;:&quot;MENDELEY_CITATION_70c295b6-bfc2-44c9-8c23-c0137f75b1e0&quot;,&quot;properties&quot;:{&quot;noteIndex&quot;:0},&quot;isEdited&quot;:false,&quot;manualOverride&quot;:{&quot;isManuallyOverridden&quot;:false,&quot;citeprocText&quot;:&quot;[1]&quot;,&quot;manualOverrideText&quot;:&quot;&quot;},&quot;citationTag&quot;:&quot;MENDELEY_CITATION_v3_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&quot;,&quot;citationItems&quot;:[{&quot;id&quot;:&quot;62cadd31-b470-3d64-88c7-c382f0660873&quot;,&quot;itemData&quot;:{&quot;type&quot;:&quot;report&quot;,&quot;id&quot;:&quot;62cadd31-b470-3d64-88c7-c382f0660873&quot;,&quot;title&quot;:&quot;IP102: A Large-Scale Benchmark Dataset for Insect Pest Recognition&quot;,&quot;author&quot;:[{&quot;family&quot;:&quot;Wu&quot;,&quot;given&quot;:&quot;Xiaoping&quot;,&quot;parse-names&quot;:false,&quot;dropping-particle&quot;:&quot;&quot;,&quot;non-dropping-particle&quot;:&quot;&quot;},{&quot;family&quot;:&quot;Zhan&quot;,&quot;given&quot;:&quot;Chi&quot;,&quot;parse-names&quot;:false,&quot;dropping-particle&quot;:&quot;&quot;,&quot;non-dropping-particle&quot;:&quot;&quot;},{&quot;family&quot;:&quot;Lai&quot;,&quot;given&quot;:&quot;Yu-Kun&quot;,&quot;parse-names&quot;:false,&quot;dropping-particle&quot;:&quot;&quot;,&quot;non-dropping-particle&quot;:&quot;&quot;},{&quot;family&quot;:&quot;Cheng&quot;,&quot;given&quot;:&quot;Ming-Ming&quot;,&quot;parse-names&quot;:false,&quot;dropping-particle&quot;:&quot;&quot;,&quot;non-dropping-particle&quot;:&quot;&quot;},{&quot;family&quot;:&quot;Yang&quot;,&quot;given&quot;:&quot;Jufeng&quot;,&quot;parse-names&quot;:false,&quot;dropping-particle&quot;:&quot;&quot;,&quot;non-dropping-particle&quot;:&quot;&quot;}],&quot;URL&quot;:&quot;https://github.com/&quot;,&quot;abstract&quot;:&quot;Insect pests are one of the main factors affecting agricultural product yield. Accurate recognition of insect pests facilitates timely preventive measures to avoid economic losses. However, the existing datasets for the visual classification task mainly focus on common objects, e.g., flowers and dogs. This limits the application of powerful deep learning technology on specific domains like the agricultural field. In this paper, we collect a large-scale dataset named IP102 for insect pest recognition. Specifically, it contains more than 75, 000 images belonging to 102 categories , which exhibit a natural long-tailed distribution. In addition, we annotate about 19, 000 images with bounding boxes for object detection. The IP102 has a hierarchical taxonomy and the insect pests which mainly affect one specific agricultural product are grouped into the same upper-level category. Furthermore, we perform several baseline experiments on the IP102 dataset, including handcrafted and deep feature based classification methods. Experimental results show that this dataset has the challenges of inter-and intra-class variance and data imbalance. We believe our IP102 will facilitate future research on practical insect pest control, fine-grained visual classification, and imbal-anced learning fields. We make the dataset and pre-trained models publicly available at https://github.com/ xpwu95/IP102.&quot;,&quot;container-title-short&quot;:&quot;&quot;},&quot;isTemporary&quot;:false}]},{&quot;citationID&quot;:&quot;MENDELEY_CITATION_63b29cf7-d73a-4e0e-9a56-bb18a6cad380&quot;,&quot;properties&quot;:{&quot;noteIndex&quot;:0},&quot;isEdited&quot;:false,&quot;manualOverride&quot;:{&quot;isManuallyOverridden&quot;:false,&quot;citeprocText&quot;:&quot;[2]&quot;,&quot;manualOverrideText&quot;:&quot;&quot;},&quot;citationTag&quot;:&quot;MENDELEY_CITATION_v3_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&quot;,&quot;citationItems&quot;:[{&quot;id&quot;:&quot;26f7cfac-6268-32a1-b15f-189cde61f738&quot;,&quot;itemData&quot;:{&quot;type&quot;:&quot;article-journal&quot;,&quot;id&quot;:&quot;26f7cfac-6268-32a1-b15f-189cde61f738&quot;,&quot;title&quot;:&quot;AgriPest-YOLO: A rapid light-trap agricultural pest detection method based on deep learning&quot;,&quot;author&quot;:[{&quot;family&quot;:&quot;Zhang&quot;,&quot;given&quot;:&quot;Wei&quot;,&quot;parse-names&quot;:false,&quot;dropping-particle&quot;:&quot;&quot;,&quot;non-dropping-particle&quot;:&quot;&quot;},{&quot;family&quot;:&quot;Huang&quot;,&quot;given&quot;:&quot;He&quot;,&quot;parse-names&quot;:false,&quot;dropping-particle&quot;:&quot;&quot;,&quot;non-dropping-particle&quot;:&quot;&quot;},{&quot;family&quot;:&quot;Sun&quot;,&quot;given&quot;:&quot;Youqiang&quot;,&quot;parse-names&quot;:false,&quot;dropping-particle&quot;:&quot;&quot;,&quot;non-dropping-particle&quot;:&quot;&quot;},{&quot;family&quot;:&quot;Wu&quot;,&quot;given&quot;:&quot;Xiaowei&quot;,&quot;parse-names&quot;:false,&quot;dropping-particle&quot;:&quot;&quot;,&quot;non-dropping-particle&quot;:&quot;&quot;}],&quot;container-title&quot;:&quot;Frontiers in Plant Science&quot;,&quot;container-title-short&quot;:&quot;Front. Plant Sci.&quot;,&quot;DOI&quot;:&quot;10.3389/fpls.2022.1079384&quot;,&quot;ISSN&quot;:&quot;1664462X&quot;,&quot;issued&quot;:{&quot;date-parts&quot;:[[2022,12,16]]},&quot;abstract&quot;:&quot;Light traps have been widely used for automatic monitoring of pests in the field as an alternative to time-consuming and labor-intensive manual investigations. However, the scale variation, complex background and dense distribution of pests in light-trap images bring challenges to the rapid and accurate detection when utilizing vision technology. To overcome these challenges, in this paper, we put forward a lightweight pest detection model, AgriPest-YOLO, for achieving a well-balanced between efficiency, accuracy and model size for pest detection. Firstly, we propose a coordination and local attention (CLA) mechanism for obtaining richer and smoother pest features as well as reducing the interference of noise, especially for pests with complex backgrounds. Secondly, a novel grouping spatial pyramid pooling fast (GSPPF) is designed, which enriches the multi-scale representation of pest features via fusing multiple receptive fields of different scale features. Finally, soft-NMS is introduced in the prediction layer to optimize the final prediction results of overlapping pests. We evaluated the performance of our method on a large scale multi pest image dataset containing 24 classes and 25k images. Experimental results show that AgriPest-YOLO achieves end-to-end real-time pest detection with high accuracy, obtaining 71.3% mAP on the test dataset, outperforming the classical detection models (Faster RCNN, Cascade RCNN, Dynamic RCNN,YOLOX and YOLOv4) and lightweight detection models (Mobilenetv3-YOLOv4, YOLOv5 and YOLOv4-tiny), meanwhile our method demonstrates better balanced performance in terms of model size, detection speed and accuracy. The method has good accuracy and efficiency in detecting multi-class pests from light-trap images which is a key component of pest forecasting and intelligent pest monitoring technology.&quot;,&quot;publisher&quot;:&quot;Frontiers Media S.A.&quot;,&quot;volume&quot;:&quot;13&quot;},&quot;isTemporary&quot;:false}]},{&quot;citationID&quot;:&quot;MENDELEY_CITATION_4325b097-e5ef-4da3-b722-2c8bae77a0ba&quot;,&quot;properties&quot;:{&quot;noteIndex&quot;:0},&quot;isEdited&quot;:false,&quot;manualOverride&quot;:{&quot;isManuallyOverridden&quot;:false,&quot;citeprocText&quot;:&quot;[3]&quot;,&quot;manualOverrideText&quot;:&quot;&quot;},&quot;citationTag&quot;:&quot;MENDELEY_CITATION_v3_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&quot;,&quot;citationItems&quot;:[{&quot;id&quot;:&quot;7959f38c-0bda-3e75-8338-2383db402288&quot;,&quot;itemData&quot;:{&quot;type&quot;:&quot;article-journal&quot;,&quot;id&quot;:&quot;7959f38c-0bda-3e75-8338-2383db402288&quot;,&quot;title&quot;:&quot;SAW-YOLO: A Multi-Scale YOLO for Small Target Citrus Pests Detection&quot;,&quot;author&quot;:[{&quot;family&quot;:&quot;Wu&quot;,&quot;given&quot;:&quot;Xiaojiang&quot;,&quot;parse-names&quot;:false,&quot;dropping-particle&quot;:&quot;&quot;,&quot;non-dropping-particle&quot;:&quot;&quot;},{&quot;family&quot;:&quot;Liang&quot;,&quot;given&quot;:&quot;Jinzhe&quot;,&quot;parse-names&quot;:false,&quot;dropping-particle&quot;:&quot;&quot;,&quot;non-dropping-particle&quot;:&quot;&quot;},{&quot;family&quot;:&quot;Yang&quot;,&quot;given&quot;:&quot;Yiyu&quot;,&quot;parse-names&quot;:false,&quot;dropping-particle&quot;:&quot;&quot;,&quot;non-dropping-particle&quot;:&quot;&quot;},{&quot;family&quot;:&quot;Li&quot;,&quot;given&quot;:&quot;Zhenghao&quot;,&quot;parse-names&quot;:false,&quot;dropping-particle&quot;:&quot;&quot;,&quot;non-dropping-particle&quot;:&quot;&quot;},{&quot;family&quot;:&quot;Jia&quot;,&quot;given&quot;:&quot;Xinyu&quot;,&quot;parse-names&quot;:false,&quot;dropping-particle&quot;:&quot;&quot;,&quot;non-dropping-particle&quot;:&quot;&quot;},{&quot;family&quot;:&quot;Pu&quot;,&quot;given&quot;:&quot;Haibo&quot;,&quot;parse-names&quot;:false,&quot;dropping-particle&quot;:&quot;&quot;,&quot;non-dropping-particle&quot;:&quot;&quot;},{&quot;family&quot;:&quot;Zhu&quot;,&quot;given&quot;:&quot;Peng&quot;,&quot;parse-names&quot;:false,&quot;dropping-particle&quot;:&quot;&quot;,&quot;non-dropping-particle&quot;:&quot;&quot;}],&quot;container-title&quot;:&quot;Agronomy&quot;,&quot;DOI&quot;:&quot;10.3390/agronomy14071571&quot;,&quot;ISSN&quot;:&quot;20734395&quot;,&quot;issued&quot;:{&quot;date-parts&quot;:[[2024,7,1]]},&quot;abstract&quot;:&quot;Citrus pests pose a major threat to both citrus yield and fruit quality. The early prevention of pests is essential for sustainable citrus cultivation, cost savings, and the reduction of environmental pollution. Despite the increasing application of deep learning techniques in agriculture, the performance of existing models for small target detection of citrus pests is limited, mainly in terms of information bottlenecks that occur during the transfer of information. This hinders its effectiveness in fully automating the detection of citrus pests. In this study, a new approach was introduced to overcome these limitations. Firstly, a comprehensive large-scale dataset named IP-CitrusPests13 was developed, encompassing 13 distinct citrus pest categories. This dataset was amalgamated from IP102 and web crawlers, serving as a fundamental resource for precision-oriented pest detection tasks in citrus farming. Web crawlers can supplement information on various forms of pests and changes in pest size. Using this comprehensive dataset, we employed the SPD Module in the backbone network to preserve fine-grained information and prevent the model from losing important information as the depth increased. In addition, we introduced the AFFD Head detection module into the YOLOv8 architecture, which has two important functions that effectively integrate shallow and deep information to improve the learning ability of the model. Optimizing the bounding box loss function to WIoU v3 (Wise-IoU v3), which focuses on medium-quality anchor frames, sped up the convergence of the network. Experimental evaluation on a test set showed that the proposed SAW-YOLO (SPD Module, AFFD, WIoU v3) model achieved an average accuracy of 90.3%, which is 3.3% higher than the benchmark YOLOv8n model. Without any significant enlargement in the model size, state-of-the-art (SOTA) performance can be achieved in small target detection. To validate the robustness of the model against pests of various sizes, the SAW-YOLO model showed improved detection performance on all three scales of pests, significantly reducing the rate of missed detections. Our experimental results show that the SAW-YOLO model performs well in the detection of multiple pest classes in citrus orchards, helping to advance smart planting practices in the citrus industry.&quot;,&quot;publisher&quot;:&quot;Multidisciplinary Digital Publishing Institute (MDPI)&quot;,&quot;issue&quot;:&quot;7&quot;,&quot;volume&quot;:&quot;14&quot;,&quot;container-title-short&quot;:&quot;&quot;},&quot;isTemporary&quot;:false}]},{&quot;citationID&quot;:&quot;MENDELEY_CITATION_e592f100-0311-44d5-9abe-8fd2e651cfda&quot;,&quot;properties&quot;:{&quot;noteIndex&quot;:0},&quot;isEdited&quot;:false,&quot;manualOverride&quot;:{&quot;isManuallyOverridden&quot;:false,&quot;citeprocText&quot;:&quot;[4]&quot;,&quot;manualOverrideText&quot;:&quot;&quot;},&quot;citationTag&quot;:&quot;MENDELEY_CITATION_v3_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&quot;,&quot;citationItems&quot;:[{&quot;id&quot;:&quot;f5d58ea3-43f3-321a-a3a6-c259d289310a&quot;,&quot;itemData&quot;:{&quot;type&quot;:&quot;article-journal&quot;,&quot;id&quot;:&quot;f5d58ea3-43f3-321a-a3a6-c259d289310a&quot;,&quot;title&quot;:&quot;Towards Open World Object Detection&quot;,&quot;author&quot;:[{&quot;family&quot;:&quot;Joseph&quot;,&quot;given&quot;:&quot;K J&quot;,&quot;parse-names&quot;:false,&quot;dropping-particle&quot;:&quot;&quot;,&quot;non-dropping-particle&quot;:&quot;&quot;},{&quot;family&quot;:&quot;Khan&quot;,&quot;given&quot;:&quot;Salman&quot;,&quot;parse-names&quot;:false,&quot;dropping-particle&quot;:&quot;&quot;,&quot;non-dropping-particle&quot;:&quot;&quot;},{&quot;family&quot;:&quot;Khan&quot;,&quot;given&quot;:&quot;Fahad Shahbaz&quot;,&quot;parse-names&quot;:false,&quot;dropping-particle&quot;:&quot;&quot;,&quot;non-dropping-particle&quot;:&quot;&quot;},{&quot;family&quot;:&quot;Balasubramanian&quot;,&quot;given&quot;:&quot;Vineeth N&quot;,&quot;parse-names&quot;:false,&quot;dropping-particle&quot;:&quot;&quot;,&quot;non-dropping-particle&quot;:&quot;&quot;}],&quot;URL&quot;:&quot;http://arxiv.org/abs/2103.02603&quot;,&quot;issued&quot;:{&quot;date-parts&quot;:[[2021,5,9]]},&quot;abstract&quot;:&quot;Humans have a natural instinct to identify unknown object instances in their environments. The intrinsic curiosity about these unknown instances aids in learning about them, when the corresponding knowledge is eventually available. This motivates us to propose a novel computer vision problem called: `Open World Object Detection', where a model is tasked to: 1) identify objects that have not been introduced to it as `unknown', without explicit supervision to do so, and 2) incrementally learn these identified unknown categories without forgetting previously learned classes, when the corresponding labels are progressively received. We formulate the problem, introduce a strong evaluation protocol and provide a novel solution, which we call ORE: Open World Object Detector, based on contrastive clustering and energy based unknown identification. Our experimental evaluation and ablation studies analyze the efficacy of ORE in achieving Open World objectives. As an interesting by-product, we find that identifying and characterizing unknown instances helps to reduce confusion in an incremental object detection setting, where we achieve state-of-the-art performance, with no extra methodological effort. We hope that our work will attract further research into this newly identified, yet crucial research direction.&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purl.oclc.org/ooxml/officeDocument/bibliography" xmlns="http://purl.oclc.org/ooxml/officeDocument/bibliography" SelectedStyle="\APA.XSL" StyleName="APA"/>
</file>

<file path=customXml/itemProps1.xml><?xml version="1.0" encoding="utf-8"?>
<ds:datastoreItem xmlns:ds="http://purl.oclc.org/ooxml/officeDocument/customXml" ds:itemID="{174953BD-B001-433D-BAEA-84E6680CEBE7}">
  <ds:schemaRefs>
    <ds:schemaRef ds:uri="http://purl.oclc.org/ooxml/officeDocument/bibliography"/>
  </ds:schemaRefs>
</ds:datastoreItem>
</file>

<file path=docProps/app.xml><?xml version="1.0" encoding="utf-8"?>
<Properties xmlns="http://purl.oclc.org/ooxml/officeDocument/extendedProperties" xmlns:vt="http://purl.oclc.org/ooxml/officeDocument/docPropsVTypes">
  <Template>Normal</Template>
  <TotalTime>757</TotalTime>
  <Pages>1</Pages>
  <Words>3726</Words>
  <Characters>21244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 Truong</cp:lastModifiedBy>
  <cp:revision>17</cp:revision>
  <dcterms:created xsi:type="dcterms:W3CDTF">2024-07-16T13:39:00Z</dcterms:created>
  <dcterms:modified xsi:type="dcterms:W3CDTF">2026-08-03T03:57:00Z</dcterms:modified>
</cp:coreProperties>
</file>