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Chương 1</w:t>
      </w:r>
    </w:p>
    <w:p>
      <w:pPr>
        <w:pStyle w:val="Heading2"/>
      </w:pPr>
      <w:r>
        <w:t xml:space="preserve">Cảnh 1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pPr>
        <w:pStyle w:val="Heading2"/>
      </w:pPr>
      <w:r>
        <w:t xml:space="preserve">Cảnh 2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pPr>
        <w:pStyle w:val="Heading1"/>
      </w:pPr>
      <w:r>
        <w:t xml:space="preserve">Chương 2</w:t>
      </w:r>
    </w:p>
    <w:p>
      <w:pPr>
        <w:pStyle w:val="Heading2"/>
      </w:pPr>
      <w:r>
        <w:t xml:space="preserve">Cảnh 1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pPr>
        <w:pStyle w:val="Heading2"/>
      </w:pPr>
      <w:r>
        <w:t xml:space="preserve">Cảnh 2</w:t>
      </w:r>
    </w:p>
    <w:p>
      <w:r>
        <w:t xml:space="preserve">Con đò chở khách qua sông từ sáng đến tối, mỗi chuyến chừng mười lăm phút, và người lái đò nhớ mặt từng người.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