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[Vận dụng cơ bản] Phân loại các phân hệ HTTT RikkeiExpress</w:t>
      </w:r>
    </w:p>
    <w:p/>
    <w:p>
      <w:r>
        <w:rPr>
          <w:b/>
          <w:sz w:val="28"/>
        </w:rPr>
        <w:t>PHẦN 1 – Phân loại các phân hệ HTTT</w:t>
      </w:r>
    </w:p>
    <w:p>
      <w:r>
        <w:t>Các lỗi phân loại của thực tập sinh:</w:t>
      </w:r>
    </w:p>
    <w:p>
      <w:pPr>
        <w:pStyle w:val="ListBullet"/>
      </w:pPr>
      <w:r>
        <w:t>Báo cáo tổng hợp doanh thu tháng cho Trưởng bưu cục: MIS, không phải TPS.</w:t>
      </w:r>
    </w:p>
    <w:p>
      <w:pPr>
        <w:pStyle w:val="ListBullet"/>
      </w:pPr>
      <w:r>
        <w:t>Phân tích dự báo điểm nóng quá tải đơn hàng mùa Tết: DSS, không phải TPS.</w:t>
      </w:r>
    </w:p>
    <w:p>
      <w:pPr>
        <w:pStyle w:val="ListBullet"/>
      </w:pPr>
      <w:r>
        <w:t>Tài xế bấm “Đã lấy hàng”: TPS, không phải MIS.</w:t>
      </w:r>
    </w:p>
    <w:p>
      <w:pPr>
        <w:pStyle w:val="ListBullet"/>
      </w:pPr>
      <w:r>
        <w:t>Nhân viên kho quét mã vạch nhập kho: TPS, không phải MIS.</w:t>
      </w:r>
    </w:p>
    <w:p>
      <w:pPr>
        <w:pStyle w:val="ListBullet"/>
      </w:pPr>
      <w:r>
        <w:t>In phiếu cước giao hàng: TPS, không phải DSS.</w:t>
      </w:r>
    </w:p>
    <w:p>
      <w:r>
        <w:t>Bảng phân loại đúng:</w:t>
      </w:r>
    </w:p>
    <w:tbl>
      <w:tblPr>
        <w:tblStyle w:val="TableGrid"/>
        <w:tblW w:type="auto" w:w="0"/>
        <w:tblLook w:firstColumn="1" w:firstRow="1" w:lastColumn="0" w:lastRow="0" w:noHBand="0" w:noVBand="1" w:val="04A0"/>
      </w:tblPr>
      <w:tblGrid>
        <w:gridCol w:w="2880"/>
        <w:gridCol w:w="2880"/>
        <w:gridCol w:w="2880"/>
      </w:tblGrid>
      <w:tr>
        <w:tc>
          <w:tcPr>
            <w:tcW w:type="dxa" w:w="2880"/>
          </w:tcPr>
          <w:p>
            <w:r>
              <w:t>Phân hệ</w:t>
            </w:r>
          </w:p>
        </w:tc>
        <w:tc>
          <w:tcPr>
            <w:tcW w:type="dxa" w:w="2880"/>
          </w:tcPr>
          <w:p>
            <w:r>
              <w:t>Mục đích</w:t>
            </w:r>
          </w:p>
        </w:tc>
        <w:tc>
          <w:tcPr>
            <w:tcW w:type="dxa" w:w="2880"/>
          </w:tcPr>
          <w:p>
            <w:r>
              <w:t>Ví dụ</w:t>
            </w:r>
          </w:p>
        </w:tc>
      </w:tr>
      <w:tr>
        <w:tc>
          <w:tcPr>
            <w:tcW w:type="dxa" w:w="2880"/>
          </w:tcPr>
          <w:p>
            <w:r>
              <w:t>TPS</w:t>
            </w:r>
          </w:p>
        </w:tc>
        <w:tc>
          <w:tcPr>
            <w:tcW w:type="dxa" w:w="2880"/>
          </w:tcPr>
          <w:p>
            <w:r>
              <w:t>Xử lý giao dịch hằng ngày</w:t>
            </w:r>
          </w:p>
        </w:tc>
        <w:tc>
          <w:tcPr>
            <w:tcW w:type="dxa" w:w="2880"/>
          </w:tcPr>
          <w:p>
            <w:r>
              <w:t>Bấm Đã lấy hàng; quét mã nhập kho; in phiếu cước</w:t>
            </w:r>
          </w:p>
        </w:tc>
      </w:tr>
      <w:tr>
        <w:tc>
          <w:tcPr>
            <w:tcW w:type="dxa" w:w="2880"/>
          </w:tcPr>
          <w:p>
            <w:r>
              <w:t>MIS</w:t>
            </w:r>
          </w:p>
        </w:tc>
        <w:tc>
          <w:tcPr>
            <w:tcW w:type="dxa" w:w="2880"/>
          </w:tcPr>
          <w:p>
            <w:r>
              <w:t>Báo cáo, thống kê cho quản lý</w:t>
            </w:r>
          </w:p>
        </w:tc>
        <w:tc>
          <w:tcPr>
            <w:tcW w:type="dxa" w:w="2880"/>
          </w:tcPr>
          <w:p>
            <w:r>
              <w:t>Báo cáo doanh thu tháng; thống kê đơn giao tuần trước</w:t>
            </w:r>
          </w:p>
        </w:tc>
      </w:tr>
      <w:tr>
        <w:tc>
          <w:tcPr>
            <w:tcW w:type="dxa" w:w="2880"/>
          </w:tcPr>
          <w:p>
            <w:r>
              <w:t>DSS</w:t>
            </w:r>
          </w:p>
        </w:tc>
        <w:tc>
          <w:tcPr>
            <w:tcW w:type="dxa" w:w="2880"/>
          </w:tcPr>
          <w:p>
            <w:r>
              <w:t>Phân tích, dự báo hỗ trợ quyết định</w:t>
            </w:r>
          </w:p>
        </w:tc>
        <w:tc>
          <w:tcPr>
            <w:tcW w:type="dxa" w:w="2880"/>
          </w:tcPr>
          <w:p>
            <w:r>
              <w:t>Dự báo quá tải mùa Tết; dự báo nhu cầu 3 tháng</w:t>
            </w:r>
          </w:p>
        </w:tc>
      </w:tr>
    </w:tbl>
    <w:p>
      <w:r>
        <w:t>Ghi nhớ: TPS = giao dịch hằng ngày; MIS = báo cáo, thống kê; DSS = phân tích, dự báo.</w:t>
      </w:r>
    </w:p>
    <w:p>
      <w:r>
        <w:rPr>
          <w:b/>
          <w:sz w:val="28"/>
        </w:rPr>
        <w:t>PHẦN 2 – Giải thích và viết mã Python</w:t>
      </w:r>
    </w:p>
    <w:p>
      <w:r>
        <w:t>TPS cần tốc độ và độ chính xác cao vì xử lý các giao dịch hằng ngày. Nếu xử lý chậm hoặc sai sẽ làm chậm giao hàng, sai dữ liệu đơn hàng và ảnh hưởng đến khách hàng.</w:t>
      </w:r>
    </w:p>
    <w:p>
      <w:r>
        <w:rPr>
          <w:rFonts w:ascii="Consolas" w:hAnsi="Consolas"/>
          <w:sz w:val="20"/>
        </w:rPr>
        <w:t>def classify_logistics_feature(feature_name):</w:t>
        <w:br/>
        <w:t xml:space="preserve">    feature = feature_name.lower()</w:t>
        <w:br/>
        <w:br/>
        <w:t xml:space="preserve">    if "tài xế" in feature or "quét mã" in feature or "in phiếu" in feature:</w:t>
        <w:br/>
        <w:t xml:space="preserve">        return "TPS"</w:t>
        <w:br/>
        <w:br/>
        <w:t xml:space="preserve">    if "báo cáo" in feature or "thống kê" in feature:</w:t>
        <w:br/>
        <w:t xml:space="preserve">        return "MIS"</w:t>
        <w:br/>
        <w:br/>
        <w:t xml:space="preserve">    if "dự báo" in feature or "phân tích" in feature:</w:t>
        <w:br/>
        <w:t xml:space="preserve">        return "DSS"</w:t>
        <w:br/>
        <w:br/>
        <w:t xml:space="preserve">    return "Không xác định"</w:t>
        <w:br/>
      </w:r>
    </w:p>
    <w:p>
      <w:r>
        <w:t>Ví dụ kết quả:</w:t>
      </w:r>
    </w:p>
    <w:p>
      <w:pPr>
        <w:pStyle w:val="ListBullet"/>
      </w:pPr>
      <w:r>
        <w:t>Tài xế bấm “Đã lấy hàng” → TPS</w:t>
      </w:r>
    </w:p>
    <w:p>
      <w:pPr>
        <w:pStyle w:val="ListBullet"/>
      </w:pPr>
      <w:r>
        <w:t>Nhân viên kho quét mã vạch nhập kho → TPS</w:t>
      </w:r>
    </w:p>
    <w:p>
      <w:pPr>
        <w:pStyle w:val="ListBullet"/>
      </w:pPr>
      <w:r>
        <w:t>In phiếu cước giao hàng → TPS</w:t>
      </w:r>
    </w:p>
    <w:p>
      <w:pPr>
        <w:pStyle w:val="ListBullet"/>
      </w:pPr>
      <w:r>
        <w:t>Báo cáo tổng hợp doanh thu tháng → MIS</w:t>
      </w:r>
    </w:p>
    <w:p>
      <w:pPr>
        <w:pStyle w:val="ListBullet"/>
      </w:pPr>
      <w:r>
        <w:t>Dự báo điểm nóng quá tải đơn hàng mùa Tết → DSS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