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PHÂN BIỆT ACCEPTANCE CRITERIA VÀ DEFINITION OF DONE</w:t>
        <w:br/>
        <w:t>CHO CHỨC NĂNG THANH TOÁN VÍ</w:t>
      </w:r>
    </w:p>
    <w:p>
      <w:pPr>
        <w:pStyle w:val="Heading2"/>
      </w:pPr>
      <w:r>
        <w:t>Phần 1 - Phân tích</w:t>
      </w:r>
    </w:p>
    <w:p>
      <w:r>
        <w:t>Lập bảng phân loại Đ1–Đ5 theo Acceptance Criteria (AC) và Definition of Done (DoD), đồng thời đánh giá mức độ đạt của từng phát biểu.</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680"/>
            <w:vAlign w:val="center"/>
            <w:tcMar>
              <w:top w:w="80" w:type="dxa"/>
              <w:start w:w="80" w:type="dxa"/>
              <w:bottom w:w="80" w:type="dxa"/>
              <w:end w:w="80" w:type="dxa"/>
            </w:tcMar>
            <w:shd w:fill="D9EAF7"/>
          </w:tcPr>
          <w:p>
            <w:r>
              <w:rPr>
                <w:rFonts w:ascii="Times New Roman" w:hAnsi="Times New Roman"/>
                <w:b/>
                <w:sz w:val="20"/>
              </w:rPr>
              <w:t>Phát biểu</w:t>
            </w:r>
          </w:p>
        </w:tc>
        <w:tc>
          <w:tcPr>
            <w:tcW w:type="dxa" w:w="1361"/>
            <w:vAlign w:val="center"/>
            <w:tcMar>
              <w:top w:w="80" w:type="dxa"/>
              <w:start w:w="80" w:type="dxa"/>
              <w:bottom w:w="80" w:type="dxa"/>
              <w:end w:w="80" w:type="dxa"/>
            </w:tcMar>
            <w:shd w:fill="D9EAF7"/>
          </w:tcPr>
          <w:p>
            <w:r>
              <w:rPr>
                <w:rFonts w:ascii="Times New Roman" w:hAnsi="Times New Roman"/>
                <w:b/>
                <w:sz w:val="20"/>
              </w:rPr>
              <w:t>AC hay DoD</w:t>
            </w:r>
          </w:p>
        </w:tc>
        <w:tc>
          <w:tcPr>
            <w:tcW w:type="dxa" w:w="1247"/>
            <w:vAlign w:val="center"/>
            <w:tcMar>
              <w:top w:w="80" w:type="dxa"/>
              <w:start w:w="80" w:type="dxa"/>
              <w:bottom w:w="80" w:type="dxa"/>
              <w:end w:w="80" w:type="dxa"/>
            </w:tcMar>
            <w:shd w:fill="D9EAF7"/>
          </w:tcPr>
          <w:p>
            <w:r>
              <w:rPr>
                <w:rFonts w:ascii="Times New Roman" w:hAnsi="Times New Roman"/>
                <w:b/>
                <w:sz w:val="20"/>
              </w:rPr>
              <w:t>Đạt/Chưa đạt</w:t>
            </w:r>
          </w:p>
        </w:tc>
        <w:tc>
          <w:tcPr>
            <w:tcW w:type="dxa" w:w="5953"/>
            <w:vAlign w:val="center"/>
            <w:tcMar>
              <w:top w:w="80" w:type="dxa"/>
              <w:start w:w="80" w:type="dxa"/>
              <w:bottom w:w="80" w:type="dxa"/>
              <w:end w:w="80" w:type="dxa"/>
            </w:tcMar>
            <w:shd w:fill="D9EAF7"/>
          </w:tcPr>
          <w:p>
            <w:r>
              <w:rPr>
                <w:rFonts w:ascii="Times New Roman" w:hAnsi="Times New Roman"/>
                <w:b/>
                <w:sz w:val="20"/>
              </w:rPr>
              <w:t>Lý do</w:t>
            </w:r>
          </w:p>
        </w:tc>
      </w:tr>
      <w:tr>
        <w:tc>
          <w:tcPr>
            <w:tcW w:type="dxa" w:w="680"/>
            <w:vAlign w:val="center"/>
            <w:tcMar>
              <w:top w:w="80" w:type="dxa"/>
              <w:start w:w="80" w:type="dxa"/>
              <w:bottom w:w="80" w:type="dxa"/>
              <w:end w:w="80" w:type="dxa"/>
            </w:tcMar>
          </w:tcPr>
          <w:p>
            <w:pPr>
              <w:spacing w:after="40"/>
            </w:pPr>
            <w:r>
              <w:rPr>
                <w:rFonts w:ascii="Times New Roman" w:hAnsi="Times New Roman"/>
                <w:sz w:val="20"/>
              </w:rPr>
              <w:t>Đ1</w:t>
            </w:r>
          </w:p>
        </w:tc>
        <w:tc>
          <w:tcPr>
            <w:tcW w:type="dxa" w:w="1361"/>
            <w:vAlign w:val="center"/>
            <w:tcMar>
              <w:top w:w="80" w:type="dxa"/>
              <w:start w:w="80" w:type="dxa"/>
              <w:bottom w:w="80" w:type="dxa"/>
              <w:end w:w="80" w:type="dxa"/>
            </w:tcMar>
          </w:tcPr>
          <w:p>
            <w:pPr>
              <w:spacing w:after="40"/>
            </w:pPr>
            <w:r>
              <w:rPr>
                <w:rFonts w:ascii="Times New Roman" w:hAnsi="Times New Roman"/>
                <w:sz w:val="20"/>
              </w:rPr>
              <w:t>AC</w:t>
            </w:r>
          </w:p>
        </w:tc>
        <w:tc>
          <w:tcPr>
            <w:tcW w:type="dxa" w:w="1247"/>
            <w:vAlign w:val="center"/>
            <w:tcMar>
              <w:top w:w="80" w:type="dxa"/>
              <w:start w:w="80" w:type="dxa"/>
              <w:bottom w:w="80" w:type="dxa"/>
              <w:end w:w="80" w:type="dxa"/>
            </w:tcMar>
          </w:tcPr>
          <w:p>
            <w:pPr>
              <w:spacing w:after="40"/>
            </w:pPr>
            <w:r>
              <w:rPr>
                <w:rFonts w:ascii="Times New Roman" w:hAnsi="Times New Roman"/>
                <w:sz w:val="20"/>
              </w:rPr>
              <w:t>Đạt</w:t>
            </w:r>
          </w:p>
        </w:tc>
        <w:tc>
          <w:tcPr>
            <w:tcW w:type="dxa" w:w="5953"/>
            <w:vAlign w:val="center"/>
            <w:tcMar>
              <w:top w:w="80" w:type="dxa"/>
              <w:start w:w="80" w:type="dxa"/>
              <w:bottom w:w="80" w:type="dxa"/>
              <w:end w:w="80" w:type="dxa"/>
            </w:tcMar>
          </w:tcPr>
          <w:p>
            <w:pPr>
              <w:spacing w:after="40"/>
            </w:pPr>
            <w:r>
              <w:rPr>
                <w:rFonts w:ascii="Times New Roman" w:hAnsi="Times New Roman"/>
                <w:sz w:val="20"/>
              </w:rPr>
              <w:t>Tiêu chí riêng cho story thanh toán, viết theo Given–When–Then và có kết quả kiểm chứng được: chuyến chuyển sang “Đã thanh toán” và ví bị trừ đúng tiền cước khi số dư đủ.</w:t>
            </w:r>
          </w:p>
        </w:tc>
      </w:tr>
      <w:tr>
        <w:tc>
          <w:tcPr>
            <w:tcW w:type="dxa" w:w="680"/>
            <w:vAlign w:val="center"/>
            <w:tcMar>
              <w:top w:w="80" w:type="dxa"/>
              <w:start w:w="80" w:type="dxa"/>
              <w:bottom w:w="80" w:type="dxa"/>
              <w:end w:w="80" w:type="dxa"/>
            </w:tcMar>
          </w:tcPr>
          <w:p>
            <w:pPr>
              <w:spacing w:after="40"/>
            </w:pPr>
            <w:r>
              <w:rPr>
                <w:rFonts w:ascii="Times New Roman" w:hAnsi="Times New Roman"/>
                <w:sz w:val="20"/>
              </w:rPr>
              <w:t>Đ2</w:t>
            </w:r>
          </w:p>
        </w:tc>
        <w:tc>
          <w:tcPr>
            <w:tcW w:type="dxa" w:w="1361"/>
            <w:vAlign w:val="center"/>
            <w:tcMar>
              <w:top w:w="80" w:type="dxa"/>
              <w:start w:w="80" w:type="dxa"/>
              <w:bottom w:w="80" w:type="dxa"/>
              <w:end w:w="80" w:type="dxa"/>
            </w:tcMar>
          </w:tcPr>
          <w:p>
            <w:pPr>
              <w:spacing w:after="40"/>
            </w:pPr>
            <w:r>
              <w:rPr>
                <w:rFonts w:ascii="Times New Roman" w:hAnsi="Times New Roman"/>
                <w:sz w:val="20"/>
              </w:rPr>
              <w:t>DoD</w:t>
            </w:r>
          </w:p>
        </w:tc>
        <w:tc>
          <w:tcPr>
            <w:tcW w:type="dxa" w:w="1247"/>
            <w:vAlign w:val="center"/>
            <w:tcMar>
              <w:top w:w="80" w:type="dxa"/>
              <w:start w:w="80" w:type="dxa"/>
              <w:bottom w:w="80" w:type="dxa"/>
              <w:end w:w="80" w:type="dxa"/>
            </w:tcMar>
          </w:tcPr>
          <w:p>
            <w:pPr>
              <w:spacing w:after="40"/>
            </w:pPr>
            <w:r>
              <w:rPr>
                <w:rFonts w:ascii="Times New Roman" w:hAnsi="Times New Roman"/>
                <w:sz w:val="20"/>
              </w:rPr>
              <w:t>Đạt</w:t>
            </w:r>
          </w:p>
        </w:tc>
        <w:tc>
          <w:tcPr>
            <w:tcW w:type="dxa" w:w="5953"/>
            <w:vAlign w:val="center"/>
            <w:tcMar>
              <w:top w:w="80" w:type="dxa"/>
              <w:start w:w="80" w:type="dxa"/>
              <w:bottom w:w="80" w:type="dxa"/>
              <w:end w:w="80" w:type="dxa"/>
            </w:tcMar>
          </w:tcPr>
          <w:p>
            <w:pPr>
              <w:spacing w:after="40"/>
            </w:pPr>
            <w:r>
              <w:rPr>
                <w:rFonts w:ascii="Times New Roman" w:hAnsi="Times New Roman"/>
                <w:sz w:val="20"/>
              </w:rPr>
              <w:t>Code được ít nhất một Developer khác review trước khi merge là chuẩn chất lượng chung của quá trình phát triển, không phải kết quả nghiệp vụ riêng của story.</w:t>
            </w:r>
          </w:p>
        </w:tc>
      </w:tr>
      <w:tr>
        <w:tc>
          <w:tcPr>
            <w:tcW w:type="dxa" w:w="680"/>
            <w:vAlign w:val="center"/>
            <w:tcMar>
              <w:top w:w="80" w:type="dxa"/>
              <w:start w:w="80" w:type="dxa"/>
              <w:bottom w:w="80" w:type="dxa"/>
              <w:end w:w="80" w:type="dxa"/>
            </w:tcMar>
          </w:tcPr>
          <w:p>
            <w:pPr>
              <w:spacing w:after="40"/>
            </w:pPr>
            <w:r>
              <w:rPr>
                <w:rFonts w:ascii="Times New Roman" w:hAnsi="Times New Roman"/>
                <w:sz w:val="20"/>
              </w:rPr>
              <w:t>Đ3</w:t>
            </w:r>
          </w:p>
        </w:tc>
        <w:tc>
          <w:tcPr>
            <w:tcW w:type="dxa" w:w="1361"/>
            <w:vAlign w:val="center"/>
            <w:tcMar>
              <w:top w:w="80" w:type="dxa"/>
              <w:start w:w="80" w:type="dxa"/>
              <w:bottom w:w="80" w:type="dxa"/>
              <w:end w:w="80" w:type="dxa"/>
            </w:tcMar>
          </w:tcPr>
          <w:p>
            <w:pPr>
              <w:spacing w:after="40"/>
            </w:pPr>
            <w:r>
              <w:rPr>
                <w:rFonts w:ascii="Times New Roman" w:hAnsi="Times New Roman"/>
                <w:sz w:val="20"/>
              </w:rPr>
              <w:t>AC</w:t>
            </w:r>
          </w:p>
        </w:tc>
        <w:tc>
          <w:tcPr>
            <w:tcW w:type="dxa" w:w="1247"/>
            <w:vAlign w:val="center"/>
            <w:tcMar>
              <w:top w:w="80" w:type="dxa"/>
              <w:start w:w="80" w:type="dxa"/>
              <w:bottom w:w="80" w:type="dxa"/>
              <w:end w:w="80" w:type="dxa"/>
            </w:tcMar>
          </w:tcPr>
          <w:p>
            <w:pPr>
              <w:spacing w:after="40"/>
            </w:pPr>
            <w:r>
              <w:rPr>
                <w:rFonts w:ascii="Times New Roman" w:hAnsi="Times New Roman"/>
                <w:sz w:val="20"/>
              </w:rPr>
              <w:t>Chưa đạt</w:t>
            </w:r>
          </w:p>
        </w:tc>
        <w:tc>
          <w:tcPr>
            <w:tcW w:type="dxa" w:w="5953"/>
            <w:vAlign w:val="center"/>
            <w:tcMar>
              <w:top w:w="80" w:type="dxa"/>
              <w:start w:w="80" w:type="dxa"/>
              <w:bottom w:w="80" w:type="dxa"/>
              <w:end w:w="80" w:type="dxa"/>
            </w:tcMar>
          </w:tcPr>
          <w:p>
            <w:pPr>
              <w:spacing w:after="40"/>
            </w:pPr>
            <w:r>
              <w:rPr>
                <w:rFonts w:ascii="Times New Roman" w:hAnsi="Times New Roman"/>
                <w:sz w:val="20"/>
              </w:rPr>
              <w:t>Đây là mong muốn liên quan trực tiếp đến chức năng thanh toán của story, nhưng “nhanh, mượt, khách dùng thấy thích” mang tính cảm tính, không có ngưỡng cụ thể để kiểm thử.</w:t>
            </w:r>
          </w:p>
        </w:tc>
      </w:tr>
      <w:tr>
        <w:tc>
          <w:tcPr>
            <w:tcW w:type="dxa" w:w="680"/>
            <w:vAlign w:val="center"/>
            <w:tcMar>
              <w:top w:w="80" w:type="dxa"/>
              <w:start w:w="80" w:type="dxa"/>
              <w:bottom w:w="80" w:type="dxa"/>
              <w:end w:w="80" w:type="dxa"/>
            </w:tcMar>
          </w:tcPr>
          <w:p>
            <w:pPr>
              <w:spacing w:after="40"/>
            </w:pPr>
            <w:r>
              <w:rPr>
                <w:rFonts w:ascii="Times New Roman" w:hAnsi="Times New Roman"/>
                <w:sz w:val="20"/>
              </w:rPr>
              <w:t>Đ4</w:t>
            </w:r>
          </w:p>
        </w:tc>
        <w:tc>
          <w:tcPr>
            <w:tcW w:type="dxa" w:w="1361"/>
            <w:vAlign w:val="center"/>
            <w:tcMar>
              <w:top w:w="80" w:type="dxa"/>
              <w:start w:w="80" w:type="dxa"/>
              <w:bottom w:w="80" w:type="dxa"/>
              <w:end w:w="80" w:type="dxa"/>
            </w:tcMar>
          </w:tcPr>
          <w:p>
            <w:pPr>
              <w:spacing w:after="40"/>
            </w:pPr>
            <w:r>
              <w:rPr>
                <w:rFonts w:ascii="Times New Roman" w:hAnsi="Times New Roman"/>
                <w:sz w:val="20"/>
              </w:rPr>
              <w:t>AC</w:t>
            </w:r>
          </w:p>
        </w:tc>
        <w:tc>
          <w:tcPr>
            <w:tcW w:type="dxa" w:w="1247"/>
            <w:vAlign w:val="center"/>
            <w:tcMar>
              <w:top w:w="80" w:type="dxa"/>
              <w:start w:w="80" w:type="dxa"/>
              <w:bottom w:w="80" w:type="dxa"/>
              <w:end w:w="80" w:type="dxa"/>
            </w:tcMar>
          </w:tcPr>
          <w:p>
            <w:pPr>
              <w:spacing w:after="40"/>
            </w:pPr>
            <w:r>
              <w:rPr>
                <w:rFonts w:ascii="Times New Roman" w:hAnsi="Times New Roman"/>
                <w:sz w:val="20"/>
              </w:rPr>
              <w:t>Chưa đạt</w:t>
            </w:r>
          </w:p>
        </w:tc>
        <w:tc>
          <w:tcPr>
            <w:tcW w:type="dxa" w:w="5953"/>
            <w:vAlign w:val="center"/>
            <w:tcMar>
              <w:top w:w="80" w:type="dxa"/>
              <w:start w:w="80" w:type="dxa"/>
              <w:bottom w:w="80" w:type="dxa"/>
              <w:end w:w="80" w:type="dxa"/>
            </w:tcMar>
          </w:tcPr>
          <w:p>
            <w:pPr>
              <w:spacing w:after="40"/>
            </w:pPr>
            <w:r>
              <w:rPr>
                <w:rFonts w:ascii="Times New Roman" w:hAnsi="Times New Roman"/>
                <w:sz w:val="20"/>
              </w:rPr>
              <w:t>Đây là tiêu chí riêng của story và có Given–When–Then rõ ràng. Tuy nhiên, kiểm thử thực tế phát hiện ví vẫn bị trừ tiền khi số dư không đủ, nên kết quả chưa đáp ứng AC.</w:t>
            </w:r>
          </w:p>
        </w:tc>
      </w:tr>
      <w:tr>
        <w:tc>
          <w:tcPr>
            <w:tcW w:type="dxa" w:w="680"/>
            <w:vAlign w:val="center"/>
            <w:tcMar>
              <w:top w:w="80" w:type="dxa"/>
              <w:start w:w="80" w:type="dxa"/>
              <w:bottom w:w="80" w:type="dxa"/>
              <w:end w:w="80" w:type="dxa"/>
            </w:tcMar>
          </w:tcPr>
          <w:p>
            <w:pPr>
              <w:spacing w:after="40"/>
            </w:pPr>
            <w:r>
              <w:rPr>
                <w:rFonts w:ascii="Times New Roman" w:hAnsi="Times New Roman"/>
                <w:sz w:val="20"/>
              </w:rPr>
              <w:t>Đ5</w:t>
            </w:r>
          </w:p>
        </w:tc>
        <w:tc>
          <w:tcPr>
            <w:tcW w:type="dxa" w:w="1361"/>
            <w:vAlign w:val="center"/>
            <w:tcMar>
              <w:top w:w="80" w:type="dxa"/>
              <w:start w:w="80" w:type="dxa"/>
              <w:bottom w:w="80" w:type="dxa"/>
              <w:end w:w="80" w:type="dxa"/>
            </w:tcMar>
          </w:tcPr>
          <w:p>
            <w:pPr>
              <w:spacing w:after="40"/>
            </w:pPr>
            <w:r>
              <w:rPr>
                <w:rFonts w:ascii="Times New Roman" w:hAnsi="Times New Roman"/>
                <w:sz w:val="20"/>
              </w:rPr>
              <w:t>DoD</w:t>
            </w:r>
          </w:p>
        </w:tc>
        <w:tc>
          <w:tcPr>
            <w:tcW w:type="dxa" w:w="1247"/>
            <w:vAlign w:val="center"/>
            <w:tcMar>
              <w:top w:w="80" w:type="dxa"/>
              <w:start w:w="80" w:type="dxa"/>
              <w:bottom w:w="80" w:type="dxa"/>
              <w:end w:w="80" w:type="dxa"/>
            </w:tcMar>
          </w:tcPr>
          <w:p>
            <w:pPr>
              <w:spacing w:after="40"/>
            </w:pPr>
            <w:r>
              <w:rPr>
                <w:rFonts w:ascii="Times New Roman" w:hAnsi="Times New Roman"/>
                <w:sz w:val="20"/>
              </w:rPr>
              <w:t>Đạt*</w:t>
            </w:r>
          </w:p>
        </w:tc>
        <w:tc>
          <w:tcPr>
            <w:tcW w:type="dxa" w:w="5953"/>
            <w:vAlign w:val="center"/>
            <w:tcMar>
              <w:top w:w="80" w:type="dxa"/>
              <w:start w:w="80" w:type="dxa"/>
              <w:bottom w:w="80" w:type="dxa"/>
              <w:end w:w="80" w:type="dxa"/>
            </w:tcMar>
          </w:tcPr>
          <w:p>
            <w:pPr>
              <w:spacing w:after="40"/>
            </w:pPr>
            <w:r>
              <w:rPr>
                <w:rFonts w:ascii="Times New Roman" w:hAnsi="Times New Roman"/>
                <w:sz w:val="20"/>
              </w:rPr>
              <w:t>Chạy trên staging và không còn lỗi Blocker/Critical là tiêu chuẩn chất lượng nên áp dụng cho mọi story. Tuy nhiên, cần viết lại theo dạng quy định chung thay vì chỉ nhắc riêng story thanh toán ví.</w:t>
            </w:r>
          </w:p>
        </w:tc>
      </w:tr>
    </w:tbl>
    <w:p>
      <w:r>
        <w:t>* Đ5 được xem là đạt theo thông tin đề bài; cách diễn đạt vẫn cần chuẩn hóa thành DoD chung cho mọi story.</w:t>
      </w:r>
    </w:p>
    <w:p>
      <w:pPr>
        <w:pStyle w:val="Heading2"/>
      </w:pPr>
      <w:r>
        <w:t>Phần 2 - Vá lỗi</w:t>
      </w:r>
    </w:p>
    <w:p>
      <w:pPr>
        <w:pStyle w:val="Heading3"/>
      </w:pPr>
      <w:r>
        <w:t>1. Viết lại Đ3 thành Acceptance Criteria</w:t>
      </w:r>
    </w:p>
    <w:p>
      <w:r>
        <w:rPr>
          <w:b/>
        </w:rPr>
        <w:t>AC – Thanh toán ví thành công trong thời gian quy định</w:t>
      </w:r>
    </w:p>
    <w:p>
      <w:pPr>
        <w:pStyle w:val="ListBullet"/>
      </w:pPr>
      <w:r>
        <w:rPr>
          <w:b/>
        </w:rPr>
        <w:t xml:space="preserve">Given: </w:t>
      </w:r>
      <w:r>
        <w:t>Khách hàng đã chọn thanh toán bằng ví RikkeiPay và số dư ví đủ trả cước.</w:t>
      </w:r>
    </w:p>
    <w:p>
      <w:pPr>
        <w:pStyle w:val="ListBullet"/>
      </w:pPr>
      <w:r>
        <w:rPr>
          <w:b/>
        </w:rPr>
        <w:t xml:space="preserve">When: </w:t>
      </w:r>
      <w:r>
        <w:t>Khách hàng xác nhận thanh toán.</w:t>
      </w:r>
    </w:p>
    <w:p>
      <w:pPr>
        <w:pStyle w:val="ListBullet"/>
      </w:pPr>
      <w:r>
        <w:rPr>
          <w:b/>
        </w:rPr>
        <w:t xml:space="preserve">Then: </w:t>
      </w:r>
      <w:r>
        <w:t>Hệ thống hoàn tất thanh toán trong vòng 3 giây, hiển thị trạng thái “Đã thanh toán” và trừ đúng số tiền cước trong ví.</w:t>
      </w:r>
    </w:p>
    <w:p>
      <w:r>
        <w:t>Lưu ý: Mốc 3 giây là ngưỡng đề xuất để tiêu chí có thể kiểm thử; cần Product Owner xác nhận trước khi chốt AC.</w:t>
      </w:r>
    </w:p>
    <w:p>
      <w:pPr>
        <w:pStyle w:val="Heading3"/>
      </w:pPr>
      <w:r>
        <w:t>2. Viết lại Đ5 thành Definition of Done chung</w:t>
      </w:r>
    </w:p>
    <w:p>
      <w:r>
        <w:rPr>
          <w:b/>
        </w:rPr>
        <w:t>DoD – Môi trường staging và lỗi nghiêm trọng</w:t>
      </w:r>
    </w:p>
    <w:p>
      <w:r>
        <w:t>Mọi story chỉ được xem là hoàn thành khi đã được triển khai trên môi trường staging, được kiểm thử và không còn lỗi mức Blocker/Critical.</w:t>
      </w:r>
    </w:p>
    <w:p>
      <w:pPr>
        <w:pStyle w:val="Heading3"/>
      </w:pPr>
      <w:r>
        <w:t>3. Kết luận và xử lý tiếp theo</w:t>
      </w:r>
    </w:p>
    <w:p>
      <w:r>
        <w:t>Story chưa hoàn thành vì AC Đ4 chưa đạt: khi số dư ví không đủ, hệ thống vẫn trừ tiền. Developers cần sửa lỗi, kiểm thử lại trường hợp số dư không đủ để bảo đảm ví không bị trừ và chuyến vẫn ở trạng thái “Chưa thanh toán”; chỉ kết luận hoàn thành khi tất cả AC và DoD đều đạt.</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