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CHỌN HẠNG MỤC ĐƯA VÀO SPRINT BẰNG KỸ THUẬT MOSCOW</w:t>
      </w:r>
    </w:p>
    <w:p>
      <w:pPr>
        <w:pStyle w:val="Heading2"/>
      </w:pPr>
      <w:r>
        <w:t>Phần 1 – Đề xuất hai cách gán nhãn</w:t>
      </w:r>
    </w:p>
    <w:p>
      <w:r>
        <w:rPr>
          <w:b/>
        </w:rPr>
        <w:t xml:space="preserve">Cách 1: Ưu tiên theo mức độ cần thiết của bản phát hành. </w:t>
      </w:r>
      <w:r>
        <w:t>Dựa vào mục tiêu phát hành, tác động đến khách hàng và việc có phương án thay thế hay không. Hạng mục bắt buộc để phát hành an toàn và đúng cam kết được ưu tiên Must.</w:t>
      </w:r>
    </w:p>
    <w:p>
      <w:r>
        <w:rPr>
          <w:b/>
        </w:rPr>
        <w:t xml:space="preserve">Cách 2: Ưu tiên theo mong muốn của các bên liên quan. </w:t>
      </w:r>
      <w:r>
        <w:t>Tổng hợp đề xuất từ Marketing, Chăm sóc khách hàng và các bộ phận khác; hạng mục được yêu cầu nhiều hoặc được cho là cấp bách sẽ được ưu tiên.</w:t>
      </w:r>
    </w:p>
    <w:p>
      <w:pPr>
        <w:pStyle w:val="Heading2"/>
      </w:pPr>
      <w:r>
        <w:t>Phần 2 – So sánh hai cách</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9EAF7"/>
            <w:tcMar>
              <w:top w:w="70" w:type="dxa"/>
              <w:start w:w="70" w:type="dxa"/>
              <w:bottom w:w="70" w:type="dxa"/>
              <w:end w:w="70" w:type="dxa"/>
            </w:tcMar>
          </w:tcPr>
          <w:p>
            <w:pPr>
              <w:spacing w:after="40"/>
            </w:pPr>
            <w:r>
              <w:rPr>
                <w:rFonts w:ascii="Times New Roman" w:hAnsi="Times New Roman"/>
                <w:sz w:val="19"/>
              </w:rPr>
              <w:t>Tiêu chí</w:t>
            </w:r>
          </w:p>
        </w:tc>
        <w:tc>
          <w:tcPr>
            <w:tcW w:type="dxa" w:w="3437"/>
            <w:shd w:fill="D9EAF7"/>
            <w:tcMar>
              <w:top w:w="70" w:type="dxa"/>
              <w:start w:w="70" w:type="dxa"/>
              <w:bottom w:w="70" w:type="dxa"/>
              <w:end w:w="70" w:type="dxa"/>
            </w:tcMar>
          </w:tcPr>
          <w:p>
            <w:pPr>
              <w:spacing w:after="40"/>
            </w:pPr>
            <w:r>
              <w:rPr>
                <w:rFonts w:ascii="Times New Roman" w:hAnsi="Times New Roman"/>
                <w:sz w:val="19"/>
              </w:rPr>
              <w:t>Cách 1: Theo mức độ cần thiết</w:t>
            </w:r>
          </w:p>
        </w:tc>
        <w:tc>
          <w:tcPr>
            <w:tcW w:type="dxa" w:w="3437"/>
            <w:shd w:fill="D9EAF7"/>
            <w:tcMar>
              <w:top w:w="70" w:type="dxa"/>
              <w:start w:w="70" w:type="dxa"/>
              <w:bottom w:w="70" w:type="dxa"/>
              <w:end w:w="70" w:type="dxa"/>
            </w:tcMar>
          </w:tcPr>
          <w:p>
            <w:pPr>
              <w:spacing w:after="40"/>
            </w:pPr>
            <w:r>
              <w:rPr>
                <w:rFonts w:ascii="Times New Roman" w:hAnsi="Times New Roman"/>
                <w:sz w:val="19"/>
              </w:rPr>
              <w:t>Cách 2: Theo mong muốn các bên</w:t>
            </w:r>
          </w:p>
        </w:tc>
      </w:tr>
      <w:tr>
        <w:tc>
          <w:tcPr>
            <w:tcW w:type="dxa" w:w="3437"/>
            <w:tcMar>
              <w:top w:w="70" w:type="dxa"/>
              <w:start w:w="70" w:type="dxa"/>
              <w:bottom w:w="70" w:type="dxa"/>
              <w:end w:w="70" w:type="dxa"/>
            </w:tcMar>
          </w:tcPr>
          <w:p>
            <w:pPr>
              <w:spacing w:after="40"/>
            </w:pPr>
            <w:r>
              <w:rPr>
                <w:rFonts w:ascii="Times New Roman" w:hAnsi="Times New Roman"/>
                <w:sz w:val="19"/>
              </w:rPr>
              <w:t>Khách quan khi nhiều bộ phận cùng đề xuất</w:t>
            </w:r>
          </w:p>
        </w:tc>
        <w:tc>
          <w:tcPr>
            <w:tcW w:type="dxa" w:w="3437"/>
            <w:tcMar>
              <w:top w:w="70" w:type="dxa"/>
              <w:start w:w="70" w:type="dxa"/>
              <w:bottom w:w="70" w:type="dxa"/>
              <w:end w:w="70" w:type="dxa"/>
            </w:tcMar>
          </w:tcPr>
          <w:p>
            <w:pPr>
              <w:spacing w:after="40"/>
            </w:pPr>
            <w:r>
              <w:rPr>
                <w:rFonts w:ascii="Times New Roman" w:hAnsi="Times New Roman"/>
                <w:sz w:val="19"/>
              </w:rPr>
              <w:t>(+) Dựa trên mục tiêu phát hành, tác động và phương án thay thế; dễ giải thích lý do ưu tiên.</w:t>
            </w:r>
          </w:p>
        </w:tc>
        <w:tc>
          <w:tcPr>
            <w:tcW w:type="dxa" w:w="3437"/>
            <w:tcMar>
              <w:top w:w="70" w:type="dxa"/>
              <w:start w:w="70" w:type="dxa"/>
              <w:bottom w:w="70" w:type="dxa"/>
              <w:end w:w="70" w:type="dxa"/>
            </w:tcMar>
          </w:tcPr>
          <w:p>
            <w:pPr>
              <w:spacing w:after="40"/>
            </w:pPr>
            <w:r>
              <w:rPr>
                <w:rFonts w:ascii="Times New Roman" w:hAnsi="Times New Roman"/>
                <w:sz w:val="19"/>
              </w:rPr>
              <w:t>(–) Dễ bị ảnh hưởng bởi ý kiến chủ quan hoặc bộ phận có tiếng nói mạnh hơn.</w:t>
            </w:r>
          </w:p>
        </w:tc>
      </w:tr>
      <w:tr>
        <w:tc>
          <w:tcPr>
            <w:tcW w:type="dxa" w:w="3437"/>
            <w:tcMar>
              <w:top w:w="70" w:type="dxa"/>
              <w:start w:w="70" w:type="dxa"/>
              <w:bottom w:w="70" w:type="dxa"/>
              <w:end w:w="70" w:type="dxa"/>
            </w:tcMar>
          </w:tcPr>
          <w:p>
            <w:pPr>
              <w:spacing w:after="40"/>
            </w:pPr>
            <w:r>
              <w:rPr>
                <w:rFonts w:ascii="Times New Roman" w:hAnsi="Times New Roman"/>
                <w:sz w:val="19"/>
              </w:rPr>
              <w:t>Bảo vệ hạng mục bắt buộc như #1</w:t>
            </w:r>
          </w:p>
        </w:tc>
        <w:tc>
          <w:tcPr>
            <w:tcW w:type="dxa" w:w="3437"/>
            <w:tcMar>
              <w:top w:w="70" w:type="dxa"/>
              <w:start w:w="70" w:type="dxa"/>
              <w:bottom w:w="70" w:type="dxa"/>
              <w:end w:w="70" w:type="dxa"/>
            </w:tcMar>
          </w:tcPr>
          <w:p>
            <w:pPr>
              <w:spacing w:after="40"/>
            </w:pPr>
            <w:r>
              <w:rPr>
                <w:rFonts w:ascii="Times New Roman" w:hAnsi="Times New Roman"/>
                <w:sz w:val="19"/>
              </w:rPr>
              <w:t>(+) Lỗi thu sai tiền ảnh hưởng trực tiếp đến khách hàng nên được xếp Must dù không phải đề xuất nổi bật nhất.</w:t>
            </w:r>
          </w:p>
        </w:tc>
        <w:tc>
          <w:tcPr>
            <w:tcW w:type="dxa" w:w="3437"/>
            <w:tcMar>
              <w:top w:w="70" w:type="dxa"/>
              <w:start w:w="70" w:type="dxa"/>
              <w:bottom w:w="70" w:type="dxa"/>
              <w:end w:w="70" w:type="dxa"/>
            </w:tcMar>
          </w:tcPr>
          <w:p>
            <w:pPr>
              <w:spacing w:after="40"/>
            </w:pPr>
            <w:r>
              <w:rPr>
                <w:rFonts w:ascii="Times New Roman" w:hAnsi="Times New Roman"/>
                <w:sz w:val="19"/>
              </w:rPr>
              <w:t>(–) Có thể ưu tiên tính năng được yêu cầu nhiều và bỏ sót việc sửa lỗi nghiêm trọng.</w:t>
            </w:r>
          </w:p>
        </w:tc>
      </w:tr>
    </w:tbl>
    <w:p>
      <w:r>
        <w:rPr>
          <w:b/>
        </w:rPr>
        <w:t xml:space="preserve">Lựa chọn: </w:t>
      </w:r>
      <w:r>
        <w:t>Chọn Cách 1 vì nhãn MoSCoW phải phản ánh mức độ cần thiết đối với bản phát hành cuối Sprint tới, không chỉ dựa vào mong muốn của từng bộ phận.</w:t>
      </w:r>
    </w:p>
    <w:p>
      <w:pPr>
        <w:pStyle w:val="Heading2"/>
      </w:pPr>
      <w:r>
        <w:t>Phần 3 – Áp dụng MoSCoW và chốt Sprint</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9EAF7"/>
            <w:tcMar>
              <w:top w:w="70" w:type="dxa"/>
              <w:start w:w="70" w:type="dxa"/>
              <w:bottom w:w="70" w:type="dxa"/>
              <w:end w:w="70" w:type="dxa"/>
            </w:tcMar>
          </w:tcPr>
          <w:p>
            <w:pPr>
              <w:spacing w:after="40"/>
            </w:pPr>
            <w:r>
              <w:rPr>
                <w:rFonts w:ascii="Times New Roman" w:hAnsi="Times New Roman"/>
                <w:sz w:val="19"/>
              </w:rPr>
              <w:t>#</w:t>
            </w:r>
          </w:p>
        </w:tc>
        <w:tc>
          <w:tcPr>
            <w:tcW w:type="dxa" w:w="2578"/>
            <w:shd w:fill="D9EAF7"/>
            <w:tcMar>
              <w:top w:w="70" w:type="dxa"/>
              <w:start w:w="70" w:type="dxa"/>
              <w:bottom w:w="70" w:type="dxa"/>
              <w:end w:w="70" w:type="dxa"/>
            </w:tcMar>
          </w:tcPr>
          <w:p>
            <w:pPr>
              <w:spacing w:after="40"/>
            </w:pPr>
            <w:r>
              <w:rPr>
                <w:rFonts w:ascii="Times New Roman" w:hAnsi="Times New Roman"/>
                <w:sz w:val="19"/>
              </w:rPr>
              <w:t>Hạng mục</w:t>
            </w:r>
          </w:p>
        </w:tc>
        <w:tc>
          <w:tcPr>
            <w:tcW w:type="dxa" w:w="2578"/>
            <w:shd w:fill="D9EAF7"/>
            <w:tcMar>
              <w:top w:w="70" w:type="dxa"/>
              <w:start w:w="70" w:type="dxa"/>
              <w:bottom w:w="70" w:type="dxa"/>
              <w:end w:w="70" w:type="dxa"/>
            </w:tcMar>
          </w:tcPr>
          <w:p>
            <w:pPr>
              <w:spacing w:after="40"/>
            </w:pPr>
            <w:r>
              <w:rPr>
                <w:rFonts w:ascii="Times New Roman" w:hAnsi="Times New Roman"/>
                <w:sz w:val="19"/>
              </w:rPr>
              <w:t>Nhãn</w:t>
            </w:r>
          </w:p>
        </w:tc>
        <w:tc>
          <w:tcPr>
            <w:tcW w:type="dxa" w:w="2578"/>
            <w:shd w:fill="D9EAF7"/>
            <w:tcMar>
              <w:top w:w="70" w:type="dxa"/>
              <w:start w:w="70" w:type="dxa"/>
              <w:bottom w:w="70" w:type="dxa"/>
              <w:end w:w="70" w:type="dxa"/>
            </w:tcMar>
          </w:tcPr>
          <w:p>
            <w:pPr>
              <w:spacing w:after="40"/>
            </w:pPr>
            <w:r>
              <w:rPr>
                <w:rFonts w:ascii="Times New Roman" w:hAnsi="Times New Roman"/>
                <w:sz w:val="19"/>
              </w:rPr>
              <w:t>Lý do</w:t>
            </w:r>
          </w:p>
        </w:tc>
      </w:tr>
      <w:tr>
        <w:tc>
          <w:tcPr>
            <w:tcW w:type="dxa" w:w="2578"/>
            <w:tcMar>
              <w:top w:w="70" w:type="dxa"/>
              <w:start w:w="70" w:type="dxa"/>
              <w:bottom w:w="70" w:type="dxa"/>
              <w:end w:w="70" w:type="dxa"/>
            </w:tcMar>
          </w:tcPr>
          <w:p>
            <w:pPr>
              <w:spacing w:after="40"/>
            </w:pPr>
            <w:r>
              <w:rPr>
                <w:rFonts w:ascii="Times New Roman" w:hAnsi="Times New Roman"/>
                <w:sz w:val="19"/>
              </w:rPr>
              <w:t>1</w:t>
            </w:r>
          </w:p>
        </w:tc>
        <w:tc>
          <w:tcPr>
            <w:tcW w:type="dxa" w:w="2578"/>
            <w:tcMar>
              <w:top w:w="70" w:type="dxa"/>
              <w:start w:w="70" w:type="dxa"/>
              <w:bottom w:w="70" w:type="dxa"/>
              <w:end w:w="70" w:type="dxa"/>
            </w:tcMar>
          </w:tcPr>
          <w:p>
            <w:pPr>
              <w:spacing w:after="40"/>
            </w:pPr>
            <w:r>
              <w:rPr>
                <w:rFonts w:ascii="Times New Roman" w:hAnsi="Times New Roman"/>
                <w:sz w:val="19"/>
              </w:rPr>
              <w:t>Sửa lỗi hiển thị sai cước sau khuyến mãi (2 điểm)</w:t>
            </w:r>
          </w:p>
        </w:tc>
        <w:tc>
          <w:tcPr>
            <w:tcW w:type="dxa" w:w="2578"/>
            <w:tcMar>
              <w:top w:w="70" w:type="dxa"/>
              <w:start w:w="70" w:type="dxa"/>
              <w:bottom w:w="70" w:type="dxa"/>
              <w:end w:w="70" w:type="dxa"/>
            </w:tcMar>
          </w:tcPr>
          <w:p>
            <w:pPr>
              <w:spacing w:after="40"/>
            </w:pPr>
            <w:r>
              <w:rPr>
                <w:rFonts w:ascii="Times New Roman" w:hAnsi="Times New Roman"/>
                <w:sz w:val="19"/>
              </w:rPr>
              <w:t>Must</w:t>
            </w:r>
          </w:p>
        </w:tc>
        <w:tc>
          <w:tcPr>
            <w:tcW w:type="dxa" w:w="2578"/>
            <w:tcMar>
              <w:top w:w="70" w:type="dxa"/>
              <w:start w:w="70" w:type="dxa"/>
              <w:bottom w:w="70" w:type="dxa"/>
              <w:end w:w="70" w:type="dxa"/>
            </w:tcMar>
          </w:tcPr>
          <w:p>
            <w:pPr>
              <w:spacing w:after="40"/>
            </w:pPr>
            <w:r>
              <w:rPr>
                <w:rFonts w:ascii="Times New Roman" w:hAnsi="Times New Roman"/>
                <w:sz w:val="19"/>
              </w:rPr>
              <w:t>Đang thu sai tiền khách; phải sửa để bản phát hành không gây thiệt hại cho khách hàng.</w:t>
            </w:r>
          </w:p>
        </w:tc>
      </w:tr>
      <w:tr>
        <w:tc>
          <w:tcPr>
            <w:tcW w:type="dxa" w:w="2578"/>
            <w:tcMar>
              <w:top w:w="70" w:type="dxa"/>
              <w:start w:w="70" w:type="dxa"/>
              <w:bottom w:w="70" w:type="dxa"/>
              <w:end w:w="70" w:type="dxa"/>
            </w:tcMar>
          </w:tcPr>
          <w:p>
            <w:pPr>
              <w:spacing w:after="40"/>
            </w:pPr>
            <w:r>
              <w:rPr>
                <w:rFonts w:ascii="Times New Roman" w:hAnsi="Times New Roman"/>
                <w:sz w:val="19"/>
              </w:rPr>
              <w:t>2</w:t>
            </w:r>
          </w:p>
        </w:tc>
        <w:tc>
          <w:tcPr>
            <w:tcW w:type="dxa" w:w="2578"/>
            <w:tcMar>
              <w:top w:w="70" w:type="dxa"/>
              <w:start w:w="70" w:type="dxa"/>
              <w:bottom w:w="70" w:type="dxa"/>
              <w:end w:w="70" w:type="dxa"/>
            </w:tcMar>
          </w:tcPr>
          <w:p>
            <w:pPr>
              <w:spacing w:after="40"/>
            </w:pPr>
            <w:r>
              <w:rPr>
                <w:rFonts w:ascii="Times New Roman" w:hAnsi="Times New Roman"/>
                <w:sz w:val="19"/>
              </w:rPr>
              <w:t>Áp mã khuyến mãi khi đặt xe (2 điểm)</w:t>
            </w:r>
          </w:p>
        </w:tc>
        <w:tc>
          <w:tcPr>
            <w:tcW w:type="dxa" w:w="2578"/>
            <w:tcMar>
              <w:top w:w="70" w:type="dxa"/>
              <w:start w:w="70" w:type="dxa"/>
              <w:bottom w:w="70" w:type="dxa"/>
              <w:end w:w="70" w:type="dxa"/>
            </w:tcMar>
          </w:tcPr>
          <w:p>
            <w:pPr>
              <w:spacing w:after="40"/>
            </w:pPr>
            <w:r>
              <w:rPr>
                <w:rFonts w:ascii="Times New Roman" w:hAnsi="Times New Roman"/>
                <w:sz w:val="19"/>
              </w:rPr>
              <w:t>Must</w:t>
            </w:r>
          </w:p>
        </w:tc>
        <w:tc>
          <w:tcPr>
            <w:tcW w:type="dxa" w:w="2578"/>
            <w:tcMar>
              <w:top w:w="70" w:type="dxa"/>
              <w:start w:w="70" w:type="dxa"/>
              <w:bottom w:w="70" w:type="dxa"/>
              <w:end w:w="70" w:type="dxa"/>
            </w:tcMar>
          </w:tcPr>
          <w:p>
            <w:pPr>
              <w:spacing w:after="40"/>
            </w:pPr>
            <w:r>
              <w:rPr>
                <w:rFonts w:ascii="Times New Roman" w:hAnsi="Times New Roman"/>
                <w:sz w:val="19"/>
              </w:rPr>
              <w:t>Là chức năng cốt lõi của chương trình “Tháng khuyến mãi” trong bản phát hành này.</w:t>
            </w:r>
          </w:p>
        </w:tc>
      </w:tr>
      <w:tr>
        <w:tc>
          <w:tcPr>
            <w:tcW w:type="dxa" w:w="2578"/>
            <w:tcMar>
              <w:top w:w="70" w:type="dxa"/>
              <w:start w:w="70" w:type="dxa"/>
              <w:bottom w:w="70" w:type="dxa"/>
              <w:end w:w="70" w:type="dxa"/>
            </w:tcMar>
          </w:tcPr>
          <w:p>
            <w:pPr>
              <w:spacing w:after="40"/>
            </w:pPr>
            <w:r>
              <w:rPr>
                <w:rFonts w:ascii="Times New Roman" w:hAnsi="Times New Roman"/>
                <w:sz w:val="19"/>
              </w:rPr>
              <w:t>3</w:t>
            </w:r>
          </w:p>
        </w:tc>
        <w:tc>
          <w:tcPr>
            <w:tcW w:type="dxa" w:w="2578"/>
            <w:tcMar>
              <w:top w:w="70" w:type="dxa"/>
              <w:start w:w="70" w:type="dxa"/>
              <w:bottom w:w="70" w:type="dxa"/>
              <w:end w:w="70" w:type="dxa"/>
            </w:tcMar>
          </w:tcPr>
          <w:p>
            <w:pPr>
              <w:spacing w:after="40"/>
            </w:pPr>
            <w:r>
              <w:rPr>
                <w:rFonts w:ascii="Times New Roman" w:hAnsi="Times New Roman"/>
                <w:sz w:val="19"/>
              </w:rPr>
              <w:t>Thanh toán bằng ví RikkeiPay (3 điểm)</w:t>
            </w:r>
          </w:p>
        </w:tc>
        <w:tc>
          <w:tcPr>
            <w:tcW w:type="dxa" w:w="2578"/>
            <w:tcMar>
              <w:top w:w="70" w:type="dxa"/>
              <w:start w:w="70" w:type="dxa"/>
              <w:bottom w:w="70" w:type="dxa"/>
              <w:end w:w="70" w:type="dxa"/>
            </w:tcMar>
          </w:tcPr>
          <w:p>
            <w:pPr>
              <w:spacing w:after="40"/>
            </w:pPr>
            <w:r>
              <w:rPr>
                <w:rFonts w:ascii="Times New Roman" w:hAnsi="Times New Roman"/>
                <w:sz w:val="19"/>
              </w:rPr>
              <w:t>Must</w:t>
            </w:r>
          </w:p>
        </w:tc>
        <w:tc>
          <w:tcPr>
            <w:tcW w:type="dxa" w:w="2578"/>
            <w:tcMar>
              <w:top w:w="70" w:type="dxa"/>
              <w:start w:w="70" w:type="dxa"/>
              <w:bottom w:w="70" w:type="dxa"/>
              <w:end w:w="70" w:type="dxa"/>
            </w:tcMar>
          </w:tcPr>
          <w:p>
            <w:pPr>
              <w:spacing w:after="40"/>
            </w:pPr>
            <w:r>
              <w:rPr>
                <w:rFonts w:ascii="Times New Roman" w:hAnsi="Times New Roman"/>
                <w:sz w:val="19"/>
              </w:rPr>
              <w:t>Chọn làm cam kết chính của bản phát hành để cung cấp thêm phương thức thanh toán; cần kiểm thử kỹ trước khi phát hành.</w:t>
            </w:r>
          </w:p>
        </w:tc>
      </w:tr>
      <w:tr>
        <w:tc>
          <w:tcPr>
            <w:tcW w:type="dxa" w:w="2578"/>
            <w:tcMar>
              <w:top w:w="70" w:type="dxa"/>
              <w:start w:w="70" w:type="dxa"/>
              <w:bottom w:w="70" w:type="dxa"/>
              <w:end w:w="70" w:type="dxa"/>
            </w:tcMar>
          </w:tcPr>
          <w:p>
            <w:pPr>
              <w:spacing w:after="40"/>
            </w:pPr>
            <w:r>
              <w:rPr>
                <w:rFonts w:ascii="Times New Roman" w:hAnsi="Times New Roman"/>
                <w:sz w:val="19"/>
              </w:rPr>
              <w:t>4</w:t>
            </w:r>
          </w:p>
        </w:tc>
        <w:tc>
          <w:tcPr>
            <w:tcW w:type="dxa" w:w="2578"/>
            <w:tcMar>
              <w:top w:w="70" w:type="dxa"/>
              <w:start w:w="70" w:type="dxa"/>
              <w:bottom w:w="70" w:type="dxa"/>
              <w:end w:w="70" w:type="dxa"/>
            </w:tcMar>
          </w:tcPr>
          <w:p>
            <w:pPr>
              <w:spacing w:after="40"/>
            </w:pPr>
            <w:r>
              <w:rPr>
                <w:rFonts w:ascii="Times New Roman" w:hAnsi="Times New Roman"/>
                <w:sz w:val="19"/>
              </w:rPr>
              <w:t>Hẹn giờ đặt xe trước (3 điểm)</w:t>
            </w:r>
          </w:p>
        </w:tc>
        <w:tc>
          <w:tcPr>
            <w:tcW w:type="dxa" w:w="2578"/>
            <w:tcMar>
              <w:top w:w="70" w:type="dxa"/>
              <w:start w:w="70" w:type="dxa"/>
              <w:bottom w:w="70" w:type="dxa"/>
              <w:end w:w="70" w:type="dxa"/>
            </w:tcMar>
          </w:tcPr>
          <w:p>
            <w:pPr>
              <w:spacing w:after="40"/>
            </w:pPr>
            <w:r>
              <w:rPr>
                <w:rFonts w:ascii="Times New Roman" w:hAnsi="Times New Roman"/>
                <w:sz w:val="19"/>
              </w:rPr>
              <w:t>Won’t</w:t>
            </w:r>
          </w:p>
        </w:tc>
        <w:tc>
          <w:tcPr>
            <w:tcW w:type="dxa" w:w="2578"/>
            <w:tcMar>
              <w:top w:w="70" w:type="dxa"/>
              <w:start w:w="70" w:type="dxa"/>
              <w:bottom w:w="70" w:type="dxa"/>
              <w:end w:w="70" w:type="dxa"/>
            </w:tcMar>
          </w:tcPr>
          <w:p>
            <w:pPr>
              <w:spacing w:after="40"/>
            </w:pPr>
            <w:r>
              <w:rPr>
                <w:rFonts w:ascii="Times New Roman" w:hAnsi="Times New Roman"/>
                <w:sz w:val="19"/>
              </w:rPr>
              <w:t>Không trực tiếp phục vụ mục tiêu “Tháng khuyến mãi”; thông báo rõ rằng chưa làm trong lần phát hành này.</w:t>
            </w:r>
          </w:p>
        </w:tc>
      </w:tr>
      <w:tr>
        <w:tc>
          <w:tcPr>
            <w:tcW w:type="dxa" w:w="2578"/>
            <w:tcMar>
              <w:top w:w="70" w:type="dxa"/>
              <w:start w:w="70" w:type="dxa"/>
              <w:bottom w:w="70" w:type="dxa"/>
              <w:end w:w="70" w:type="dxa"/>
            </w:tcMar>
          </w:tcPr>
          <w:p>
            <w:pPr>
              <w:spacing w:after="40"/>
            </w:pPr>
            <w:r>
              <w:rPr>
                <w:rFonts w:ascii="Times New Roman" w:hAnsi="Times New Roman"/>
                <w:sz w:val="19"/>
              </w:rPr>
              <w:t>5</w:t>
            </w:r>
          </w:p>
        </w:tc>
        <w:tc>
          <w:tcPr>
            <w:tcW w:type="dxa" w:w="2578"/>
            <w:tcMar>
              <w:top w:w="70" w:type="dxa"/>
              <w:start w:w="70" w:type="dxa"/>
              <w:bottom w:w="70" w:type="dxa"/>
              <w:end w:w="70" w:type="dxa"/>
            </w:tcMar>
          </w:tcPr>
          <w:p>
            <w:pPr>
              <w:spacing w:after="40"/>
            </w:pPr>
            <w:r>
              <w:rPr>
                <w:rFonts w:ascii="Times New Roman" w:hAnsi="Times New Roman"/>
                <w:sz w:val="19"/>
              </w:rPr>
              <w:t>Chat với tài xế (3 điểm)</w:t>
            </w:r>
          </w:p>
        </w:tc>
        <w:tc>
          <w:tcPr>
            <w:tcW w:type="dxa" w:w="2578"/>
            <w:tcMar>
              <w:top w:w="70" w:type="dxa"/>
              <w:start w:w="70" w:type="dxa"/>
              <w:bottom w:w="70" w:type="dxa"/>
              <w:end w:w="70" w:type="dxa"/>
            </w:tcMar>
          </w:tcPr>
          <w:p>
            <w:pPr>
              <w:spacing w:after="40"/>
            </w:pPr>
            <w:r>
              <w:rPr>
                <w:rFonts w:ascii="Times New Roman" w:hAnsi="Times New Roman"/>
                <w:sz w:val="19"/>
              </w:rPr>
              <w:t>Should</w:t>
            </w:r>
          </w:p>
        </w:tc>
        <w:tc>
          <w:tcPr>
            <w:tcW w:type="dxa" w:w="2578"/>
            <w:tcMar>
              <w:top w:w="70" w:type="dxa"/>
              <w:start w:w="70" w:type="dxa"/>
              <w:bottom w:w="70" w:type="dxa"/>
              <w:end w:w="70" w:type="dxa"/>
            </w:tcMar>
          </w:tcPr>
          <w:p>
            <w:pPr>
              <w:spacing w:after="40"/>
            </w:pPr>
            <w:r>
              <w:rPr>
                <w:rFonts w:ascii="Times New Roman" w:hAnsi="Times New Roman"/>
                <w:sz w:val="19"/>
              </w:rPr>
              <w:t>Có ích cho khách hàng, nhưng khách vẫn có thể gọi điện nên có phương án thay thế nếu Sprint thiếu năng lực.</w:t>
            </w:r>
          </w:p>
        </w:tc>
      </w:tr>
      <w:tr>
        <w:tc>
          <w:tcPr>
            <w:tcW w:type="dxa" w:w="2578"/>
            <w:tcMar>
              <w:top w:w="70" w:type="dxa"/>
              <w:start w:w="70" w:type="dxa"/>
              <w:bottom w:w="70" w:type="dxa"/>
              <w:end w:w="70" w:type="dxa"/>
            </w:tcMar>
          </w:tcPr>
          <w:p>
            <w:pPr>
              <w:spacing w:after="40"/>
            </w:pPr>
            <w:r>
              <w:rPr>
                <w:rFonts w:ascii="Times New Roman" w:hAnsi="Times New Roman"/>
                <w:sz w:val="19"/>
              </w:rPr>
              <w:t>6</w:t>
            </w:r>
          </w:p>
        </w:tc>
        <w:tc>
          <w:tcPr>
            <w:tcW w:type="dxa" w:w="2578"/>
            <w:tcMar>
              <w:top w:w="70" w:type="dxa"/>
              <w:start w:w="70" w:type="dxa"/>
              <w:bottom w:w="70" w:type="dxa"/>
              <w:end w:w="70" w:type="dxa"/>
            </w:tcMar>
          </w:tcPr>
          <w:p>
            <w:pPr>
              <w:spacing w:after="40"/>
            </w:pPr>
            <w:r>
              <w:rPr>
                <w:rFonts w:ascii="Times New Roman" w:hAnsi="Times New Roman"/>
                <w:sz w:val="19"/>
              </w:rPr>
              <w:t>Giao diện trang trí cho chương trình khuyến mãi (2 điểm)</w:t>
            </w:r>
          </w:p>
        </w:tc>
        <w:tc>
          <w:tcPr>
            <w:tcW w:type="dxa" w:w="2578"/>
            <w:tcMar>
              <w:top w:w="70" w:type="dxa"/>
              <w:start w:w="70" w:type="dxa"/>
              <w:bottom w:w="70" w:type="dxa"/>
              <w:end w:w="70" w:type="dxa"/>
            </w:tcMar>
          </w:tcPr>
          <w:p>
            <w:pPr>
              <w:spacing w:after="40"/>
            </w:pPr>
            <w:r>
              <w:rPr>
                <w:rFonts w:ascii="Times New Roman" w:hAnsi="Times New Roman"/>
                <w:sz w:val="19"/>
              </w:rPr>
              <w:t>Could</w:t>
            </w:r>
          </w:p>
        </w:tc>
        <w:tc>
          <w:tcPr>
            <w:tcW w:type="dxa" w:w="2578"/>
            <w:tcMar>
              <w:top w:w="70" w:type="dxa"/>
              <w:start w:w="70" w:type="dxa"/>
              <w:bottom w:w="70" w:type="dxa"/>
              <w:end w:w="70" w:type="dxa"/>
            </w:tcMar>
          </w:tcPr>
          <w:p>
            <w:pPr>
              <w:spacing w:after="40"/>
            </w:pPr>
            <w:r>
              <w:rPr>
                <w:rFonts w:ascii="Times New Roman" w:hAnsi="Times New Roman"/>
                <w:sz w:val="19"/>
              </w:rPr>
              <w:t>Có thể làm giao diện đẹp hơn nhưng không có nó hệ thống vẫn chạy và khách vẫn áp mã được.</w:t>
            </w:r>
          </w:p>
        </w:tc>
      </w:tr>
    </w:tbl>
    <w:p>
      <w:pPr>
        <w:pStyle w:val="Heading3"/>
      </w:pPr>
      <w:r>
        <w:t>Danh sách chốt vào Sprint (năng lực 10 điểm)</w:t>
      </w:r>
    </w:p>
    <w:p>
      <w:pPr>
        <w:pStyle w:val="ListBullet"/>
      </w:pPr>
      <w:r>
        <w:t>Must: #1 (2 điểm) + #2 (2 điểm) + #3 (3 điểm) = 7 điểm.</w:t>
      </w:r>
    </w:p>
    <w:p>
      <w:pPr>
        <w:pStyle w:val="ListBullet"/>
      </w:pPr>
      <w:r>
        <w:t>Should: #5 (3 điểm) = 3 điểm.</w:t>
      </w:r>
    </w:p>
    <w:p>
      <w:pPr>
        <w:pStyle w:val="ListBullet"/>
      </w:pPr>
      <w:r>
        <w:t>Tổng cộng: 7 + 3 = 10 điểm, đúng năng lực Sprint.</w:t>
      </w:r>
    </w:p>
    <w:p>
      <w:pPr>
        <w:pStyle w:val="ListBullet"/>
      </w:pPr>
      <w:r>
        <w:t>Không đưa #4 (Won’t) và #6 (Could) vào Sprint này.</w:t>
      </w:r>
    </w:p>
    <w:p>
      <w:r>
        <w:rPr>
          <w:b/>
        </w:rPr>
        <w:t xml:space="preserve">Tỷ lệ Must: </w:t>
      </w:r>
      <w:r>
        <w:t>7/10 × 100% = 70% năng lực Sprint. Tỷ lệ này cao hơn mốc khoảng 60%, nhưng là phương án gần mục tiêu với các điểm đã cho, đồng thời giữ lại năng lực cho một hạng mục Should.</w:t>
      </w:r>
    </w:p>
    <w:p>
      <w:r>
        <w:rPr>
          <w:b/>
        </w:rPr>
        <w:t xml:space="preserve">Lưu ý khi chốt: </w:t>
      </w:r>
      <w:r>
        <w:t>Việc xếp RikkeiPay thành Must là quyết định phạm vi cho bản phát hành này, không có nghĩa chức năng ví luôn là Must. Nếu Đức xác nhận khách vẫn có thể dùng tiền mặt và ví không phải cam kết bắt buộc, có thể hạ #3 xuống Should; khi đó cần chấp nhận tỷ lệ Must thấp hơn hoặc xem xét lại phạm vi.</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