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2423016F"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là hành động ngăn cản, phòng ngừa sự sử dụng, truy cập, tiết lộ, chia sẻ, phát tán, ghi lại hoặc phá hủy thông tin chưa có sự cho phép.</w:t>
      </w:r>
      <w:r w:rsidR="003414B8" w:rsidRPr="003414B8">
        <w:rPr>
          <w:i/>
          <w:iCs/>
        </w:rPr>
        <w:t xml:space="preserve">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lastRenderedPageBreak/>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w:lastRenderedPageBreak/>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5D9FFE0E"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2E62F3">
        <w:rPr>
          <w:sz w:val="28"/>
        </w:rPr>
        <w:t>) được định nghĩa là</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w:lastRenderedPageBreak/>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19A65639" w:rsidR="000C6DE7" w:rsidRDefault="00DE3DE6" w:rsidP="000C6DE7">
      <w:pPr>
        <w:rPr>
          <w:b/>
          <w:bCs/>
          <w:sz w:val="28"/>
        </w:rPr>
      </w:pPr>
      <w:r>
        <w:rPr>
          <w:b/>
          <w:bCs/>
        </w:rPr>
        <w:t>Nhóm cyclic</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2B4CE4C8"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77777777" w:rsidR="00B23391" w:rsidRDefault="00834571" w:rsidP="000C6DE7">
      <w:pPr>
        <w:rPr>
          <w:i/>
          <w:iCs/>
        </w:rPr>
      </w:pPr>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09716D70" w:rsidR="00B23391" w:rsidRDefault="00B23391" w:rsidP="000C6DE7">
      <w:pPr>
        <w:rPr>
          <w:iCs/>
        </w:rPr>
      </w:pPr>
      <w:r>
        <w:rPr>
          <w:iCs/>
        </w:rPr>
        <w:t>Tương tự, có 4 căn nguyên modulo 13 là 2, 6, 7 và 11.</w:t>
      </w:r>
    </w:p>
    <w:p w14:paraId="02DC8EB8" w14:textId="0881FEB4" w:rsidR="00B23391" w:rsidRPr="00E14BE7" w:rsidRDefault="00E14BE7" w:rsidP="000C6DE7">
      <w:pPr>
        <w:rPr>
          <w:iCs/>
        </w:rPr>
      </w:pPr>
      <w:r>
        <w:rPr>
          <w:iCs/>
        </w:rPr>
        <w:tab/>
        <w:t xml:space="preserve">Không phải mọi số nguyên đều tồn tại căn nguyên thủy. Tuy nhiên, với </w:t>
      </w:r>
      <m:oMath>
        <m:r>
          <w:rPr>
            <w:rFonts w:ascii="Cambria Math" w:hAnsi="Cambria Math"/>
          </w:rPr>
          <m:t>p</m:t>
        </m:r>
      </m:oMath>
      <w:r>
        <w:rPr>
          <w:iCs/>
        </w:rPr>
        <w:t xml:space="preserve"> là số nguyên tố, luôn tồn tại một căn nguyên thủy modulo p, do đó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là một cyclic group. (Tham khảo chứng minh tại </w:t>
      </w:r>
      <w:r w:rsidRPr="00E14BE7">
        <w:rPr>
          <w:i/>
        </w:rPr>
        <w:t>Cơ sở Lý thuyết số và Đa thức</w:t>
      </w:r>
      <w:r>
        <w:rPr>
          <w:iCs/>
        </w:rPr>
        <w:t>)</w:t>
      </w: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350E04B0" w:rsidR="00E87ED5" w:rsidRDefault="00B86535" w:rsidP="00175500">
      <w:r>
        <w:rPr>
          <w:noProof/>
          <w14:ligatures w14:val="standardContextual"/>
        </w:rPr>
        <mc:AlternateContent>
          <mc:Choice Requires="wps">
            <w:drawing>
              <wp:anchor distT="0" distB="0" distL="114300" distR="114300" simplePos="0" relativeHeight="251671552" behindDoc="0" locked="0" layoutInCell="1" allowOverlap="1" wp14:anchorId="2431AD1C" wp14:editId="75D6B498">
                <wp:simplePos x="0" y="0"/>
                <wp:positionH relativeFrom="margin">
                  <wp:align>center</wp:align>
                </wp:positionH>
                <wp:positionV relativeFrom="page">
                  <wp:posOffset>4333240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341.2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61989160" w:rsidR="00E87ED5" w:rsidRPr="00E87ED5" w:rsidRDefault="00E87ED5" w:rsidP="00175500"/>
    <w:p w14:paraId="61FA2767" w14:textId="11C01B99"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F50C542" w:rsidR="00383117" w:rsidRDefault="00383117" w:rsidP="00383117">
      <w:pPr>
        <w:rPr>
          <w:b/>
          <w:bCs/>
        </w:rPr>
      </w:pPr>
      <w:r>
        <w:tab/>
      </w:r>
      <w:r>
        <w:rPr>
          <w:b/>
          <w:bCs/>
        </w:rPr>
        <w:t>Thuật toán Euclid:</w:t>
      </w:r>
    </w:p>
    <w:p w14:paraId="7C2EABCA" w14:textId="6E477353" w:rsidR="004D1A9C" w:rsidRPr="004D1A9C" w:rsidRDefault="00B86535" w:rsidP="00383117">
      <w:r>
        <w:rPr>
          <w:noProof/>
          <w14:ligatures w14:val="standardContextual"/>
        </w:rPr>
        <w:lastRenderedPageBreak/>
        <mc:AlternateContent>
          <mc:Choice Requires="wps">
            <w:drawing>
              <wp:anchor distT="0" distB="0" distL="114300" distR="114300" simplePos="0" relativeHeight="251669504" behindDoc="0" locked="0" layoutInCell="1" allowOverlap="1" wp14:anchorId="11236A92" wp14:editId="46202080">
                <wp:simplePos x="0" y="0"/>
                <wp:positionH relativeFrom="margin">
                  <wp:align>center</wp:align>
                </wp:positionH>
                <wp:positionV relativeFrom="page">
                  <wp:posOffset>1837055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37E8595D" w14:textId="77777777" w:rsidR="00B86535" w:rsidRDefault="00B86535" w:rsidP="00B86535">
                            <w:pPr>
                              <w:rPr>
                                <w:rFonts w:ascii="JetBrains Mono" w:hAnsi="JetBrains Mono" w:cs="JetBrains Mono"/>
                                <w:sz w:val="20"/>
                                <w:szCs w:val="16"/>
                              </w:rPr>
                            </w:pPr>
                            <w:r>
                              <w:rPr>
                                <w:rFonts w:ascii="JetBrains Mono" w:hAnsi="JetBrains Mono" w:cs="JetBrains Mono"/>
                                <w:sz w:val="20"/>
                                <w:szCs w:val="16"/>
                              </w:rPr>
                              <w:t>Function GCD(x, y):</w:t>
                            </w:r>
                          </w:p>
                          <w:p w14:paraId="67B914F5" w14:textId="77777777" w:rsidR="00B86535" w:rsidRDefault="00B86535" w:rsidP="00B86535">
                            <w:pPr>
                              <w:rPr>
                                <w:rFonts w:ascii="JetBrains Mono" w:hAnsi="JetBrains Mono" w:cs="JetBrains Mono"/>
                                <w:sz w:val="20"/>
                                <w:szCs w:val="16"/>
                              </w:rPr>
                            </w:pPr>
                            <w:r>
                              <w:rPr>
                                <w:rFonts w:ascii="JetBrains Mono" w:hAnsi="JetBrains Mono" w:cs="JetBrains Mono"/>
                                <w:sz w:val="20"/>
                                <w:szCs w:val="16"/>
                              </w:rPr>
                              <w:tab/>
                              <w:t>if y = 0 then return x</w:t>
                            </w:r>
                          </w:p>
                          <w:p w14:paraId="4265E27B"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36A92" id="_x0000_s1086" type="#_x0000_t202" style="position:absolute;left:0;text-align:left;margin-left:0;margin-top:144.65pt;width:406pt;height:82.6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" fillcolor="white [3201]" strokeweight=".5pt">
                <v:textbox>
                  <w:txbxContent>
                    <w:p w14:paraId="37E8595D" w14:textId="77777777" w:rsidR="00B86535" w:rsidRDefault="00B86535" w:rsidP="00B86535">
                      <w:pPr>
                        <w:rPr>
                          <w:rFonts w:ascii="JetBrains Mono" w:hAnsi="JetBrains Mono" w:cs="JetBrains Mono"/>
                          <w:sz w:val="20"/>
                          <w:szCs w:val="16"/>
                        </w:rPr>
                      </w:pPr>
                      <w:r>
                        <w:rPr>
                          <w:rFonts w:ascii="JetBrains Mono" w:hAnsi="JetBrains Mono" w:cs="JetBrains Mono"/>
                          <w:sz w:val="20"/>
                          <w:szCs w:val="16"/>
                        </w:rPr>
                        <w:t>Function GCD(x, y):</w:t>
                      </w:r>
                    </w:p>
                    <w:p w14:paraId="67B914F5" w14:textId="77777777" w:rsidR="00B86535" w:rsidRDefault="00B86535" w:rsidP="00B86535">
                      <w:pPr>
                        <w:rPr>
                          <w:rFonts w:ascii="JetBrains Mono" w:hAnsi="JetBrains Mono" w:cs="JetBrains Mono"/>
                          <w:sz w:val="20"/>
                          <w:szCs w:val="16"/>
                        </w:rPr>
                      </w:pPr>
                      <w:r>
                        <w:rPr>
                          <w:rFonts w:ascii="JetBrains Mono" w:hAnsi="JetBrains Mono" w:cs="JetBrains Mono"/>
                          <w:sz w:val="20"/>
                          <w:szCs w:val="16"/>
                        </w:rPr>
                        <w:tab/>
                        <w:t>if y = 0 then return x</w:t>
                      </w:r>
                    </w:p>
                    <w:p w14:paraId="4265E27B"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3F5656A9"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m:t>ax+bn=d=gcd</m:t>
          </m:r>
          <m:d>
            <m:dPr>
              <m:ctrlPr>
                <w:rPr>
                  <w:rFonts w:ascii="Cambria Math" w:hAnsi="Cambria Math"/>
                  <w:i/>
                </w:rPr>
              </m:ctrlPr>
            </m:dPr>
            <m:e>
              <m:r>
                <w:rPr>
                  <w:rFonts w:ascii="Cambria Math" w:hAnsi="Cambria Math"/>
                </w:rPr>
                <m:t>x,n</m:t>
              </m:r>
            </m:e>
          </m:d>
        </m:oMath>
      </m:oMathPara>
    </w:p>
    <w:p w14:paraId="7599B94C" w14:textId="494C4AC4" w:rsidR="008F4373" w:rsidRDefault="00B86535" w:rsidP="0099770E">
      <w:r>
        <w:rPr>
          <w:noProof/>
          <w14:ligatures w14:val="standardContextual"/>
        </w:rPr>
        <mc:AlternateContent>
          <mc:Choice Requires="wps">
            <w:drawing>
              <wp:anchor distT="0" distB="0" distL="114300" distR="114300" simplePos="0" relativeHeight="251665408" behindDoc="0" locked="0" layoutInCell="1" allowOverlap="1" wp14:anchorId="65B0B756" wp14:editId="55FFE2E1">
                <wp:simplePos x="0" y="0"/>
                <wp:positionH relativeFrom="margin">
                  <wp:align>center</wp:align>
                </wp:positionH>
                <wp:positionV relativeFrom="page">
                  <wp:posOffset>5758815</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B756" id="_x0000_s1087" type="#_x0000_t202" style="position:absolute;left:0;text-align:left;margin-left:0;margin-top:453.45pt;width:406pt;height:15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" fillcolor="white [3201]" strokeweight=".5pt">
                <v:textbo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4E52607C"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 xml:space="preserve">sàng </w:t>
      </w:r>
      <w:r w:rsidRPr="0072503B">
        <w:lastRenderedPageBreak/>
        <w:t>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lastRenderedPageBreak/>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lastRenderedPageBreak/>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6794E48D"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33E303A9"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lastRenderedPageBreak/>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2ADA883" w14:textId="60233979" w:rsidR="002777E0" w:rsidRDefault="002777E0" w:rsidP="002777E0">
      <w:pPr>
        <w:pStyle w:val="Heading3"/>
        <w:jc w:val="center"/>
        <w:rPr>
          <w:rFonts w:ascii="Times New Roman" w:hAnsi="Times New Roman" w:cs="Times New Roman"/>
          <w:b/>
          <w:bCs/>
          <w:sz w:val="28"/>
        </w:rPr>
      </w:pPr>
      <w:r w:rsidRPr="002777E0">
        <w:rPr>
          <w:rFonts w:ascii="Times New Roman" w:hAnsi="Times New Roman" w:cs="Times New Roman"/>
          <w:b/>
          <w:bCs/>
          <w:noProof/>
          <w:sz w:val="28"/>
        </w:rPr>
        <w:drawing>
          <wp:inline distT="0" distB="0" distL="0" distR="0" wp14:anchorId="2369030D" wp14:editId="31A611CF">
            <wp:extent cx="4747671" cy="6972904"/>
            <wp:effectExtent l="0" t="0" r="0" b="0"/>
            <wp:docPr id="96443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3357" name="Picture 1" descr="A screenshot of a computer&#10;&#10;Description automatically generated"/>
                    <pic:cNvPicPr/>
                  </pic:nvPicPr>
                  <pic:blipFill>
                    <a:blip r:embed="rId10"/>
                    <a:stretch>
                      <a:fillRect/>
                    </a:stretch>
                  </pic:blipFill>
                  <pic:spPr>
                    <a:xfrm>
                      <a:off x="0" y="0"/>
                      <a:ext cx="4747671" cy="6972904"/>
                    </a:xfrm>
                    <a:prstGeom prst="rect">
                      <a:avLst/>
                    </a:prstGeom>
                  </pic:spPr>
                </pic:pic>
              </a:graphicData>
            </a:graphic>
          </wp:inline>
        </w:drawing>
      </w:r>
    </w:p>
    <w:p w14:paraId="1425FFDE" w14:textId="47BCEFD9" w:rsidR="002777E0" w:rsidRPr="002777E0" w:rsidRDefault="002777E0" w:rsidP="002777E0">
      <w:pPr>
        <w:jc w:val="center"/>
      </w:pPr>
      <w:r>
        <w:t>Hình</w:t>
      </w:r>
    </w:p>
    <w:p w14:paraId="3DE9BCC5" w14:textId="576603B6" w:rsidR="002777E0" w:rsidRDefault="002777E0" w:rsidP="002777E0">
      <w:pPr>
        <w:jc w:val="center"/>
      </w:pPr>
      <w:r w:rsidRPr="002777E0">
        <w:rPr>
          <w:noProof/>
        </w:rPr>
        <w:lastRenderedPageBreak/>
        <w:drawing>
          <wp:inline distT="0" distB="0" distL="0" distR="0" wp14:anchorId="7FA9403E" wp14:editId="3329DED5">
            <wp:extent cx="4755292" cy="5166808"/>
            <wp:effectExtent l="0" t="0" r="7620" b="0"/>
            <wp:docPr id="2067301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1047" name="Picture 1" descr="A screenshot of a computer&#10;&#10;Description automatically generated"/>
                    <pic:cNvPicPr/>
                  </pic:nvPicPr>
                  <pic:blipFill>
                    <a:blip r:embed="rId11"/>
                    <a:stretch>
                      <a:fillRect/>
                    </a:stretch>
                  </pic:blipFill>
                  <pic:spPr>
                    <a:xfrm>
                      <a:off x="0" y="0"/>
                      <a:ext cx="4755292" cy="5166808"/>
                    </a:xfrm>
                    <a:prstGeom prst="rect">
                      <a:avLst/>
                    </a:prstGeom>
                  </pic:spPr>
                </pic:pic>
              </a:graphicData>
            </a:graphic>
          </wp:inline>
        </w:drawing>
      </w:r>
    </w:p>
    <w:p w14:paraId="591DF11C" w14:textId="5E643432" w:rsidR="002777E0" w:rsidRDefault="002777E0" w:rsidP="002777E0">
      <w:pPr>
        <w:jc w:val="center"/>
      </w:pPr>
      <w:r>
        <w:t>Hình</w:t>
      </w:r>
    </w:p>
    <w:p w14:paraId="522BE541" w14:textId="7687500F" w:rsidR="002777E0" w:rsidRDefault="002777E0" w:rsidP="002777E0">
      <w:pPr>
        <w:jc w:val="center"/>
      </w:pPr>
      <w:r w:rsidRPr="002777E0">
        <w:rPr>
          <w:noProof/>
        </w:rPr>
        <w:lastRenderedPageBreak/>
        <w:drawing>
          <wp:inline distT="0" distB="0" distL="0" distR="0" wp14:anchorId="401749E2" wp14:editId="4D006008">
            <wp:extent cx="4740051" cy="4480948"/>
            <wp:effectExtent l="0" t="0" r="3810" b="0"/>
            <wp:docPr id="97179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8541" name="Picture 1" descr="A screenshot of a computer&#10;&#10;Description automatically generated"/>
                    <pic:cNvPicPr/>
                  </pic:nvPicPr>
                  <pic:blipFill>
                    <a:blip r:embed="rId12"/>
                    <a:stretch>
                      <a:fillRect/>
                    </a:stretch>
                  </pic:blipFill>
                  <pic:spPr>
                    <a:xfrm>
                      <a:off x="0" y="0"/>
                      <a:ext cx="4740051" cy="4480948"/>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1CBAB" w14:textId="77777777" w:rsidR="00B53A7D" w:rsidRDefault="00B53A7D" w:rsidP="00550001">
      <w:pPr>
        <w:spacing w:before="0" w:after="0" w:line="240" w:lineRule="auto"/>
      </w:pPr>
      <w:r>
        <w:separator/>
      </w:r>
    </w:p>
  </w:endnote>
  <w:endnote w:type="continuationSeparator" w:id="0">
    <w:p w14:paraId="12AC2921" w14:textId="77777777" w:rsidR="00B53A7D" w:rsidRDefault="00B53A7D"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E64E7" w14:textId="77777777" w:rsidR="00B53A7D" w:rsidRDefault="00B53A7D" w:rsidP="00550001">
      <w:pPr>
        <w:spacing w:before="0" w:after="0" w:line="240" w:lineRule="auto"/>
      </w:pPr>
      <w:r>
        <w:separator/>
      </w:r>
    </w:p>
  </w:footnote>
  <w:footnote w:type="continuationSeparator" w:id="0">
    <w:p w14:paraId="39731987" w14:textId="77777777" w:rsidR="00B53A7D" w:rsidRDefault="00B53A7D"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4"/>
  </w:num>
  <w:num w:numId="2" w16cid:durableId="1769353782">
    <w:abstractNumId w:val="6"/>
  </w:num>
  <w:num w:numId="3" w16cid:durableId="215624916">
    <w:abstractNumId w:val="1"/>
  </w:num>
  <w:num w:numId="4" w16cid:durableId="1486317011">
    <w:abstractNumId w:val="2"/>
  </w:num>
  <w:num w:numId="5" w16cid:durableId="1901135641">
    <w:abstractNumId w:val="5"/>
  </w:num>
  <w:num w:numId="6" w16cid:durableId="494804526">
    <w:abstractNumId w:val="0"/>
  </w:num>
  <w:num w:numId="7" w16cid:durableId="715740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500CF"/>
    <w:rsid w:val="00065CE3"/>
    <w:rsid w:val="000663D7"/>
    <w:rsid w:val="000709BC"/>
    <w:rsid w:val="00070E54"/>
    <w:rsid w:val="00074181"/>
    <w:rsid w:val="0009513B"/>
    <w:rsid w:val="000C6DE7"/>
    <w:rsid w:val="00123984"/>
    <w:rsid w:val="00175500"/>
    <w:rsid w:val="001A7703"/>
    <w:rsid w:val="001B1A3F"/>
    <w:rsid w:val="001F3F50"/>
    <w:rsid w:val="0023613A"/>
    <w:rsid w:val="0023798E"/>
    <w:rsid w:val="00246E06"/>
    <w:rsid w:val="00257E79"/>
    <w:rsid w:val="0026246F"/>
    <w:rsid w:val="00266FC4"/>
    <w:rsid w:val="002746BA"/>
    <w:rsid w:val="002777E0"/>
    <w:rsid w:val="002941AA"/>
    <w:rsid w:val="00296F26"/>
    <w:rsid w:val="002A1115"/>
    <w:rsid w:val="002B6A45"/>
    <w:rsid w:val="002E62F3"/>
    <w:rsid w:val="003414B8"/>
    <w:rsid w:val="0035671F"/>
    <w:rsid w:val="00383117"/>
    <w:rsid w:val="00393715"/>
    <w:rsid w:val="003A0FB4"/>
    <w:rsid w:val="003A1D64"/>
    <w:rsid w:val="003A3405"/>
    <w:rsid w:val="003A432D"/>
    <w:rsid w:val="003A51F1"/>
    <w:rsid w:val="003D3D0C"/>
    <w:rsid w:val="00431F54"/>
    <w:rsid w:val="00486220"/>
    <w:rsid w:val="00486D3D"/>
    <w:rsid w:val="004C7093"/>
    <w:rsid w:val="004D1A9C"/>
    <w:rsid w:val="004E2202"/>
    <w:rsid w:val="0050329F"/>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6C5881"/>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44765"/>
    <w:rsid w:val="009544DD"/>
    <w:rsid w:val="009935DE"/>
    <w:rsid w:val="0099770E"/>
    <w:rsid w:val="009B0A2C"/>
    <w:rsid w:val="009C686B"/>
    <w:rsid w:val="009E6360"/>
    <w:rsid w:val="00A33FDB"/>
    <w:rsid w:val="00A342C9"/>
    <w:rsid w:val="00A752AA"/>
    <w:rsid w:val="00A7545D"/>
    <w:rsid w:val="00AA44D6"/>
    <w:rsid w:val="00AB77A3"/>
    <w:rsid w:val="00AC1C6D"/>
    <w:rsid w:val="00AC76F5"/>
    <w:rsid w:val="00B23391"/>
    <w:rsid w:val="00B3377E"/>
    <w:rsid w:val="00B43F91"/>
    <w:rsid w:val="00B53505"/>
    <w:rsid w:val="00B53A7D"/>
    <w:rsid w:val="00B57562"/>
    <w:rsid w:val="00B86535"/>
    <w:rsid w:val="00BB070E"/>
    <w:rsid w:val="00BE64A2"/>
    <w:rsid w:val="00BE7A51"/>
    <w:rsid w:val="00BF188F"/>
    <w:rsid w:val="00C04557"/>
    <w:rsid w:val="00C050C2"/>
    <w:rsid w:val="00C25739"/>
    <w:rsid w:val="00C42033"/>
    <w:rsid w:val="00C530D2"/>
    <w:rsid w:val="00C57B37"/>
    <w:rsid w:val="00C856C7"/>
    <w:rsid w:val="00C94C8A"/>
    <w:rsid w:val="00CA2BC3"/>
    <w:rsid w:val="00CA2F19"/>
    <w:rsid w:val="00D0034B"/>
    <w:rsid w:val="00D0547B"/>
    <w:rsid w:val="00D502E6"/>
    <w:rsid w:val="00D534B3"/>
    <w:rsid w:val="00DE3DE6"/>
    <w:rsid w:val="00E14BE7"/>
    <w:rsid w:val="00E24E75"/>
    <w:rsid w:val="00E87ED5"/>
    <w:rsid w:val="00E95302"/>
    <w:rsid w:val="00EC3FE7"/>
    <w:rsid w:val="00ED0DEE"/>
    <w:rsid w:val="00ED4B7D"/>
    <w:rsid w:val="00EE44E1"/>
    <w:rsid w:val="00EF5897"/>
    <w:rsid w:val="00F161F2"/>
    <w:rsid w:val="00F22A47"/>
    <w:rsid w:val="00F25921"/>
    <w:rsid w:val="00F35182"/>
    <w:rsid w:val="00F4238C"/>
    <w:rsid w:val="00F44CC7"/>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27</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26</cp:revision>
  <dcterms:created xsi:type="dcterms:W3CDTF">2024-12-13T14:00:00Z</dcterms:created>
  <dcterms:modified xsi:type="dcterms:W3CDTF">2024-12-18T04:52:00Z</dcterms:modified>
</cp:coreProperties>
</file>