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FC6" w:rsidRPr="004123EF" w:rsidRDefault="00DD4C89" w:rsidP="00815FC6">
      <w:pPr>
        <w:spacing w:line="312" w:lineRule="auto"/>
        <w:ind w:left="-142"/>
        <w:jc w:val="both"/>
        <w:rPr>
          <w:noProof/>
        </w:rPr>
      </w:pPr>
      <w:r>
        <w:rPr>
          <w:noProof/>
        </w:rPr>
        <w:drawing>
          <wp:inline distT="0" distB="0" distL="0" distR="0" wp14:anchorId="27B73CEA" wp14:editId="3BA89834">
            <wp:extent cx="5903595" cy="1040698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104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5FC6" w:rsidRPr="004123EF" w:rsidRDefault="00815FC6" w:rsidP="00815FC6">
      <w:pPr>
        <w:spacing w:line="312" w:lineRule="auto"/>
        <w:ind w:left="-142"/>
        <w:jc w:val="both"/>
        <w:rPr>
          <w:noProof/>
        </w:rPr>
      </w:pPr>
    </w:p>
    <w:tbl>
      <w:tblPr>
        <w:tblW w:w="1008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652"/>
        <w:gridCol w:w="1530"/>
        <w:gridCol w:w="3368"/>
      </w:tblGrid>
      <w:tr w:rsidR="00815FC6" w:rsidRPr="00D414A8" w:rsidTr="00815FC6">
        <w:trPr>
          <w:trHeight w:val="300"/>
        </w:trPr>
        <w:tc>
          <w:tcPr>
            <w:tcW w:w="1530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D414A8">
              <w:rPr>
                <w:rFonts w:ascii="Times New Roman" w:hAnsi="Times New Roman"/>
                <w:sz w:val="22"/>
                <w:szCs w:val="22"/>
              </w:rPr>
              <w:t>Kính gửi:</w:t>
            </w:r>
          </w:p>
        </w:tc>
        <w:tc>
          <w:tcPr>
            <w:tcW w:w="3652" w:type="dxa"/>
            <w:vAlign w:val="center"/>
          </w:tcPr>
          <w:p w:rsidR="00815FC6" w:rsidRPr="00815FC6" w:rsidRDefault="00815FC6" w:rsidP="00815FC6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Trung tâm y tế </w:t>
            </w:r>
            <w:r>
              <w:rPr>
                <w:rFonts w:ascii="Times New Roman" w:hAnsi="Times New Roman"/>
                <w:sz w:val="22"/>
                <w:szCs w:val="22"/>
                <w:lang w:val="vi-VN"/>
              </w:rPr>
              <w:t>huyện Than Uyên</w:t>
            </w:r>
          </w:p>
        </w:tc>
        <w:tc>
          <w:tcPr>
            <w:tcW w:w="1530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D414A8">
              <w:rPr>
                <w:rFonts w:ascii="Times New Roman" w:hAnsi="Times New Roman"/>
                <w:sz w:val="22"/>
                <w:szCs w:val="22"/>
              </w:rPr>
              <w:t>Người gửi:</w:t>
            </w:r>
          </w:p>
        </w:tc>
        <w:tc>
          <w:tcPr>
            <w:tcW w:w="3368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D414A8">
              <w:rPr>
                <w:rFonts w:ascii="Times New Roman" w:hAnsi="Times New Roman"/>
                <w:sz w:val="22"/>
                <w:szCs w:val="22"/>
              </w:rPr>
              <w:t xml:space="preserve">Thới Thị Hoàng Yến </w:t>
            </w:r>
          </w:p>
        </w:tc>
      </w:tr>
      <w:tr w:rsidR="00815FC6" w:rsidRPr="00D414A8" w:rsidTr="00815FC6">
        <w:trPr>
          <w:trHeight w:val="300"/>
        </w:trPr>
        <w:tc>
          <w:tcPr>
            <w:tcW w:w="1530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D414A8">
              <w:rPr>
                <w:rFonts w:ascii="Times New Roman" w:hAnsi="Times New Roman"/>
                <w:sz w:val="22"/>
                <w:szCs w:val="22"/>
              </w:rPr>
              <w:t>Người nhận:</w:t>
            </w:r>
          </w:p>
        </w:tc>
        <w:tc>
          <w:tcPr>
            <w:tcW w:w="3652" w:type="dxa"/>
            <w:vAlign w:val="center"/>
          </w:tcPr>
          <w:p w:rsidR="00815FC6" w:rsidRPr="00815FC6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sz w:val="22"/>
                <w:szCs w:val="22"/>
                <w:lang w:val="vi-VN"/>
              </w:rPr>
              <w:t>Anh Lượng</w:t>
            </w:r>
          </w:p>
        </w:tc>
        <w:tc>
          <w:tcPr>
            <w:tcW w:w="1530" w:type="dxa"/>
            <w:vAlign w:val="center"/>
          </w:tcPr>
          <w:p w:rsidR="00815FC6" w:rsidRPr="00D414A8" w:rsidRDefault="0072300A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Mã NV - BP</w:t>
            </w:r>
          </w:p>
        </w:tc>
        <w:tc>
          <w:tcPr>
            <w:tcW w:w="3368" w:type="dxa"/>
            <w:vAlign w:val="center"/>
          </w:tcPr>
          <w:p w:rsidR="00815FC6" w:rsidRPr="00D414A8" w:rsidRDefault="0072300A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032-KD</w:t>
            </w:r>
          </w:p>
        </w:tc>
      </w:tr>
      <w:tr w:rsidR="00815FC6" w:rsidRPr="00D414A8" w:rsidTr="00815FC6">
        <w:trPr>
          <w:trHeight w:val="315"/>
        </w:trPr>
        <w:tc>
          <w:tcPr>
            <w:tcW w:w="1530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D414A8">
              <w:rPr>
                <w:rFonts w:ascii="Times New Roman" w:hAnsi="Times New Roman"/>
                <w:sz w:val="22"/>
                <w:szCs w:val="22"/>
              </w:rPr>
              <w:t>Địa chỉ:</w:t>
            </w:r>
          </w:p>
        </w:tc>
        <w:tc>
          <w:tcPr>
            <w:tcW w:w="3652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D414A8">
              <w:rPr>
                <w:rFonts w:ascii="Times New Roman" w:hAnsi="Times New Roman"/>
                <w:sz w:val="22"/>
                <w:szCs w:val="22"/>
              </w:rPr>
              <w:t>Điện thoại:</w:t>
            </w:r>
          </w:p>
        </w:tc>
        <w:tc>
          <w:tcPr>
            <w:tcW w:w="3368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D414A8">
              <w:rPr>
                <w:rFonts w:ascii="Times New Roman" w:hAnsi="Times New Roman"/>
                <w:sz w:val="22"/>
                <w:szCs w:val="22"/>
              </w:rPr>
              <w:t>0912 314 224 – 098 331 4966</w:t>
            </w:r>
          </w:p>
        </w:tc>
      </w:tr>
      <w:tr w:rsidR="00815FC6" w:rsidRPr="00D414A8" w:rsidTr="00815FC6">
        <w:trPr>
          <w:trHeight w:val="300"/>
        </w:trPr>
        <w:tc>
          <w:tcPr>
            <w:tcW w:w="1530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D414A8">
              <w:rPr>
                <w:rFonts w:ascii="Times New Roman" w:hAnsi="Times New Roman"/>
                <w:sz w:val="22"/>
                <w:szCs w:val="22"/>
              </w:rPr>
              <w:t>Điện thoại:</w:t>
            </w:r>
          </w:p>
        </w:tc>
        <w:tc>
          <w:tcPr>
            <w:tcW w:w="3652" w:type="dxa"/>
            <w:vAlign w:val="center"/>
          </w:tcPr>
          <w:p w:rsidR="00815FC6" w:rsidRPr="00815FC6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sz w:val="22"/>
                <w:szCs w:val="22"/>
                <w:lang w:val="vi-VN"/>
              </w:rPr>
              <w:t>0966489831</w:t>
            </w:r>
          </w:p>
        </w:tc>
        <w:tc>
          <w:tcPr>
            <w:tcW w:w="1530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D414A8">
              <w:rPr>
                <w:rFonts w:ascii="Times New Roman" w:hAnsi="Times New Roman"/>
                <w:sz w:val="22"/>
                <w:szCs w:val="22"/>
              </w:rPr>
              <w:t>Số trang:</w:t>
            </w:r>
          </w:p>
        </w:tc>
        <w:tc>
          <w:tcPr>
            <w:tcW w:w="3368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D414A8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</w:tr>
      <w:tr w:rsidR="00815FC6" w:rsidRPr="00D414A8" w:rsidTr="00815FC6">
        <w:trPr>
          <w:trHeight w:val="315"/>
        </w:trPr>
        <w:tc>
          <w:tcPr>
            <w:tcW w:w="1530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D414A8">
              <w:rPr>
                <w:rFonts w:ascii="Times New Roman" w:hAnsi="Times New Roman"/>
                <w:sz w:val="22"/>
                <w:szCs w:val="22"/>
              </w:rPr>
              <w:t>Fax:</w:t>
            </w:r>
          </w:p>
        </w:tc>
        <w:tc>
          <w:tcPr>
            <w:tcW w:w="3652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D414A8">
              <w:rPr>
                <w:rFonts w:ascii="Times New Roman" w:hAnsi="Times New Roman"/>
                <w:sz w:val="22"/>
                <w:szCs w:val="22"/>
              </w:rPr>
              <w:t>Ngày:</w:t>
            </w:r>
          </w:p>
        </w:tc>
        <w:tc>
          <w:tcPr>
            <w:tcW w:w="3368" w:type="dxa"/>
            <w:vAlign w:val="center"/>
          </w:tcPr>
          <w:p w:rsidR="00815FC6" w:rsidRPr="00D414A8" w:rsidRDefault="004B24F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29/12/2016</w:t>
            </w:r>
          </w:p>
        </w:tc>
      </w:tr>
      <w:tr w:rsidR="00815FC6" w:rsidRPr="00D414A8" w:rsidTr="00815FC6">
        <w:trPr>
          <w:trHeight w:val="300"/>
        </w:trPr>
        <w:tc>
          <w:tcPr>
            <w:tcW w:w="1530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D414A8">
              <w:rPr>
                <w:rFonts w:ascii="Times New Roman" w:hAnsi="Times New Roman"/>
                <w:sz w:val="22"/>
                <w:szCs w:val="22"/>
              </w:rPr>
              <w:t>Email:</w:t>
            </w:r>
          </w:p>
        </w:tc>
        <w:tc>
          <w:tcPr>
            <w:tcW w:w="3652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color w:val="0000FF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D414A8">
              <w:rPr>
                <w:rFonts w:ascii="Times New Roman" w:hAnsi="Times New Roman"/>
                <w:sz w:val="22"/>
                <w:szCs w:val="22"/>
              </w:rPr>
              <w:t xml:space="preserve">Email: </w:t>
            </w:r>
          </w:p>
        </w:tc>
        <w:tc>
          <w:tcPr>
            <w:tcW w:w="3368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color w:val="0000FF"/>
                <w:sz w:val="22"/>
                <w:szCs w:val="22"/>
              </w:rPr>
            </w:pPr>
            <w:r w:rsidRPr="00D414A8">
              <w:rPr>
                <w:rFonts w:ascii="Times New Roman" w:hAnsi="Times New Roman"/>
                <w:color w:val="0000FF"/>
                <w:sz w:val="22"/>
                <w:szCs w:val="22"/>
              </w:rPr>
              <w:t>hoangyen@ehis.vn</w:t>
            </w:r>
          </w:p>
        </w:tc>
      </w:tr>
      <w:tr w:rsidR="00815FC6" w:rsidRPr="00D414A8" w:rsidTr="00815FC6">
        <w:trPr>
          <w:trHeight w:val="300"/>
        </w:trPr>
        <w:tc>
          <w:tcPr>
            <w:tcW w:w="1530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D414A8">
              <w:rPr>
                <w:rFonts w:ascii="Times New Roman" w:hAnsi="Times New Roman"/>
                <w:sz w:val="22"/>
                <w:szCs w:val="22"/>
              </w:rPr>
              <w:t>Nội dung:</w:t>
            </w:r>
          </w:p>
        </w:tc>
        <w:tc>
          <w:tcPr>
            <w:tcW w:w="8550" w:type="dxa"/>
            <w:gridSpan w:val="3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 w:rsidRPr="00D414A8">
              <w:rPr>
                <w:rFonts w:ascii="Times New Roman" w:hAnsi="Times New Roman"/>
                <w:b/>
                <w:sz w:val="30"/>
                <w:szCs w:val="30"/>
              </w:rPr>
              <w:t>BẢNG BÁO GIÁ</w:t>
            </w:r>
          </w:p>
        </w:tc>
      </w:tr>
    </w:tbl>
    <w:p w:rsidR="00815FC6" w:rsidRPr="004123EF" w:rsidRDefault="00815FC6" w:rsidP="00815FC6">
      <w:pPr>
        <w:spacing w:line="312" w:lineRule="auto"/>
        <w:ind w:left="-142" w:firstLine="851"/>
        <w:jc w:val="both"/>
        <w:rPr>
          <w:sz w:val="22"/>
          <w:szCs w:val="22"/>
        </w:rPr>
      </w:pPr>
    </w:p>
    <w:p w:rsidR="00815FC6" w:rsidRPr="004123EF" w:rsidRDefault="00815FC6" w:rsidP="00815FC6">
      <w:pPr>
        <w:spacing w:line="312" w:lineRule="auto"/>
        <w:ind w:left="-142" w:firstLine="851"/>
        <w:rPr>
          <w:sz w:val="26"/>
          <w:szCs w:val="26"/>
        </w:rPr>
      </w:pPr>
      <w:r w:rsidRPr="004123EF">
        <w:rPr>
          <w:sz w:val="26"/>
          <w:szCs w:val="26"/>
        </w:rPr>
        <w:t xml:space="preserve">Công ty </w:t>
      </w:r>
      <w:r w:rsidRPr="004123EF">
        <w:rPr>
          <w:b/>
          <w:sz w:val="26"/>
          <w:szCs w:val="26"/>
        </w:rPr>
        <w:t>Song Ân</w:t>
      </w:r>
      <w:r w:rsidRPr="004123EF">
        <w:rPr>
          <w:sz w:val="26"/>
          <w:szCs w:val="26"/>
        </w:rPr>
        <w:t xml:space="preserve"> chân thành cảm ơn Quý Khách đã quan tâm đến nh</w:t>
      </w:r>
      <w:r>
        <w:rPr>
          <w:sz w:val="26"/>
          <w:szCs w:val="26"/>
        </w:rPr>
        <w:t xml:space="preserve">ững sản phẩm và dịch vụ do Song Ân </w:t>
      </w:r>
      <w:r w:rsidRPr="004123EF">
        <w:rPr>
          <w:sz w:val="26"/>
          <w:szCs w:val="26"/>
        </w:rPr>
        <w:t>cung cấp. Để đáp ứng đầy đủ những yêu cầu chi tiết của Quý Khách, chúng</w:t>
      </w:r>
      <w:r>
        <w:rPr>
          <w:sz w:val="26"/>
          <w:szCs w:val="26"/>
        </w:rPr>
        <w:t xml:space="preserve"> tôi hân </w:t>
      </w:r>
      <w:r w:rsidRPr="004123EF">
        <w:rPr>
          <w:sz w:val="26"/>
          <w:szCs w:val="26"/>
        </w:rPr>
        <w:t xml:space="preserve">hạnh gởi đến Quý Khách bảng báo giá tốt nhất với nội dung như sau: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545" w:type="dxa"/>
        <w:jc w:val="center"/>
        <w:tblInd w:w="-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330"/>
        <w:gridCol w:w="2728"/>
        <w:gridCol w:w="838"/>
        <w:gridCol w:w="1025"/>
        <w:gridCol w:w="965"/>
        <w:gridCol w:w="1475"/>
        <w:gridCol w:w="1475"/>
      </w:tblGrid>
      <w:tr w:rsidR="008E58ED" w:rsidRPr="008504B7" w:rsidTr="002D0C38">
        <w:trPr>
          <w:trHeight w:val="897"/>
          <w:jc w:val="center"/>
        </w:trPr>
        <w:tc>
          <w:tcPr>
            <w:tcW w:w="709" w:type="dxa"/>
            <w:shd w:val="clear" w:color="auto" w:fill="auto"/>
            <w:vAlign w:val="center"/>
            <w:hideMark/>
          </w:tcPr>
          <w:p w:rsidR="00CA3553" w:rsidRPr="008504B7" w:rsidRDefault="00CA3553" w:rsidP="00D3310C">
            <w:pPr>
              <w:jc w:val="center"/>
              <w:rPr>
                <w:b/>
                <w:bCs/>
                <w:sz w:val="26"/>
                <w:szCs w:val="26"/>
              </w:rPr>
            </w:pPr>
            <w:r w:rsidRPr="008504B7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CA3553" w:rsidRPr="008504B7" w:rsidRDefault="008E58ED" w:rsidP="00CA355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Danh mục phần mềm/dịch vụ</w:t>
            </w:r>
          </w:p>
        </w:tc>
        <w:tc>
          <w:tcPr>
            <w:tcW w:w="2944" w:type="dxa"/>
            <w:vAlign w:val="center"/>
          </w:tcPr>
          <w:p w:rsidR="00CA3553" w:rsidRPr="008504B7" w:rsidRDefault="008E58ED" w:rsidP="00CA355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CA3553" w:rsidRPr="008504B7" w:rsidRDefault="00CA3553" w:rsidP="00D3310C">
            <w:pPr>
              <w:jc w:val="center"/>
              <w:rPr>
                <w:b/>
                <w:bCs/>
                <w:sz w:val="26"/>
                <w:szCs w:val="26"/>
              </w:rPr>
            </w:pPr>
            <w:r w:rsidRPr="008504B7">
              <w:rPr>
                <w:b/>
                <w:bCs/>
                <w:sz w:val="26"/>
                <w:szCs w:val="26"/>
              </w:rPr>
              <w:t>Bảo Hành</w:t>
            </w:r>
          </w:p>
        </w:tc>
        <w:tc>
          <w:tcPr>
            <w:tcW w:w="787" w:type="dxa"/>
            <w:shd w:val="clear" w:color="auto" w:fill="auto"/>
            <w:vAlign w:val="center"/>
            <w:hideMark/>
          </w:tcPr>
          <w:p w:rsidR="00CA3553" w:rsidRPr="008504B7" w:rsidRDefault="00CA3553" w:rsidP="00D3310C">
            <w:pPr>
              <w:jc w:val="center"/>
              <w:rPr>
                <w:b/>
                <w:bCs/>
                <w:sz w:val="26"/>
                <w:szCs w:val="26"/>
              </w:rPr>
            </w:pPr>
            <w:r w:rsidRPr="008504B7">
              <w:rPr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965" w:type="dxa"/>
            <w:shd w:val="clear" w:color="auto" w:fill="auto"/>
            <w:vAlign w:val="center"/>
            <w:hideMark/>
          </w:tcPr>
          <w:p w:rsidR="00CA3553" w:rsidRPr="008504B7" w:rsidRDefault="00CA3553" w:rsidP="00D3310C">
            <w:pPr>
              <w:jc w:val="center"/>
              <w:rPr>
                <w:b/>
                <w:bCs/>
                <w:sz w:val="26"/>
                <w:szCs w:val="26"/>
              </w:rPr>
            </w:pPr>
            <w:r w:rsidRPr="008504B7">
              <w:rPr>
                <w:b/>
                <w:bCs/>
                <w:sz w:val="26"/>
                <w:szCs w:val="26"/>
              </w:rPr>
              <w:t>Số Lượng</w:t>
            </w:r>
          </w:p>
        </w:tc>
        <w:tc>
          <w:tcPr>
            <w:tcW w:w="1485" w:type="dxa"/>
            <w:shd w:val="clear" w:color="auto" w:fill="auto"/>
            <w:vAlign w:val="center"/>
            <w:hideMark/>
          </w:tcPr>
          <w:p w:rsidR="00CA3553" w:rsidRPr="008504B7" w:rsidRDefault="00CA3553" w:rsidP="00D3310C">
            <w:pPr>
              <w:jc w:val="center"/>
              <w:rPr>
                <w:b/>
                <w:bCs/>
                <w:sz w:val="26"/>
                <w:szCs w:val="26"/>
              </w:rPr>
            </w:pPr>
            <w:r w:rsidRPr="008504B7">
              <w:rPr>
                <w:b/>
                <w:bCs/>
                <w:sz w:val="26"/>
                <w:szCs w:val="26"/>
              </w:rPr>
              <w:t xml:space="preserve">Đơn Giá </w:t>
            </w:r>
            <w:r w:rsidRPr="008504B7">
              <w:rPr>
                <w:b/>
                <w:bCs/>
                <w:sz w:val="26"/>
                <w:szCs w:val="26"/>
              </w:rPr>
              <w:br/>
              <w:t>(VNĐ)</w:t>
            </w:r>
          </w:p>
        </w:tc>
        <w:tc>
          <w:tcPr>
            <w:tcW w:w="1485" w:type="dxa"/>
            <w:shd w:val="clear" w:color="auto" w:fill="auto"/>
            <w:vAlign w:val="center"/>
            <w:hideMark/>
          </w:tcPr>
          <w:p w:rsidR="00CA3553" w:rsidRPr="008504B7" w:rsidRDefault="00CA3553" w:rsidP="00D3310C">
            <w:pPr>
              <w:jc w:val="center"/>
              <w:rPr>
                <w:b/>
                <w:bCs/>
                <w:sz w:val="26"/>
                <w:szCs w:val="26"/>
              </w:rPr>
            </w:pPr>
            <w:r w:rsidRPr="008504B7">
              <w:rPr>
                <w:b/>
                <w:bCs/>
                <w:sz w:val="26"/>
                <w:szCs w:val="26"/>
              </w:rPr>
              <w:t>Thành Tiền</w:t>
            </w:r>
            <w:r w:rsidRPr="008504B7">
              <w:rPr>
                <w:b/>
                <w:bCs/>
                <w:sz w:val="26"/>
                <w:szCs w:val="26"/>
              </w:rPr>
              <w:br/>
              <w:t>(VNĐ)</w:t>
            </w:r>
          </w:p>
        </w:tc>
      </w:tr>
      <w:tr w:rsidR="008E58ED" w:rsidRPr="008504B7" w:rsidTr="008E58ED">
        <w:trPr>
          <w:trHeight w:val="3570"/>
          <w:jc w:val="center"/>
        </w:trPr>
        <w:tc>
          <w:tcPr>
            <w:tcW w:w="709" w:type="dxa"/>
            <w:shd w:val="clear" w:color="auto" w:fill="auto"/>
            <w:vAlign w:val="center"/>
            <w:hideMark/>
          </w:tcPr>
          <w:p w:rsidR="00CA3553" w:rsidRPr="008504B7" w:rsidRDefault="00CA3553" w:rsidP="00D3310C">
            <w:pPr>
              <w:jc w:val="center"/>
              <w:rPr>
                <w:b/>
                <w:bCs/>
                <w:sz w:val="26"/>
                <w:szCs w:val="26"/>
              </w:rPr>
            </w:pPr>
            <w:r w:rsidRPr="008504B7">
              <w:rPr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CA3553" w:rsidRPr="008504B7" w:rsidRDefault="00CA3553" w:rsidP="008E58ED">
            <w:pPr>
              <w:rPr>
                <w:b/>
                <w:bCs/>
                <w:color w:val="0070C0"/>
                <w:sz w:val="26"/>
                <w:szCs w:val="26"/>
              </w:rPr>
            </w:pPr>
            <w:r w:rsidRPr="008504B7">
              <w:rPr>
                <w:b/>
                <w:bCs/>
                <w:sz w:val="26"/>
                <w:szCs w:val="26"/>
              </w:rPr>
              <w:t xml:space="preserve"> </w:t>
            </w:r>
            <w:r w:rsidR="008E58ED">
              <w:rPr>
                <w:b/>
                <w:bCs/>
                <w:sz w:val="26"/>
                <w:szCs w:val="26"/>
              </w:rPr>
              <w:t>PM kết nối máy xét nghiệm</w:t>
            </w:r>
          </w:p>
        </w:tc>
        <w:tc>
          <w:tcPr>
            <w:tcW w:w="2944" w:type="dxa"/>
            <w:vAlign w:val="center"/>
          </w:tcPr>
          <w:p w:rsidR="008E58ED" w:rsidRPr="004957E5" w:rsidRDefault="008E58ED" w:rsidP="008E58ED">
            <w:pPr>
              <w:rPr>
                <w:sz w:val="26"/>
                <w:szCs w:val="26"/>
              </w:rPr>
            </w:pPr>
          </w:p>
          <w:p w:rsidR="004957E5" w:rsidRPr="004957E5" w:rsidRDefault="004957E5" w:rsidP="004957E5">
            <w:pPr>
              <w:rPr>
                <w:sz w:val="26"/>
                <w:szCs w:val="26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:rsidR="00CA3553" w:rsidRPr="008504B7" w:rsidRDefault="008E58ED" w:rsidP="00D3310C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12 tháng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CA3553" w:rsidRPr="008504B7" w:rsidRDefault="008E58ED" w:rsidP="00D3310C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Module</w:t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CA3553" w:rsidRPr="008504B7" w:rsidRDefault="008E58ED" w:rsidP="00D3310C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01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CA3553" w:rsidRPr="008504B7" w:rsidRDefault="008E58ED" w:rsidP="00D3310C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20.000.000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CA3553" w:rsidRPr="008504B7" w:rsidRDefault="008E58ED" w:rsidP="00D3310C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20.000.000</w:t>
            </w:r>
          </w:p>
        </w:tc>
      </w:tr>
      <w:tr w:rsidR="006403E6" w:rsidRPr="008504B7" w:rsidTr="002D0C38">
        <w:trPr>
          <w:trHeight w:val="300"/>
          <w:jc w:val="center"/>
        </w:trPr>
        <w:tc>
          <w:tcPr>
            <w:tcW w:w="9060" w:type="dxa"/>
            <w:gridSpan w:val="7"/>
          </w:tcPr>
          <w:p w:rsidR="006403E6" w:rsidRPr="008504B7" w:rsidRDefault="006403E6" w:rsidP="00662700">
            <w:pPr>
              <w:jc w:val="center"/>
              <w:rPr>
                <w:b/>
                <w:bCs/>
                <w:sz w:val="26"/>
                <w:szCs w:val="26"/>
              </w:rPr>
            </w:pPr>
            <w:r w:rsidRPr="008504B7">
              <w:rPr>
                <w:b/>
                <w:bCs/>
                <w:sz w:val="26"/>
                <w:szCs w:val="26"/>
              </w:rPr>
              <w:t xml:space="preserve">TỔNG CỘNG </w:t>
            </w:r>
          </w:p>
        </w:tc>
        <w:tc>
          <w:tcPr>
            <w:tcW w:w="1485" w:type="dxa"/>
            <w:shd w:val="clear" w:color="auto" w:fill="auto"/>
            <w:vAlign w:val="center"/>
            <w:hideMark/>
          </w:tcPr>
          <w:p w:rsidR="006403E6" w:rsidRPr="008504B7" w:rsidRDefault="006403E6" w:rsidP="00D3310C">
            <w:pPr>
              <w:jc w:val="right"/>
              <w:rPr>
                <w:b/>
                <w:bCs/>
                <w:sz w:val="26"/>
                <w:szCs w:val="26"/>
              </w:rPr>
            </w:pPr>
          </w:p>
        </w:tc>
      </w:tr>
      <w:tr w:rsidR="006403E6" w:rsidRPr="008504B7" w:rsidTr="002D0C38">
        <w:trPr>
          <w:trHeight w:val="300"/>
          <w:jc w:val="center"/>
        </w:trPr>
        <w:tc>
          <w:tcPr>
            <w:tcW w:w="9060" w:type="dxa"/>
            <w:gridSpan w:val="7"/>
          </w:tcPr>
          <w:p w:rsidR="006403E6" w:rsidRPr="008504B7" w:rsidRDefault="008E58ED" w:rsidP="00D3310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THUẾ GTGT (0</w:t>
            </w:r>
            <w:r w:rsidR="006403E6">
              <w:rPr>
                <w:b/>
                <w:bCs/>
                <w:sz w:val="26"/>
                <w:szCs w:val="26"/>
              </w:rPr>
              <w:t>%)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6403E6" w:rsidRDefault="006403E6" w:rsidP="00D3310C">
            <w:pPr>
              <w:jc w:val="right"/>
              <w:rPr>
                <w:b/>
                <w:bCs/>
                <w:sz w:val="26"/>
                <w:szCs w:val="26"/>
              </w:rPr>
            </w:pPr>
          </w:p>
        </w:tc>
      </w:tr>
      <w:tr w:rsidR="006403E6" w:rsidRPr="008504B7" w:rsidTr="002D0C38">
        <w:trPr>
          <w:trHeight w:val="300"/>
          <w:jc w:val="center"/>
        </w:trPr>
        <w:tc>
          <w:tcPr>
            <w:tcW w:w="9060" w:type="dxa"/>
            <w:gridSpan w:val="7"/>
          </w:tcPr>
          <w:p w:rsidR="006403E6" w:rsidRPr="008504B7" w:rsidRDefault="006403E6" w:rsidP="00D3310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TỔNG CỘNG BAO GỒM THUẾ GTGT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6403E6" w:rsidRDefault="006403E6" w:rsidP="00D3310C">
            <w:pPr>
              <w:jc w:val="right"/>
              <w:rPr>
                <w:b/>
                <w:bCs/>
                <w:sz w:val="26"/>
                <w:szCs w:val="26"/>
              </w:rPr>
            </w:pPr>
          </w:p>
        </w:tc>
      </w:tr>
    </w:tbl>
    <w:p w:rsidR="00573974" w:rsidRPr="00573974" w:rsidRDefault="00573974" w:rsidP="00662700">
      <w:pPr>
        <w:rPr>
          <w:b/>
          <w:i/>
          <w:sz w:val="26"/>
          <w:szCs w:val="26"/>
        </w:rPr>
      </w:pPr>
    </w:p>
    <w:p w:rsidR="00815FC6" w:rsidRPr="00B039DD" w:rsidRDefault="00573974" w:rsidP="00815FC6">
      <w:pPr>
        <w:jc w:val="center"/>
        <w:rPr>
          <w:sz w:val="26"/>
          <w:szCs w:val="26"/>
        </w:rPr>
      </w:pPr>
      <w:r>
        <w:rPr>
          <w:i/>
          <w:sz w:val="26"/>
          <w:szCs w:val="26"/>
        </w:rPr>
        <w:t>Bằng chữ:</w:t>
      </w:r>
      <w:r w:rsidR="00815FC6" w:rsidRPr="00573974">
        <w:rPr>
          <w:b/>
          <w:sz w:val="26"/>
          <w:szCs w:val="26"/>
        </w:rPr>
        <w:t>.</w:t>
      </w:r>
    </w:p>
    <w:p w:rsidR="00815FC6" w:rsidRDefault="00815FC6" w:rsidP="00815FC6">
      <w:pPr>
        <w:numPr>
          <w:ilvl w:val="0"/>
          <w:numId w:val="1"/>
        </w:numPr>
        <w:tabs>
          <w:tab w:val="right" w:pos="8640"/>
        </w:tabs>
        <w:jc w:val="both"/>
        <w:rPr>
          <w:sz w:val="26"/>
          <w:szCs w:val="26"/>
        </w:rPr>
      </w:pPr>
      <w:r w:rsidRPr="004123EF">
        <w:rPr>
          <w:sz w:val="26"/>
          <w:szCs w:val="26"/>
        </w:rPr>
        <w:t xml:space="preserve">Bảo hành </w:t>
      </w:r>
      <w:r w:rsidR="00086795">
        <w:rPr>
          <w:sz w:val="26"/>
          <w:szCs w:val="26"/>
        </w:rPr>
        <w:t>theo quy định bảo hành của nhà sản xuất</w:t>
      </w:r>
      <w:r w:rsidRPr="004123EF">
        <w:rPr>
          <w:sz w:val="26"/>
          <w:szCs w:val="26"/>
        </w:rPr>
        <w:t>.</w:t>
      </w:r>
    </w:p>
    <w:p w:rsidR="00086795" w:rsidRDefault="00086795" w:rsidP="00815FC6">
      <w:pPr>
        <w:numPr>
          <w:ilvl w:val="0"/>
          <w:numId w:val="1"/>
        </w:numPr>
        <w:tabs>
          <w:tab w:val="right" w:pos="8640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Địa điểm bảo hành: </w:t>
      </w:r>
    </w:p>
    <w:p w:rsidR="00086795" w:rsidRDefault="000436C1" w:rsidP="00086795">
      <w:pPr>
        <w:tabs>
          <w:tab w:val="right" w:pos="8640"/>
        </w:tabs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="00086795" w:rsidRPr="000436C1">
        <w:rPr>
          <w:i/>
          <w:sz w:val="26"/>
          <w:szCs w:val="26"/>
        </w:rPr>
        <w:t>Miền Bắc:</w:t>
      </w:r>
      <w:r w:rsidR="00086795">
        <w:rPr>
          <w:sz w:val="26"/>
          <w:szCs w:val="26"/>
        </w:rPr>
        <w:t xml:space="preserve"> Văn phòng chi nhánh tỉnh Điện Biên – số 483 đường Võ Nguyên Giáp, tổ dân phố 14, phường Him Lam, Tp.Điện Biên Phủ, tỉnh Điện Biên.</w:t>
      </w:r>
    </w:p>
    <w:p w:rsidR="00086795" w:rsidRDefault="000436C1" w:rsidP="00086795">
      <w:pPr>
        <w:tabs>
          <w:tab w:val="right" w:pos="8640"/>
        </w:tabs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+ </w:t>
      </w:r>
      <w:r w:rsidR="00086795" w:rsidRPr="000436C1">
        <w:rPr>
          <w:i/>
          <w:sz w:val="26"/>
          <w:szCs w:val="26"/>
        </w:rPr>
        <w:t xml:space="preserve">Miền Trung và Nam: </w:t>
      </w:r>
      <w:r>
        <w:rPr>
          <w:sz w:val="26"/>
          <w:szCs w:val="26"/>
        </w:rPr>
        <w:t>Trụ sở công ty: 340/38 Quang Trung, phường 10, quận Gò Vấp, Tp.HCM.</w:t>
      </w:r>
    </w:p>
    <w:p w:rsidR="000436C1" w:rsidRPr="000436C1" w:rsidRDefault="000436C1" w:rsidP="000436C1">
      <w:pPr>
        <w:pStyle w:val="ListParagraph"/>
        <w:numPr>
          <w:ilvl w:val="0"/>
          <w:numId w:val="1"/>
        </w:numPr>
        <w:tabs>
          <w:tab w:val="right" w:pos="8640"/>
        </w:tabs>
        <w:jc w:val="both"/>
        <w:rPr>
          <w:sz w:val="26"/>
          <w:szCs w:val="26"/>
        </w:rPr>
      </w:pPr>
      <w:r>
        <w:rPr>
          <w:sz w:val="26"/>
          <w:szCs w:val="26"/>
        </w:rPr>
        <w:t>Chi phí trên bao gồm phí VAT, chi phí vận chuyển, lắp đặt, hướng dẫn và tư vấn sử dụng.</w:t>
      </w:r>
    </w:p>
    <w:p w:rsidR="00815FC6" w:rsidRPr="004123EF" w:rsidRDefault="00815FC6" w:rsidP="00815FC6">
      <w:pPr>
        <w:tabs>
          <w:tab w:val="right" w:pos="8640"/>
        </w:tabs>
        <w:ind w:left="360"/>
        <w:jc w:val="both"/>
        <w:rPr>
          <w:b/>
          <w:i/>
          <w:sz w:val="26"/>
          <w:szCs w:val="26"/>
        </w:rPr>
      </w:pPr>
    </w:p>
    <w:p w:rsidR="00190D31" w:rsidRDefault="00815FC6" w:rsidP="00A75D53">
      <w:pPr>
        <w:tabs>
          <w:tab w:val="right" w:pos="8640"/>
        </w:tabs>
        <w:ind w:left="360"/>
        <w:jc w:val="both"/>
      </w:pPr>
      <w:r w:rsidRPr="004123EF">
        <w:rPr>
          <w:b/>
          <w:i/>
          <w:sz w:val="26"/>
          <w:szCs w:val="26"/>
        </w:rPr>
        <w:t>Kính chúc công việc của Quý khách ngày càng thành công và phát triển</w:t>
      </w:r>
      <w:r w:rsidRPr="004123EF">
        <w:rPr>
          <w:sz w:val="26"/>
          <w:szCs w:val="26"/>
        </w:rPr>
        <w:t>.</w:t>
      </w:r>
      <w:r w:rsidRPr="004123EF">
        <w:rPr>
          <w:sz w:val="24"/>
          <w:szCs w:val="24"/>
        </w:rPr>
        <w:t xml:space="preserve"> </w:t>
      </w:r>
    </w:p>
    <w:sectPr w:rsidR="00190D31" w:rsidSect="00711841">
      <w:headerReference w:type="default" r:id="rId9"/>
      <w:footerReference w:type="default" r:id="rId10"/>
      <w:pgSz w:w="11907" w:h="16839" w:code="9"/>
      <w:pgMar w:top="360" w:right="1080" w:bottom="1440" w:left="153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00A" w:rsidRDefault="0034400A">
      <w:r>
        <w:separator/>
      </w:r>
    </w:p>
  </w:endnote>
  <w:endnote w:type="continuationSeparator" w:id="0">
    <w:p w:rsidR="0034400A" w:rsidRDefault="00344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594" w:rsidRDefault="00A75D53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DD4C89" w:rsidRPr="00DD4C89">
      <w:rPr>
        <w:b/>
        <w:noProof/>
      </w:rPr>
      <w:t>1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Trang</w:t>
    </w:r>
  </w:p>
  <w:p w:rsidR="00DB3594" w:rsidRDefault="00344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00A" w:rsidRDefault="0034400A">
      <w:r>
        <w:separator/>
      </w:r>
    </w:p>
  </w:footnote>
  <w:footnote w:type="continuationSeparator" w:id="0">
    <w:p w:rsidR="0034400A" w:rsidRDefault="003440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841" w:rsidRDefault="00711841">
    <w:pPr>
      <w:pStyle w:val="Header"/>
    </w:pPr>
    <w:r>
      <w:t>KD02.1- BGPM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E62A0"/>
    <w:multiLevelType w:val="hybridMultilevel"/>
    <w:tmpl w:val="BF245D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FC6"/>
    <w:rsid w:val="000436C1"/>
    <w:rsid w:val="00086795"/>
    <w:rsid w:val="002D0C38"/>
    <w:rsid w:val="0034400A"/>
    <w:rsid w:val="004957E5"/>
    <w:rsid w:val="004B24F6"/>
    <w:rsid w:val="004B2725"/>
    <w:rsid w:val="00573974"/>
    <w:rsid w:val="006403E6"/>
    <w:rsid w:val="00662700"/>
    <w:rsid w:val="00711841"/>
    <w:rsid w:val="0072300A"/>
    <w:rsid w:val="007355C1"/>
    <w:rsid w:val="007C5588"/>
    <w:rsid w:val="00815FC6"/>
    <w:rsid w:val="008E58ED"/>
    <w:rsid w:val="009775B9"/>
    <w:rsid w:val="00A75D53"/>
    <w:rsid w:val="00B039DD"/>
    <w:rsid w:val="00CA3553"/>
    <w:rsid w:val="00D07D6F"/>
    <w:rsid w:val="00DD4C89"/>
    <w:rsid w:val="00E8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FC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15FC6"/>
    <w:pPr>
      <w:tabs>
        <w:tab w:val="center" w:pos="4320"/>
        <w:tab w:val="right" w:pos="8640"/>
      </w:tabs>
    </w:pPr>
    <w:rPr>
      <w:rFonts w:ascii="VNI-Times" w:hAnsi="VNI-Times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815FC6"/>
    <w:rPr>
      <w:rFonts w:ascii="VNI-Times" w:eastAsia="Times New Roman" w:hAnsi="VNI-Times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815F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FC6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0436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27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700"/>
    <w:rPr>
      <w:rFonts w:ascii="Tahoma" w:eastAsia="Times New Roman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FC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15FC6"/>
    <w:pPr>
      <w:tabs>
        <w:tab w:val="center" w:pos="4320"/>
        <w:tab w:val="right" w:pos="8640"/>
      </w:tabs>
    </w:pPr>
    <w:rPr>
      <w:rFonts w:ascii="VNI-Times" w:hAnsi="VNI-Times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815FC6"/>
    <w:rPr>
      <w:rFonts w:ascii="VNI-Times" w:eastAsia="Times New Roman" w:hAnsi="VNI-Times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815F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FC6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0436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27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700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 dinh</dc:creator>
  <cp:lastModifiedBy>Windows User</cp:lastModifiedBy>
  <cp:revision>3</cp:revision>
  <dcterms:created xsi:type="dcterms:W3CDTF">2017-10-11T01:37:00Z</dcterms:created>
  <dcterms:modified xsi:type="dcterms:W3CDTF">2017-10-11T02:11:00Z</dcterms:modified>
</cp:coreProperties>
</file>