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EDA" w:rsidRPr="00D54EDA" w:rsidRDefault="00D54EDA" w:rsidP="00D54E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54ED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, chi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sắm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nướ</w:t>
      </w:r>
      <w:r w:rsidRPr="00D54EDA">
        <w:rPr>
          <w:rFonts w:ascii="Times New Roman" w:hAnsi="Times New Roman" w:cs="Times New Roman"/>
          <w:sz w:val="28"/>
          <w:szCs w:val="28"/>
        </w:rPr>
        <w:t>c</w:t>
      </w:r>
      <w:proofErr w:type="spellEnd"/>
    </w:p>
    <w:p w:rsidR="00D54EDA" w:rsidRPr="00D54EDA" w:rsidRDefault="00D54EDA" w:rsidP="00D54E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54ED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TSCĐ)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móc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lâu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súc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đị</w:t>
      </w:r>
      <w:r w:rsidRPr="00D54EDA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hình</w:t>
      </w:r>
      <w:proofErr w:type="spellEnd"/>
    </w:p>
    <w:p w:rsidR="00D54EDA" w:rsidRPr="007A0E1C" w:rsidRDefault="00D54EDA" w:rsidP="00D54EDA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7A0E1C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spellStart"/>
      <w:r w:rsidRPr="007A0E1C">
        <w:rPr>
          <w:rFonts w:ascii="Times New Roman" w:hAnsi="Times New Roman" w:cs="Times New Roman"/>
          <w:b/>
          <w:sz w:val="28"/>
          <w:szCs w:val="28"/>
        </w:rPr>
        <w:t>Căn</w:t>
      </w:r>
      <w:proofErr w:type="spellEnd"/>
      <w:r w:rsidRPr="007A0E1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A0E1C">
        <w:rPr>
          <w:rFonts w:ascii="Times New Roman" w:hAnsi="Times New Roman" w:cs="Times New Roman"/>
          <w:b/>
          <w:sz w:val="28"/>
          <w:szCs w:val="28"/>
        </w:rPr>
        <w:t>cứ</w:t>
      </w:r>
      <w:proofErr w:type="spellEnd"/>
      <w:r w:rsidRPr="007A0E1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A0E1C">
        <w:rPr>
          <w:rFonts w:ascii="Times New Roman" w:hAnsi="Times New Roman" w:cs="Times New Roman"/>
          <w:b/>
          <w:sz w:val="28"/>
          <w:szCs w:val="28"/>
        </w:rPr>
        <w:t>pháp</w:t>
      </w:r>
      <w:proofErr w:type="spellEnd"/>
      <w:r w:rsidRPr="007A0E1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A0E1C">
        <w:rPr>
          <w:rFonts w:ascii="Times New Roman" w:hAnsi="Times New Roman" w:cs="Times New Roman"/>
          <w:b/>
          <w:sz w:val="28"/>
          <w:szCs w:val="28"/>
        </w:rPr>
        <w:t>luậ</w:t>
      </w:r>
      <w:r w:rsidRPr="007A0E1C">
        <w:rPr>
          <w:rFonts w:ascii="Times New Roman" w:hAnsi="Times New Roman" w:cs="Times New Roman"/>
          <w:b/>
          <w:sz w:val="28"/>
          <w:szCs w:val="28"/>
        </w:rPr>
        <w:t>t</w:t>
      </w:r>
      <w:proofErr w:type="spellEnd"/>
    </w:p>
    <w:bookmarkEnd w:id="0"/>
    <w:p w:rsidR="00D54EDA" w:rsidRPr="00D54EDA" w:rsidRDefault="00D54EDA" w:rsidP="00D54E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54EDA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09/2008/QH12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03/06/2008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nướ</w:t>
      </w:r>
      <w:r w:rsidRPr="00D54EDA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>;</w:t>
      </w:r>
    </w:p>
    <w:p w:rsidR="00D54EDA" w:rsidRPr="00D54EDA" w:rsidRDefault="00D54EDA" w:rsidP="00D54E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54EDA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52/2009/NĐ-CP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03/06/2009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phủ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nướ</w:t>
      </w:r>
      <w:r w:rsidRPr="00D54EDA">
        <w:rPr>
          <w:rFonts w:ascii="Times New Roman" w:hAnsi="Times New Roman" w:cs="Times New Roman"/>
          <w:sz w:val="28"/>
          <w:szCs w:val="28"/>
        </w:rPr>
        <w:t>c</w:t>
      </w:r>
      <w:proofErr w:type="spellEnd"/>
    </w:p>
    <w:p w:rsidR="00D54EDA" w:rsidRPr="00D54EDA" w:rsidRDefault="00D54EDA" w:rsidP="00D54E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54ED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245/2009/TT-BTC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31/12/2009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52/2009/NĐ-CP;</w:t>
      </w:r>
    </w:p>
    <w:p w:rsidR="00D54EDA" w:rsidRPr="00D54EDA" w:rsidRDefault="00D54EDA" w:rsidP="00D54E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54ED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09/2012/TT-BTC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19/01/2012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245/2009/TT-BTC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31/12/2009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52/2009/NĐ-CP;</w:t>
      </w:r>
    </w:p>
    <w:p w:rsidR="00D54EDA" w:rsidRPr="00D54EDA" w:rsidRDefault="00D54EDA" w:rsidP="00D54E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54EDA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32/2008/QĐ-BTC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29/5/2008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hao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mòn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nướ</w:t>
      </w:r>
      <w:r w:rsidRPr="00D54EDA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>;</w:t>
      </w:r>
    </w:p>
    <w:p w:rsidR="00D54EDA" w:rsidRPr="00D54EDA" w:rsidRDefault="00D54EDA" w:rsidP="00D54E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54ED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203/2009/TT-BTC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20/10/2009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trích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khấu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hao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đị</w:t>
      </w:r>
      <w:r w:rsidRPr="00D54EDA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>;</w:t>
      </w:r>
    </w:p>
    <w:p w:rsidR="00D54EDA" w:rsidRPr="00D54EDA" w:rsidRDefault="00D54EDA" w:rsidP="00D54E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54ED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89/2010/TT-BTC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16/6/2010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nướ</w:t>
      </w:r>
      <w:r w:rsidRPr="00D54EDA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>;</w:t>
      </w:r>
    </w:p>
    <w:p w:rsidR="00D54EDA" w:rsidRPr="00D54EDA" w:rsidRDefault="00D54EDA" w:rsidP="00D54E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54EDA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115/2008/QĐ-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TTg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27/8/2008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tướng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phủ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lastRenderedPageBreak/>
        <w:t>quan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nướ</w:t>
      </w:r>
      <w:r w:rsidRPr="00D54EDA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>;</w:t>
      </w:r>
    </w:p>
    <w:p w:rsidR="00D54EDA" w:rsidRPr="00D54EDA" w:rsidRDefault="00D54EDA" w:rsidP="00D54E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54ED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45/2013/TT-BTC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trích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khấu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hao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đị</w:t>
      </w:r>
      <w:r w:rsidRPr="00D54EDA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>;</w:t>
      </w:r>
    </w:p>
    <w:p w:rsidR="00E03B0F" w:rsidRPr="00D54EDA" w:rsidRDefault="00D54EDA" w:rsidP="00D54E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54ED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162/2014/TT-BTC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hao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mòn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D54EDA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D54EDA">
        <w:rPr>
          <w:rFonts w:ascii="Times New Roman" w:hAnsi="Times New Roman" w:cs="Times New Roman"/>
          <w:sz w:val="28"/>
          <w:szCs w:val="28"/>
        </w:rPr>
        <w:t>;</w:t>
      </w:r>
    </w:p>
    <w:sectPr w:rsidR="00E03B0F" w:rsidRPr="00D54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9E3"/>
    <w:rsid w:val="000E19E3"/>
    <w:rsid w:val="007A0E1C"/>
    <w:rsid w:val="00D54EDA"/>
    <w:rsid w:val="00E0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QuocViet-PC</dc:creator>
  <cp:keywords/>
  <dc:description/>
  <cp:lastModifiedBy>QuocViet-PC</cp:lastModifiedBy>
  <cp:revision>4</cp:revision>
  <dcterms:created xsi:type="dcterms:W3CDTF">2017-07-28T02:54:00Z</dcterms:created>
  <dcterms:modified xsi:type="dcterms:W3CDTF">2017-07-28T02:54:00Z</dcterms:modified>
</cp:coreProperties>
</file>