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禁航区域船只闯入处置规范</w:t>
      </w:r>
    </w:p>
    <w:p>
      <w:pPr>
        <w:jc w:val="center"/>
      </w:pPr>
      <w:r>
        <w:t>库坝巡查智能感知系统知识库文档</w:t>
      </w:r>
    </w:p>
    <w:p>
      <w:pPr>
        <w:pStyle w:val="Heading1"/>
      </w:pPr>
      <w:r>
        <w:t>适用场景</w:t>
      </w:r>
    </w:p>
    <w:p>
      <w:r>
        <w:t>当 1、3、4、5、6、7、8 号摄像头覆盖的禁航水域出现船只、皮划艇、渔船、作业船或漂浮平台时，系统应创建禁航区域异常事件。</w:t>
      </w:r>
    </w:p>
    <w:p>
      <w:pPr>
        <w:pStyle w:val="Heading1"/>
      </w:pPr>
      <w:r>
        <w:t>识别要点</w:t>
      </w:r>
    </w:p>
    <w:p>
      <w:r>
        <w:t>船只进入坝前禁航区、取水口附近、泄洪通道或闸门下游警戒区。</w:t>
      </w:r>
    </w:p>
    <w:p>
      <w:r>
        <w:t>船只长时间停留、反复靠近工程设施或与水流方向异常交叉。</w:t>
      </w:r>
    </w:p>
    <w:p>
      <w:r>
        <w:t>汛期、高水位、泄洪调度期间，船只闯入风险等级应上调。</w:t>
      </w:r>
    </w:p>
    <w:p>
      <w:pPr>
        <w:pStyle w:val="Heading1"/>
      </w:pPr>
      <w:r>
        <w:t>处置流程</w:t>
      </w:r>
    </w:p>
    <w:p>
      <w:pPr>
        <w:pStyle w:val="ListNumber"/>
      </w:pPr>
      <w:r>
        <w:t>系统自动截取图像证据，并关联对应摄像头点位。</w:t>
      </w:r>
    </w:p>
    <w:p>
      <w:pPr>
        <w:pStyle w:val="ListNumber"/>
      </w:pPr>
      <w:r>
        <w:t>值班人员确认船只位置、数量、移动方向和是否持续进入禁航区。</w:t>
      </w:r>
    </w:p>
    <w:p>
      <w:pPr>
        <w:pStyle w:val="ListNumber"/>
      </w:pPr>
      <w:r>
        <w:t>通过广播、现场人员或相关水域管理单位通知船只驶离。</w:t>
      </w:r>
    </w:p>
    <w:p>
      <w:pPr>
        <w:pStyle w:val="ListNumber"/>
      </w:pPr>
      <w:r>
        <w:t>若船只靠近闸门、泄洪口、取水口，应启动高风险联动，必要时请求执法或应急力量协助。</w:t>
      </w:r>
    </w:p>
    <w:p>
      <w:pPr>
        <w:pStyle w:val="ListNumber"/>
      </w:pPr>
      <w:r>
        <w:t>持续监控船只离开过程，直到目标完全离开禁航范围。</w:t>
      </w:r>
    </w:p>
    <w:p>
      <w:pPr>
        <w:pStyle w:val="ListNumber"/>
      </w:pPr>
      <w:r>
        <w:t>事件闭环时记录船只类型、处置方式、离开时间和证据材料。</w:t>
      </w:r>
    </w:p>
    <w:p>
      <w:pPr>
        <w:pStyle w:val="Heading1"/>
      </w:pPr>
      <w:r>
        <w:t>模型回答口径</w:t>
      </w:r>
    </w:p>
    <w:p>
      <w:r>
        <w:t>回答时应强调：先核实摄像头证据和船只位置，立即通知值班人员和水域管理方，劝离或拦截船只；汛期、泄洪或靠近关键设施时升级风险并持续跟踪。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