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洪水水位漫溢风险处置规范</w:t>
      </w:r>
    </w:p>
    <w:p>
      <w:r>
        <w:t>适用范围：库坝、河道、泄洪通道、坝前水域、低洼岸坡和闸门上下游区域出现洪水、漫溢、淹没、水位快速上涨、漂浮物冲击或行洪受阻等事件。</w:t>
      </w:r>
    </w:p>
    <w:p>
      <w:pPr>
        <w:pStyle w:val="Heading1"/>
      </w:pPr>
      <w:r>
        <w:t>一、典型触发场景</w:t>
      </w:r>
    </w:p>
    <w:p>
      <w:pPr>
        <w:pStyle w:val="ListBullet"/>
      </w:pPr>
      <w:r>
        <w:t>视频或摄像头画面显示水面明显上涨、岸线被淹、道路或平台积水、坝前水位接近警戒线。</w:t>
      </w:r>
    </w:p>
    <w:p>
      <w:pPr>
        <w:pStyle w:val="ListBullet"/>
      </w:pPr>
      <w:r>
        <w:t>现场出现浑浊急流、漂浮物聚集、排水口回流、闸门附近水流紊乱或泄洪通道受阻。</w:t>
      </w:r>
    </w:p>
    <w:p>
      <w:pPr>
        <w:pStyle w:val="ListBullet"/>
      </w:pPr>
      <w:r>
        <w:t>降雨量、上游来水、水位计或流速数据出现连续上升趋势，且与视觉画面相互印证。</w:t>
      </w:r>
    </w:p>
    <w:p>
      <w:pPr>
        <w:pStyle w:val="Heading1"/>
      </w:pPr>
      <w:r>
        <w:t>二、风险等级判定</w:t>
      </w:r>
    </w:p>
    <w:p>
      <w:pPr>
        <w:pStyle w:val="ListBullet"/>
      </w:pPr>
      <w:r>
        <w:t>低风险：局部积水或水位小幅上涨，未接近警戒线，未影响人员、道路、闸门、泵站和泄洪设施。</w:t>
      </w:r>
    </w:p>
    <w:p>
      <w:pPr>
        <w:pStyle w:val="ListBullet"/>
      </w:pPr>
      <w:r>
        <w:t>中风险：水位持续上涨，接近警戒线；岸边平台、巡检道路或低洼区域开始被淹；出现少量漂浮物或行洪通道局部受阻。</w:t>
      </w:r>
    </w:p>
    <w:p>
      <w:pPr>
        <w:pStyle w:val="ListBullet"/>
      </w:pPr>
      <w:r>
        <w:t>高风险：水位达到或超过警戒线，存在漫坝、漫堤、闸门下游强冲刷、人员被困、道路中断、大量漂浮物冲击工程设施等情况。</w:t>
      </w:r>
    </w:p>
    <w:p>
      <w:pPr>
        <w:pStyle w:val="ListBullet"/>
      </w:pPr>
      <w:r>
        <w:t>若视频显示水流速度快、浑浊度高、漂浮物密集，或传感器同时显示强降雨和水位快速上升，应至少按中风险处置，并准备升级。</w:t>
      </w:r>
    </w:p>
    <w:p>
      <w:pPr>
        <w:pStyle w:val="Heading1"/>
      </w:pPr>
      <w:r>
        <w:t>三、现场核验要点</w:t>
      </w:r>
    </w:p>
    <w:p>
      <w:pPr>
        <w:pStyle w:val="ListBullet"/>
      </w:pPr>
      <w:r>
        <w:t>核验水位相对岸线、警戒标尺、闸门底槛、坝肩平台和巡检道路的位置变化。</w:t>
      </w:r>
    </w:p>
    <w:p>
      <w:pPr>
        <w:pStyle w:val="ListBullet"/>
      </w:pPr>
      <w:r>
        <w:t>核验是否有人员、船只、车辆、施工设备停留在受淹或可能受淹区域。</w:t>
      </w:r>
    </w:p>
    <w:p>
      <w:pPr>
        <w:pStyle w:val="ListBullet"/>
      </w:pPr>
      <w:r>
        <w:t>核验泄洪通道、排水沟、涵洞、闸门、拦污栅附近是否被漂浮物堵塞。</w:t>
      </w:r>
    </w:p>
    <w:p>
      <w:pPr>
        <w:pStyle w:val="ListBullet"/>
      </w:pPr>
      <w:r>
        <w:t>核验传感器数据，包括近1小时降雨量、近24小时降雨量、水位、流速、闸门开度和上游来水趋势。</w:t>
      </w:r>
    </w:p>
    <w:p>
      <w:pPr>
        <w:pStyle w:val="Heading1"/>
      </w:pPr>
      <w:r>
        <w:t>四、应急处置动作</w:t>
      </w:r>
    </w:p>
    <w:p>
      <w:pPr>
        <w:pStyle w:val="ListBullet"/>
      </w:pPr>
      <w:r>
        <w:t>立即通知值班人员复核水位和画面，保留视频证据与关键帧。</w:t>
      </w:r>
    </w:p>
    <w:p>
      <w:pPr>
        <w:pStyle w:val="ListBullet"/>
      </w:pPr>
      <w:r>
        <w:t>对中风险及以上事件，启动广播或现场提醒，禁止人员进入临水、低洼、闸门下游和泄洪影响区。</w:t>
      </w:r>
    </w:p>
    <w:p>
      <w:pPr>
        <w:pStyle w:val="ListBullet"/>
      </w:pPr>
      <w:r>
        <w:t>通知运维人员检查排水设施、闸门状态、拦污栅和泄洪通道，必要时清理漂浮物并记录处置过程。</w:t>
      </w:r>
    </w:p>
    <w:p>
      <w:pPr>
        <w:pStyle w:val="ListBullet"/>
      </w:pPr>
      <w:r>
        <w:t>若达到高风险，应同步上报防汛责任人，启动应急预案，准备人员撤离、交通管控和联动调度。</w:t>
      </w:r>
    </w:p>
    <w:p>
      <w:pPr>
        <w:pStyle w:val="Heading1"/>
      </w:pPr>
      <w:r>
        <w:t>五、无人机与持续监测</w:t>
      </w:r>
    </w:p>
    <w:p>
      <w:pPr>
        <w:pStyle w:val="ListBullet"/>
      </w:pPr>
      <w:r>
        <w:t>当固定摄像头视角不足或受雨雾遮挡时，派出无人机沿岸线、坝肩、泄洪通道和下游冲刷区复核。</w:t>
      </w:r>
    </w:p>
    <w:p>
      <w:pPr>
        <w:pStyle w:val="ListBullet"/>
      </w:pPr>
      <w:r>
        <w:t>无人机重点拍摄水位标尺、漫溢边界、漂浮物堆积点、人员停留点和道路中断位置。</w:t>
      </w:r>
    </w:p>
    <w:p>
      <w:pPr>
        <w:pStyle w:val="ListBullet"/>
      </w:pPr>
      <w:r>
        <w:t>中风险事件每15分钟复核一次水位与画面；高风险事件应持续监控，直到水位回落且现场风险解除。</w:t>
      </w:r>
    </w:p>
    <w:p>
      <w:pPr>
        <w:pStyle w:val="Heading1"/>
      </w:pPr>
      <w:r>
        <w:t>六、模型报告要求</w:t>
      </w:r>
    </w:p>
    <w:p>
      <w:pPr>
        <w:pStyle w:val="ListBullet"/>
      </w:pPr>
      <w:r>
        <w:t>模型输出应包含 scene_type、suspected_event、risk_level、confidence、evidence、uncertainties、detailed_scene_analysis、risk_reasoning、impact_assessment、response_plan、monitoring_suggestions。</w:t>
      </w:r>
    </w:p>
    <w:p>
      <w:pPr>
        <w:pStyle w:val="ListBullet"/>
      </w:pPr>
      <w:r>
        <w:t>处置建议必须引用水位变化、淹没范围、漂浮物、人员/车辆暴露、传感器趋势等证据，不得凭空给出调度结论。</w:t>
      </w:r>
    </w:p>
    <w:p>
      <w:pPr>
        <w:pStyle w:val="ListBullet"/>
      </w:pPr>
      <w:r>
        <w:t>如使用本规范，应在 knowledge_sources 中列出“洪水水位漫溢风险处置规范”及对应 chunk_id。</w:t>
      </w:r>
    </w:p>
    <w:p>
      <w:pPr>
        <w:pStyle w:val="Heading1"/>
      </w:pPr>
      <w:r>
        <w:t>七、示例结论</w:t>
      </w:r>
    </w:p>
    <w:p>
      <w:r>
        <w:t>若视频显示河道水位快速上涨并淹没岸边道路，应判定为洪水或水位漫溢风险。若未见人员被困但水位仍在上涨，通常按中风险处置；若接近坝体关键设施、闸门下游或出现人员车辆受困，应升级为高风险。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