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1. {AUTHOR: legend missing from 09_Table_legends.md}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Abbreviation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Trait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Unit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Instrument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Measurement position or formula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Timing</w:t>
            </w:r>
          </w:p>
        </w:tc>
      </w:tr>
      <w:tr>
        <w:tc>
          <w:tcPr>
            <w:tcW w:type="dxa" w:w="1440"/>
          </w:tcPr>
          <w:p>
            <w:r>
              <w:t>CCI_TL</w:t>
            </w:r>
          </w:p>
        </w:tc>
        <w:tc>
          <w:tcPr>
            <w:tcW w:type="dxa" w:w="1440"/>
          </w:tcPr>
          <w:p>
            <w:r>
              <w:t>Chlorophyll concentration index, top leaf</w:t>
            </w:r>
          </w:p>
        </w:tc>
        <w:tc>
          <w:tcPr>
            <w:tcW w:type="dxa" w:w="1440"/>
          </w:tcPr>
          <w:p>
            <w:r>
              <w:t>µmol m⁻²</w:t>
            </w:r>
          </w:p>
        </w:tc>
        <w:tc>
          <w:tcPr>
            <w:tcW w:type="dxa" w:w="1440"/>
          </w:tcPr>
          <w:p>
            <w:r>
              <w:t>Apogee MC-100</w:t>
            </w:r>
          </w:p>
        </w:tc>
        <w:tc>
          <w:tcPr>
            <w:tcW w:type="dxa" w:w="1440"/>
          </w:tcPr>
          <w:p>
            <w:r>
              <w:t>youngest fully expanded leaf, 10 cm below the tip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CCI_BL</w:t>
            </w:r>
          </w:p>
        </w:tc>
        <w:tc>
          <w:tcPr>
            <w:tcW w:type="dxa" w:w="1440"/>
          </w:tcPr>
          <w:p>
            <w:r>
              <w:t>Chlorophyll concentration index, bottom leaf</w:t>
            </w:r>
          </w:p>
        </w:tc>
        <w:tc>
          <w:tcPr>
            <w:tcW w:type="dxa" w:w="1440"/>
          </w:tcPr>
          <w:p>
            <w:r>
              <w:t>µmol m⁻²</w:t>
            </w:r>
          </w:p>
        </w:tc>
        <w:tc>
          <w:tcPr>
            <w:tcW w:type="dxa" w:w="1440"/>
          </w:tcPr>
          <w:p>
            <w:r>
              <w:t>Apogee MC-100</w:t>
            </w:r>
          </w:p>
        </w:tc>
        <w:tc>
          <w:tcPr>
            <w:tcW w:type="dxa" w:w="1440"/>
          </w:tcPr>
          <w:p>
            <w:r>
              <w:t>lowest green leaf, 10 cm below the tip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rCCI</w:t>
            </w:r>
          </w:p>
        </w:tc>
        <w:tc>
          <w:tcPr>
            <w:tcW w:type="dxa" w:w="1440"/>
          </w:tcPr>
          <w:p>
            <w:r>
              <w:t>Ratio of bottom-leaf to top-leaf chlorophyll concentration index</w:t>
            </w:r>
          </w:p>
        </w:tc>
        <w:tc>
          <w:tcPr>
            <w:tcW w:type="dxa" w:w="1440"/>
          </w:tcPr>
          <w:p>
            <w:r>
              <w:t>dimensionless</w:t>
            </w:r>
          </w:p>
        </w:tc>
        <w:tc>
          <w:tcPr>
            <w:tcW w:type="dxa" w:w="1440"/>
          </w:tcPr>
          <w:p>
            <w:r>
              <w:t>derived</w:t>
            </w:r>
          </w:p>
        </w:tc>
        <w:tc>
          <w:tcPr>
            <w:tcW w:type="dxa" w:w="1440"/>
          </w:tcPr>
          <w:p>
            <w:r>
              <w:t>CCI_BL / CCI_TL</w:t>
            </w:r>
          </w:p>
        </w:tc>
        <w:tc>
          <w:tcPr>
            <w:tcW w:type="dxa" w:w="1440"/>
          </w:tcPr>
          <w:p>
            <w:r>
              <w:t>30, 60 DAT</w:t>
            </w:r>
          </w:p>
        </w:tc>
      </w:tr>
      <w:tr>
        <w:tc>
          <w:tcPr>
            <w:tcW w:type="dxa" w:w="1440"/>
          </w:tcPr>
          <w:p>
            <w:r>
              <w:t>QY_TL</w:t>
            </w:r>
          </w:p>
        </w:tc>
        <w:tc>
          <w:tcPr>
            <w:tcW w:type="dxa" w:w="1440"/>
          </w:tcPr>
          <w:p>
            <w:r>
              <w:t>Maximum quantum yield of photosystem II, top leaf</w:t>
            </w:r>
          </w:p>
        </w:tc>
        <w:tc>
          <w:tcPr>
            <w:tcW w:type="dxa" w:w="1440"/>
          </w:tcPr>
          <w:p>
            <w:r>
              <w:t>dimensionless (Fv/Fm)</w:t>
            </w:r>
          </w:p>
        </w:tc>
        <w:tc>
          <w:tcPr>
            <w:tcW w:type="dxa" w:w="1440"/>
          </w:tcPr>
          <w:p>
            <w:r>
              <w:t>FluorPen FP-100, dark-adapted</w:t>
            </w:r>
          </w:p>
        </w:tc>
        <w:tc>
          <w:tcPr>
            <w:tcW w:type="dxa" w:w="1440"/>
          </w:tcPr>
          <w:p>
            <w:r>
              <w:t>youngest fully expanded leaf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QY_BL</w:t>
            </w:r>
          </w:p>
        </w:tc>
        <w:tc>
          <w:tcPr>
            <w:tcW w:type="dxa" w:w="1440"/>
          </w:tcPr>
          <w:p>
            <w:r>
              <w:t>Maximum quantum yield of photosystem II, bottom leaf</w:t>
            </w:r>
          </w:p>
        </w:tc>
        <w:tc>
          <w:tcPr>
            <w:tcW w:type="dxa" w:w="1440"/>
          </w:tcPr>
          <w:p>
            <w:r>
              <w:t>dimensionless (Fv/Fm)</w:t>
            </w:r>
          </w:p>
        </w:tc>
        <w:tc>
          <w:tcPr>
            <w:tcW w:type="dxa" w:w="1440"/>
          </w:tcPr>
          <w:p>
            <w:r>
              <w:t>FluorPen FP-100, dark-adapted</w:t>
            </w:r>
          </w:p>
        </w:tc>
        <w:tc>
          <w:tcPr>
            <w:tcW w:type="dxa" w:w="1440"/>
          </w:tcPr>
          <w:p>
            <w:r>
              <w:t>lowest green leaf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rQY</w:t>
            </w:r>
          </w:p>
        </w:tc>
        <w:tc>
          <w:tcPr>
            <w:tcW w:type="dxa" w:w="1440"/>
          </w:tcPr>
          <w:p>
            <w:r>
              <w:t>Ratio of bottom-leaf to top-leaf quantum yield</w:t>
            </w:r>
          </w:p>
        </w:tc>
        <w:tc>
          <w:tcPr>
            <w:tcW w:type="dxa" w:w="1440"/>
          </w:tcPr>
          <w:p>
            <w:r>
              <w:t>dimensionless</w:t>
            </w:r>
          </w:p>
        </w:tc>
        <w:tc>
          <w:tcPr>
            <w:tcW w:type="dxa" w:w="1440"/>
          </w:tcPr>
          <w:p>
            <w:r>
              <w:t>derived</w:t>
            </w:r>
          </w:p>
        </w:tc>
        <w:tc>
          <w:tcPr>
            <w:tcW w:type="dxa" w:w="1440"/>
          </w:tcPr>
          <w:p>
            <w:r>
              <w:t>QY_BL / QY_TL</w:t>
            </w:r>
          </w:p>
        </w:tc>
        <w:tc>
          <w:tcPr>
            <w:tcW w:type="dxa" w:w="1440"/>
          </w:tcPr>
          <w:p>
            <w:r>
              <w:t>30, 60 DAT</w:t>
            </w:r>
          </w:p>
        </w:tc>
      </w:tr>
      <w:tr>
        <w:tc>
          <w:tcPr>
            <w:tcW w:type="dxa" w:w="1440"/>
          </w:tcPr>
          <w:p>
            <w:r>
              <w:t>Photo</w:t>
            </w:r>
          </w:p>
        </w:tc>
        <w:tc>
          <w:tcPr>
            <w:tcW w:type="dxa" w:w="1440"/>
          </w:tcPr>
          <w:p>
            <w:r>
              <w:t>Net photosynthetic rate</w:t>
            </w:r>
          </w:p>
        </w:tc>
        <w:tc>
          <w:tcPr>
            <w:tcW w:type="dxa" w:w="1440"/>
          </w:tcPr>
          <w:p>
            <w:r>
              <w:t>µmol CO₂ m⁻² s⁻¹</w:t>
            </w:r>
          </w:p>
        </w:tc>
        <w:tc>
          <w:tcPr>
            <w:tcW w:type="dxa" w:w="1440"/>
          </w:tcPr>
          <w:p>
            <w:r>
              <w:t>LI-6400XT</w:t>
            </w:r>
          </w:p>
        </w:tc>
        <w:tc>
          <w:tcPr>
            <w:tcW w:type="dxa" w:w="1440"/>
          </w:tcPr>
          <w:p>
            <w:r>
              <w:t>1000 µmol m⁻² s⁻¹ PAR, 30 °C, 60% RH, 400 µmol mol⁻¹ CO₂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Cond</w:t>
            </w:r>
          </w:p>
        </w:tc>
        <w:tc>
          <w:tcPr>
            <w:tcW w:type="dxa" w:w="1440"/>
          </w:tcPr>
          <w:p>
            <w:r>
              <w:t>Stomatal conductance</w:t>
            </w:r>
          </w:p>
        </w:tc>
        <w:tc>
          <w:tcPr>
            <w:tcW w:type="dxa" w:w="1440"/>
          </w:tcPr>
          <w:p>
            <w:r>
              <w:t>mol H₂O m⁻² s⁻¹</w:t>
            </w:r>
          </w:p>
        </w:tc>
        <w:tc>
          <w:tcPr>
            <w:tcW w:type="dxa" w:w="1440"/>
          </w:tcPr>
          <w:p>
            <w:r>
              <w:t>LI-6400XT</w:t>
            </w:r>
          </w:p>
        </w:tc>
        <w:tc>
          <w:tcPr>
            <w:tcW w:type="dxa" w:w="1440"/>
          </w:tcPr>
          <w:p>
            <w:r>
              <w:t>as above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Ci</w:t>
            </w:r>
          </w:p>
        </w:tc>
        <w:tc>
          <w:tcPr>
            <w:tcW w:type="dxa" w:w="1440"/>
          </w:tcPr>
          <w:p>
            <w:r>
              <w:t>Intercellular CO2 concentration</w:t>
            </w:r>
          </w:p>
        </w:tc>
        <w:tc>
          <w:tcPr>
            <w:tcW w:type="dxa" w:w="1440"/>
          </w:tcPr>
          <w:p>
            <w:r>
              <w:t>µmol CO₂ mol⁻¹</w:t>
            </w:r>
          </w:p>
        </w:tc>
        <w:tc>
          <w:tcPr>
            <w:tcW w:type="dxa" w:w="1440"/>
          </w:tcPr>
          <w:p>
            <w:r>
              <w:t>LI-6400XT</w:t>
            </w:r>
          </w:p>
        </w:tc>
        <w:tc>
          <w:tcPr>
            <w:tcW w:type="dxa" w:w="1440"/>
          </w:tcPr>
          <w:p>
            <w:r>
              <w:t>as above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  <w:tr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Transpiration rate</w:t>
            </w:r>
          </w:p>
        </w:tc>
        <w:tc>
          <w:tcPr>
            <w:tcW w:type="dxa" w:w="1440"/>
          </w:tcPr>
          <w:p>
            <w:r>
              <w:t>mmol H₂O m⁻² s⁻¹</w:t>
            </w:r>
          </w:p>
        </w:tc>
        <w:tc>
          <w:tcPr>
            <w:tcW w:type="dxa" w:w="1440"/>
          </w:tcPr>
          <w:p>
            <w:r>
              <w:t>LI-6400XT</w:t>
            </w:r>
          </w:p>
        </w:tc>
        <w:tc>
          <w:tcPr>
            <w:tcW w:type="dxa" w:w="1440"/>
          </w:tcPr>
          <w:p>
            <w:r>
              <w:t>as above</w:t>
            </w:r>
          </w:p>
        </w:tc>
        <w:tc>
          <w:tcPr>
            <w:tcW w:type="dxa" w:w="1440"/>
          </w:tcPr>
          <w:p>
            <w:r>
              <w:t>0, 30, 60 DAT</w:t>
            </w:r>
          </w:p>
        </w:tc>
      </w:tr>
    </w:tbl>
    <w:p>
      <w:r>
        <w:rPr>
          <w:sz w:val="16"/>
        </w:rPr>
        <w:t>DAT, days after transplanting. The chlorophyll concentration index is in µmol m⁻², the unit the instrument reports; rCCI and rQY are dimensionless because the units cancel in the ratio; Fv/Fm is dimensionless and bounded at 1.</w:t>
      </w:r>
    </w:p>
    <w:p/>
    <w:p>
      <w:r>
        <w:t>Table 2. {AUTHOR: legend missing from 09_Table_legends.md}</w:t>
      </w:r>
    </w:p>
    <w:p>
      <w:r>
        <w:rPr>
          <w:i/>
        </w:rP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Trait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Mean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SD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CV (%)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0.758</w:t>
            </w:r>
          </w:p>
        </w:tc>
        <w:tc>
          <w:tcPr>
            <w:tcW w:type="dxa" w:w="2160"/>
          </w:tcPr>
          <w:p>
            <w:r>
              <w:t>0.1959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0.746</w:t>
            </w:r>
          </w:p>
        </w:tc>
        <w:tc>
          <w:tcPr>
            <w:tcW w:type="dxa" w:w="2160"/>
          </w:tcPr>
          <w:p>
            <w:r>
              <w:t>0.0928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</w:tbl>
    <w:p/>
    <w:p>
      <w:r>
        <w:rPr>
          <w:i/>
        </w:rPr>
        <w:t>analysis of variance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Trait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Source of variation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df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MS</w:t>
            </w:r>
          </w:p>
        </w:tc>
        <w:tc>
          <w:tcPr>
            <w:tcW w:type="dxa" w:w="1440"/>
          </w:tcPr>
          <w:p>
            <w:r/>
            <w:r>
              <w:rPr>
                <w:b/>
                <w:i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b/>
                <w:i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rCCI_30</w:t>
            </w:r>
          </w:p>
        </w:tc>
        <w:tc>
          <w:tcPr>
            <w:tcW w:type="dxa" w:w="1440"/>
          </w:tcPr>
          <w:p>
            <w:r>
              <w:t>Genotype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0.02416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1.9 × 10⁻⁶</w:t>
            </w:r>
          </w:p>
        </w:tc>
      </w:tr>
      <w:tr>
        <w:tc>
          <w:tcPr>
            <w:tcW w:type="dxa" w:w="1440"/>
          </w:tcPr>
          <w:p>
            <w:r>
              <w:t>rCCI_30</w:t>
            </w:r>
          </w:p>
        </w:tc>
        <w:tc>
          <w:tcPr>
            <w:tcW w:type="dxa" w:w="1440"/>
          </w:tcPr>
          <w:p>
            <w:r>
              <w:t>Nitrogen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2.60451</w:t>
            </w:r>
          </w:p>
        </w:tc>
        <w:tc>
          <w:tcPr>
            <w:tcW w:type="dxa" w:w="1440"/>
          </w:tcPr>
          <w:p>
            <w:r>
              <w:t>576.09</w:t>
            </w:r>
          </w:p>
        </w:tc>
        <w:tc>
          <w:tcPr>
            <w:tcW w:type="dxa" w:w="1440"/>
          </w:tcPr>
          <w:p>
            <w:r>
              <w:t>1.9 × 10⁻³²</w:t>
            </w:r>
          </w:p>
        </w:tc>
      </w:tr>
      <w:tr>
        <w:tc>
          <w:tcPr>
            <w:tcW w:type="dxa" w:w="1440"/>
          </w:tcPr>
          <w:p>
            <w:r>
              <w:t>rCCI_30</w:t>
            </w:r>
          </w:p>
        </w:tc>
        <w:tc>
          <w:tcPr>
            <w:tcW w:type="dxa" w:w="1440"/>
          </w:tcPr>
          <w:p>
            <w:r>
              <w:t>Genotype × nitrogen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0.01434</w:t>
            </w:r>
          </w:p>
        </w:tc>
        <w:tc>
          <w:tcPr>
            <w:tcW w:type="dxa" w:w="1440"/>
          </w:tcPr>
          <w:p>
            <w:r>
              <w:t>3.17</w:t>
            </w:r>
          </w:p>
        </w:tc>
        <w:tc>
          <w:tcPr>
            <w:tcW w:type="dxa" w:w="1440"/>
          </w:tcPr>
          <w:p>
            <w:r>
              <w:t>9.3 × 10⁻⁴</w:t>
            </w:r>
          </w:p>
        </w:tc>
      </w:tr>
      <w:tr>
        <w:tc>
          <w:tcPr>
            <w:tcW w:type="dxa" w:w="1440"/>
          </w:tcPr>
          <w:p>
            <w:r>
              <w:t>rCCI_30</w:t>
            </w:r>
          </w:p>
        </w:tc>
        <w:tc>
          <w:tcPr>
            <w:tcW w:type="dxa" w:w="1440"/>
          </w:tcPr>
          <w:p>
            <w:r>
              <w:t>Residual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0.00452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QY_BL_30</w:t>
            </w:r>
          </w:p>
        </w:tc>
        <w:tc>
          <w:tcPr>
            <w:tcW w:type="dxa" w:w="1440"/>
          </w:tcPr>
          <w:p>
            <w:r>
              <w:t>Genotype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0.00252</w:t>
            </w:r>
          </w:p>
        </w:tc>
        <w:tc>
          <w:tcPr>
            <w:tcW w:type="dxa" w:w="1440"/>
          </w:tcPr>
          <w:p>
            <w:r>
              <w:t>7.07</w:t>
            </w:r>
          </w:p>
        </w:tc>
        <w:tc>
          <w:tcPr>
            <w:tcW w:type="dxa" w:w="1440"/>
          </w:tcPr>
          <w:p>
            <w:r>
              <w:t>2.6 × 10⁻⁸</w:t>
            </w:r>
          </w:p>
        </w:tc>
      </w:tr>
      <w:tr>
        <w:tc>
          <w:tcPr>
            <w:tcW w:type="dxa" w:w="1440"/>
          </w:tcPr>
          <w:p>
            <w:r>
              <w:t>QY_BL_30</w:t>
            </w:r>
          </w:p>
        </w:tc>
        <w:tc>
          <w:tcPr>
            <w:tcW w:type="dxa" w:w="1440"/>
          </w:tcPr>
          <w:p>
            <w:r>
              <w:t>Nitrogen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0.67427</w:t>
            </w:r>
          </w:p>
        </w:tc>
        <w:tc>
          <w:tcPr>
            <w:tcW w:type="dxa" w:w="1440"/>
          </w:tcPr>
          <w:p>
            <w:r>
              <w:t>1890.47</w:t>
            </w:r>
          </w:p>
        </w:tc>
        <w:tc>
          <w:tcPr>
            <w:tcW w:type="dxa" w:w="1440"/>
          </w:tcPr>
          <w:p>
            <w:r>
              <w:t>4.5 × 10⁻⁴⁷</w:t>
            </w:r>
          </w:p>
        </w:tc>
      </w:tr>
      <w:tr>
        <w:tc>
          <w:tcPr>
            <w:tcW w:type="dxa" w:w="1440"/>
          </w:tcPr>
          <w:p>
            <w:r>
              <w:t>QY_BL_30</w:t>
            </w:r>
          </w:p>
        </w:tc>
        <w:tc>
          <w:tcPr>
            <w:tcW w:type="dxa" w:w="1440"/>
          </w:tcPr>
          <w:p>
            <w:r>
              <w:t>Genotype × nitrogen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0.00259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1.7 × 10⁻⁸</w:t>
            </w:r>
          </w:p>
        </w:tc>
      </w:tr>
      <w:tr>
        <w:tc>
          <w:tcPr>
            <w:tcW w:type="dxa" w:w="1440"/>
          </w:tcPr>
          <w:p>
            <w:r>
              <w:t>QY_BL_30</w:t>
            </w:r>
          </w:p>
        </w:tc>
        <w:tc>
          <w:tcPr>
            <w:tcW w:type="dxa" w:w="1440"/>
          </w:tcPr>
          <w:p>
            <w:r>
              <w:t>Residual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0.00036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i/>
        </w:rPr>
        <w:t>variance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Trait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Variance component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Estimate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% of σ²P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σ²G (genotype)</w:t>
            </w:r>
          </w:p>
        </w:tc>
        <w:tc>
          <w:tcPr>
            <w:tcW w:type="dxa" w:w="2160"/>
          </w:tcPr>
          <w:p>
            <w:r>
              <w:t>0.001636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σ²T (nitrogen)</w:t>
            </w:r>
          </w:p>
        </w:tc>
        <w:tc>
          <w:tcPr>
            <w:tcW w:type="dxa" w:w="2160"/>
          </w:tcPr>
          <w:p>
            <w:r>
              <w:t>0.057559</w:t>
            </w:r>
          </w:p>
        </w:tc>
        <w:tc>
          <w:tcPr>
            <w:tcW w:type="dxa" w:w="2160"/>
          </w:tcPr>
          <w:p>
            <w:r>
              <w:t>85.9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σ²G×T (interaction)</w:t>
            </w:r>
          </w:p>
        </w:tc>
        <w:tc>
          <w:tcPr>
            <w:tcW w:type="dxa" w:w="2160"/>
          </w:tcPr>
          <w:p>
            <w:r>
              <w:t>0.003273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σ²e (residual)</w:t>
            </w:r>
          </w:p>
        </w:tc>
        <w:tc>
          <w:tcPr>
            <w:tcW w:type="dxa" w:w="2160"/>
          </w:tcPr>
          <w:p>
            <w:r>
              <w:t>0.004521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σ²P (total)</w:t>
            </w:r>
          </w:p>
        </w:tc>
        <w:tc>
          <w:tcPr>
            <w:tcW w:type="dxa" w:w="2160"/>
          </w:tcPr>
          <w:p>
            <w:r>
              <w:t>0.066990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rCCI_30</w:t>
            </w:r>
          </w:p>
        </w:tc>
        <w:tc>
          <w:tcPr>
            <w:tcW w:type="dxa" w:w="2160"/>
          </w:tcPr>
          <w:p>
            <w:r>
              <w:t>H² (broad sense)</w:t>
            </w:r>
          </w:p>
        </w:tc>
        <w:tc>
          <w:tcPr>
            <w:tcW w:type="dxa" w:w="2160"/>
          </w:tcPr>
          <w:p>
            <w:r>
              <w:t>0.024427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σ²G (genotype)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σ²T (nitrogen)</w:t>
            </w:r>
          </w:p>
        </w:tc>
        <w:tc>
          <w:tcPr>
            <w:tcW w:type="dxa" w:w="2160"/>
          </w:tcPr>
          <w:p>
            <w:r>
              <w:t>0.014926</w:t>
            </w:r>
          </w:p>
        </w:tc>
        <w:tc>
          <w:tcPr>
            <w:tcW w:type="dxa" w:w="2160"/>
          </w:tcPr>
          <w:p>
            <w:r>
              <w:t>93.1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σ²G×T (interaction)</w:t>
            </w:r>
          </w:p>
        </w:tc>
        <w:tc>
          <w:tcPr>
            <w:tcW w:type="dxa" w:w="2160"/>
          </w:tcPr>
          <w:p>
            <w:r>
              <w:t>0.000743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σ²e (residual)</w:t>
            </w:r>
          </w:p>
        </w:tc>
        <w:tc>
          <w:tcPr>
            <w:tcW w:type="dxa" w:w="2160"/>
          </w:tcPr>
          <w:p>
            <w:r>
              <w:t>0.000357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σ²P (total)</w:t>
            </w:r>
          </w:p>
        </w:tc>
        <w:tc>
          <w:tcPr>
            <w:tcW w:type="dxa" w:w="2160"/>
          </w:tcPr>
          <w:p>
            <w:r>
              <w:t>0.016026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QY_BL_30</w:t>
            </w:r>
          </w:p>
        </w:tc>
        <w:tc>
          <w:tcPr>
            <w:tcW w:type="dxa" w:w="2160"/>
          </w:tcPr>
          <w:p>
            <w:r>
              <w:t>H² (broad sense)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sz w:val="16"/>
        </w:rPr>
        <w:t>df, degrees of freedom; MS, mean square; σ²P, phenotypic variance; H², broad-sense heritability. n = 90 (15 genotypes × 2 nitrogen regimes × 3 replicate plants). Both traits are dimensionless, so MS carries trait units squared. The error term is the residual mean square on 60 degrees of freedom. Exact P values are given and no significance markers are used. The method-of-moments estimate of σ²G for QY_BL_30 was −1.095 × 10⁻⁵ before truncation and is reported as zero. The full 34-column computation, including the untruncated components, is in analysis/results/tables/Table2_anova.csv.</w:t>
      </w:r>
    </w:p>
    <w:p/>
    <w:p>
      <w:r>
        <w:t>Table 3. {AUTHOR: legend missing from 09_Table_legends.md}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Measure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rCCI_30 alone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QY_BL_30 alone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Both traits</w:t>
            </w:r>
          </w:p>
        </w:tc>
      </w:tr>
      <w:tr>
        <w:tc>
          <w:tcPr>
            <w:tcW w:type="dxa" w:w="2160"/>
          </w:tcPr>
          <w:p>
            <w:r>
              <w:t>Traits in the rule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Plants classified correctly (of 90)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0.922</w:t>
            </w:r>
          </w:p>
        </w:tc>
        <w:tc>
          <w:tcPr>
            <w:tcW w:type="dxa" w:w="2160"/>
          </w:tcPr>
          <w:p>
            <w:r>
              <w:t>0.978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Accuracy, exact 95% CI</w:t>
            </w:r>
          </w:p>
        </w:tc>
        <w:tc>
          <w:tcPr>
            <w:tcW w:type="dxa" w:w="2160"/>
          </w:tcPr>
          <w:p>
            <w:r>
              <w:t>0.846 to 0.968</w:t>
            </w:r>
          </w:p>
        </w:tc>
        <w:tc>
          <w:tcPr>
            <w:tcW w:type="dxa" w:w="2160"/>
          </w:tcPr>
          <w:p>
            <w:r>
              <w:t>0.922 to 0.997</w:t>
            </w:r>
          </w:p>
        </w:tc>
        <w:tc>
          <w:tcPr>
            <w:tcW w:type="dxa" w:w="2160"/>
          </w:tcPr>
          <w:p>
            <w:r>
              <w:t>0.960 to 1.000</w:t>
            </w:r>
          </w:p>
        </w:tc>
      </w:tr>
      <w:tr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0.911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Specificity</w:t>
            </w:r>
          </w:p>
        </w:tc>
        <w:tc>
          <w:tcPr>
            <w:tcW w:type="dxa" w:w="2160"/>
          </w:tcPr>
          <w:p>
            <w:r>
              <w:t>0.933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Positive predictive value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Negative predictive value</w:t>
            </w:r>
          </w:p>
        </w:tc>
        <w:tc>
          <w:tcPr>
            <w:tcW w:type="dxa" w:w="2160"/>
          </w:tcPr>
          <w:p>
            <w:r>
              <w:t>0.913</w:t>
            </w:r>
          </w:p>
        </w:tc>
        <w:tc>
          <w:tcPr>
            <w:tcW w:type="dxa" w:w="2160"/>
          </w:tcPr>
          <w:p>
            <w:r>
              <w:t>0.957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True positives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True negatives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False positives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False negatives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Genotype folds fully correct (of 15)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Folds, exact 95% CI</w:t>
            </w:r>
          </w:p>
        </w:tc>
        <w:tc>
          <w:tcPr>
            <w:tcW w:type="dxa" w:w="2160"/>
          </w:tcPr>
          <w:p>
            <w:r>
              <w:t>0.384 to 0.882</w:t>
            </w:r>
          </w:p>
        </w:tc>
        <w:tc>
          <w:tcPr>
            <w:tcW w:type="dxa" w:w="2160"/>
          </w:tcPr>
          <w:p>
            <w:r>
              <w:t>0.681 to 0.998</w:t>
            </w:r>
          </w:p>
        </w:tc>
        <w:tc>
          <w:tcPr>
            <w:tcW w:type="dxa" w:w="2160"/>
          </w:tcPr>
          <w:p>
            <w:r>
              <w:t>0.782 to 1.000</w:t>
            </w:r>
          </w:p>
        </w:tc>
      </w:tr>
    </w:tbl>
    <w:p>
      <w:r>
        <w:rPr>
          <w:sz w:val="16"/>
        </w:rPr>
        <w:t>PPV, positive predictive value; NPV, negative predictive value; TP, TN, FP, FN, counts of true and false positives and negatives. n = 90 pooled held-out predictions over 15 folds. Intervals are exact (Clopper-Pearson). The majority-class baseline is 45 of 90.</w:t>
      </w:r>
    </w:p>
    <w:p/>
    <w:p>
      <w:r>
        <w:t>Table 4. {AUTHOR: legend missing from 09_Table_legends.md}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Term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Coefficient (units of D)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Standardised coefficient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Bootstrap 2.5th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Bootstrap 97.5th</w:t>
            </w:r>
          </w:p>
        </w:tc>
      </w:tr>
      <w:tr>
        <w:tc>
          <w:tcPr>
            <w:tcW w:type="dxa" w:w="1728"/>
          </w:tcPr>
          <w:p>
            <w:r>
              <w:t>constant</w:t>
            </w:r>
          </w:p>
        </w:tc>
        <w:tc>
          <w:tcPr>
            <w:tcW w:type="dxa" w:w="1728"/>
          </w:tcPr>
          <w:p>
            <w:r>
              <w:t>145.1987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rCCI_30</w:t>
            </w:r>
          </w:p>
        </w:tc>
        <w:tc>
          <w:tcPr>
            <w:tcW w:type="dxa" w:w="1728"/>
          </w:tcPr>
          <w:p>
            <w:r>
              <w:t>-33.7877</w:t>
            </w:r>
          </w:p>
        </w:tc>
        <w:tc>
          <w:tcPr>
            <w:tcW w:type="dxa" w:w="1728"/>
          </w:tcPr>
          <w:p>
            <w:r>
              <w:t>-3.206</w:t>
            </w:r>
          </w:p>
        </w:tc>
        <w:tc>
          <w:tcPr>
            <w:tcW w:type="dxa" w:w="1728"/>
          </w:tcPr>
          <w:p>
            <w:r>
              <w:t>-4.669</w:t>
            </w:r>
          </w:p>
        </w:tc>
        <w:tc>
          <w:tcPr>
            <w:tcW w:type="dxa" w:w="1728"/>
          </w:tcPr>
          <w:p>
            <w:r>
              <w:t>-2.006</w:t>
            </w:r>
          </w:p>
        </w:tc>
      </w:tr>
      <w:tr>
        <w:tc>
          <w:tcPr>
            <w:tcW w:type="dxa" w:w="1728"/>
          </w:tcPr>
          <w:p>
            <w:r>
              <w:t>QY_BL_30</w:t>
            </w:r>
          </w:p>
        </w:tc>
        <w:tc>
          <w:tcPr>
            <w:tcW w:type="dxa" w:w="1728"/>
          </w:tcPr>
          <w:p>
            <w:r>
              <w:t>-160.3291</w:t>
            </w:r>
          </w:p>
        </w:tc>
        <w:tc>
          <w:tcPr>
            <w:tcW w:type="dxa" w:w="1728"/>
          </w:tcPr>
          <w:p>
            <w:r>
              <w:t>-5.151</w:t>
            </w:r>
          </w:p>
        </w:tc>
        <w:tc>
          <w:tcPr>
            <w:tcW w:type="dxa" w:w="1728"/>
          </w:tcPr>
          <w:p>
            <w:r>
              <w:t>-7.032</w:t>
            </w:r>
          </w:p>
        </w:tc>
        <w:tc>
          <w:tcPr>
            <w:tcW w:type="dxa" w:w="1728"/>
          </w:tcPr>
          <w:p>
            <w:r>
              <w:t>-4.066</w:t>
            </w:r>
          </w:p>
        </w:tc>
      </w:tr>
    </w:tbl>
    <w:p>
      <w:r>
        <w:rPr>
          <w:sz w:val="16"/>
        </w:rPr>
        <w:t>Em dash, not applicable: the constant has no within-class standardised form and no bootstrap interval. Intervals are 95% percentile bootstrap over 5000 resamples of plants. Coefficients are printed at the precision needed to reproduce the boundary.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