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68BA0">
      <w:pPr>
        <w:spacing w:after="0"/>
        <w:jc w:val="center"/>
      </w:pPr>
      <w:r>
        <w:rPr>
          <w:rFonts w:ascii="Calibri" w:hAnsi="Calibri" w:eastAsia="Calibri" w:cs="Calibri"/>
          <w:b/>
          <w:i w:val="0"/>
          <w:sz w:val="24"/>
        </w:rPr>
        <w:t>Project Design Phase</w:t>
      </w:r>
    </w:p>
    <w:p w14:paraId="559840BB">
      <w:pPr>
        <w:spacing w:after="200"/>
        <w:jc w:val="center"/>
      </w:pPr>
      <w:r>
        <w:rPr>
          <w:rFonts w:ascii="Calibri" w:hAnsi="Calibri" w:eastAsia="Calibri" w:cs="Calibri"/>
          <w:b/>
          <w:i w:val="0"/>
          <w:sz w:val="24"/>
        </w:rPr>
        <w:t>Proposed Solution Template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3E951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254143CF">
            <w:pPr>
              <w:spacing w:after="40"/>
            </w:pPr>
            <w:r>
              <w:rPr>
                <w:rFonts w:ascii="Calibri" w:hAnsi="Calibri" w:eastAsia="Calibri" w:cs="Calibri"/>
                <w:sz w:val="22"/>
              </w:rPr>
              <w:t>Date</w:t>
            </w:r>
          </w:p>
        </w:tc>
        <w:tc>
          <w:tcPr>
            <w:tcW w:w="4514" w:type="dxa"/>
          </w:tcPr>
          <w:p w14:paraId="206A2380">
            <w:pPr>
              <w:spacing w:after="40"/>
            </w:pPr>
            <w:r>
              <w:rPr>
                <w:rFonts w:ascii="Calibri" w:hAnsi="Calibri" w:eastAsia="Calibri" w:cs="Calibri"/>
                <w:sz w:val="22"/>
              </w:rPr>
              <w:t>08 October 2026</w:t>
            </w:r>
          </w:p>
        </w:tc>
      </w:tr>
      <w:tr w14:paraId="5ECC9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6FDE12F7">
            <w:pPr>
              <w:spacing w:after="40"/>
            </w:pPr>
            <w:bookmarkStart w:id="0" w:name="_GoBack" w:colFirst="1" w:colLast="1"/>
            <w:r>
              <w:rPr>
                <w:rFonts w:ascii="Calibri" w:hAnsi="Calibri" w:eastAsia="Calibri" w:cs="Calibri"/>
                <w:sz w:val="22"/>
              </w:rPr>
              <w:t>Team ID</w:t>
            </w:r>
          </w:p>
        </w:tc>
        <w:tc>
          <w:tcPr>
            <w:tcW w:w="4514" w:type="dxa"/>
            <w:shd w:val="clear"/>
            <w:vAlign w:val="top"/>
          </w:tcPr>
          <w:p w14:paraId="24780371">
            <w:pPr>
              <w:spacing w:after="40"/>
              <w:rPr>
                <w:rFonts w:hint="default" w:ascii="Calibri" w:hAnsi="Calibri" w:eastAsia="Calibri" w:cstheme="minorBidi"/>
                <w:sz w:val="22"/>
                <w:szCs w:val="22"/>
                <w:lang w:val="en-IN" w:eastAsia="en-US" w:bidi="ar-SA"/>
              </w:rPr>
            </w:pPr>
            <w:r>
              <w:rPr>
                <w:rFonts w:hint="default"/>
                <w:lang w:val="en-IN"/>
              </w:rPr>
              <w:t>9100Smartgirls</w:t>
            </w:r>
          </w:p>
        </w:tc>
      </w:tr>
      <w:bookmarkEnd w:id="0"/>
      <w:tr w14:paraId="7CF31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5FBE0019">
            <w:pPr>
              <w:spacing w:after="40"/>
            </w:pPr>
            <w:r>
              <w:rPr>
                <w:rFonts w:ascii="Calibri" w:hAnsi="Calibri" w:eastAsia="Calibri" w:cs="Calibri"/>
                <w:sz w:val="22"/>
              </w:rPr>
              <w:t>Project Name</w:t>
            </w:r>
          </w:p>
        </w:tc>
        <w:tc>
          <w:tcPr>
            <w:tcW w:w="4514" w:type="dxa"/>
          </w:tcPr>
          <w:p w14:paraId="6F50B011">
            <w:pPr>
              <w:spacing w:after="40"/>
            </w:pPr>
            <w:r>
              <w:rPr>
                <w:rFonts w:ascii="Calibri" w:hAnsi="Calibri" w:eastAsia="Calibri" w:cs="Calibri"/>
                <w:sz w:val="22"/>
              </w:rPr>
              <w:t>Streamlining IT Procurement: Automating Standard Laptop Orders with Flow Designer</w:t>
            </w:r>
          </w:p>
        </w:tc>
      </w:tr>
      <w:tr w14:paraId="283BF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1BE4D314">
            <w:pPr>
              <w:spacing w:after="40"/>
            </w:pPr>
            <w:r>
              <w:rPr>
                <w:rFonts w:ascii="Calibri" w:hAnsi="Calibri" w:eastAsia="Calibri" w:cs="Calibri"/>
                <w:sz w:val="22"/>
              </w:rPr>
              <w:t>Maximum Marks</w:t>
            </w:r>
          </w:p>
        </w:tc>
        <w:tc>
          <w:tcPr>
            <w:tcW w:w="4514" w:type="dxa"/>
          </w:tcPr>
          <w:p w14:paraId="2768AB71">
            <w:pPr>
              <w:spacing w:after="40"/>
            </w:pPr>
            <w:r>
              <w:rPr>
                <w:rFonts w:ascii="Calibri" w:hAnsi="Calibri" w:eastAsia="Calibri" w:cs="Calibri"/>
                <w:sz w:val="22"/>
              </w:rPr>
              <w:t>2 Marks</w:t>
            </w:r>
          </w:p>
        </w:tc>
      </w:tr>
    </w:tbl>
    <w:p w14:paraId="13431D73">
      <w:pPr>
        <w:spacing w:after="80"/>
      </w:pPr>
    </w:p>
    <w:p w14:paraId="55F297C6">
      <w:r>
        <w:rPr>
          <w:rFonts w:ascii="Calibri" w:hAnsi="Calibri" w:eastAsia="Calibri" w:cs="Calibri"/>
          <w:b/>
          <w:i w:val="0"/>
          <w:sz w:val="22"/>
        </w:rPr>
        <w:t>Proposed Solution Template:</w:t>
      </w:r>
    </w:p>
    <w:p w14:paraId="2BDF4500">
      <w:r>
        <w:rPr>
          <w:rFonts w:ascii="Calibri" w:hAnsi="Calibri" w:eastAsia="Calibri" w:cs="Calibri"/>
          <w:b w:val="0"/>
          <w:i w:val="0"/>
          <w:sz w:val="22"/>
        </w:rPr>
        <w:t>Project team shall fill the following information in the proposed solution template.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4"/>
        <w:gridCol w:w="2736"/>
        <w:gridCol w:w="5760"/>
      </w:tblGrid>
      <w:tr w14:paraId="6CF90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864" w:type="dxa"/>
          </w:tcPr>
          <w:p w14:paraId="260A9BDE">
            <w:pPr>
              <w:spacing w:after="40"/>
            </w:pPr>
            <w:r>
              <w:rPr>
                <w:rFonts w:ascii="Calibri" w:hAnsi="Calibri" w:eastAsia="Calibri" w:cs="Calibri"/>
                <w:b/>
                <w:sz w:val="21"/>
              </w:rPr>
              <w:t>S.No.</w:t>
            </w:r>
          </w:p>
        </w:tc>
        <w:tc>
          <w:tcPr>
            <w:tcW w:w="2736" w:type="dxa"/>
          </w:tcPr>
          <w:p w14:paraId="03DD0D57">
            <w:pPr>
              <w:spacing w:after="40"/>
            </w:pPr>
            <w:r>
              <w:rPr>
                <w:rFonts w:ascii="Calibri" w:hAnsi="Calibri" w:eastAsia="Calibri" w:cs="Calibri"/>
                <w:b/>
                <w:sz w:val="21"/>
              </w:rPr>
              <w:t>Parameter</w:t>
            </w:r>
          </w:p>
        </w:tc>
        <w:tc>
          <w:tcPr>
            <w:tcW w:w="5760" w:type="dxa"/>
          </w:tcPr>
          <w:p w14:paraId="5C809909">
            <w:pPr>
              <w:spacing w:after="40"/>
            </w:pPr>
            <w:r>
              <w:rPr>
                <w:rFonts w:ascii="Calibri" w:hAnsi="Calibri" w:eastAsia="Calibri" w:cs="Calibri"/>
                <w:b/>
                <w:sz w:val="21"/>
              </w:rPr>
              <w:t>Description</w:t>
            </w:r>
          </w:p>
        </w:tc>
      </w:tr>
      <w:tr w14:paraId="44C05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1BB904C3">
            <w:pPr>
              <w:spacing w:after="40"/>
            </w:pPr>
            <w:r>
              <w:rPr>
                <w:rFonts w:ascii="Calibri" w:hAnsi="Calibri" w:eastAsia="Calibri" w:cs="Calibri"/>
                <w:b w:val="0"/>
                <w:i w:val="0"/>
                <w:sz w:val="21"/>
              </w:rPr>
              <w:t>1.</w:t>
            </w:r>
          </w:p>
        </w:tc>
        <w:tc>
          <w:tcPr>
            <w:tcW w:w="2736" w:type="dxa"/>
          </w:tcPr>
          <w:p w14:paraId="5E84FAB6">
            <w:pPr>
              <w:spacing w:after="40"/>
            </w:pPr>
            <w:r>
              <w:rPr>
                <w:rFonts w:ascii="Calibri" w:hAnsi="Calibri" w:eastAsia="Calibri" w:cs="Calibri"/>
                <w:b w:val="0"/>
                <w:i w:val="0"/>
                <w:sz w:val="21"/>
              </w:rPr>
              <w:t>Problem Statement (Problem to be solved)</w:t>
            </w:r>
          </w:p>
        </w:tc>
        <w:tc>
          <w:tcPr>
            <w:tcW w:w="5760" w:type="dxa"/>
          </w:tcPr>
          <w:p w14:paraId="4617D357">
            <w:pPr>
              <w:spacing w:after="40"/>
            </w:pPr>
            <w:r>
              <w:rPr>
                <w:rFonts w:ascii="Calibri" w:hAnsi="Calibri" w:eastAsia="Calibri" w:cs="Calibri"/>
                <w:b w:val="0"/>
                <w:i w:val="0"/>
                <w:sz w:val="21"/>
              </w:rPr>
              <w:t>The IT procurement process is largely manual, especially when ordering standard laptops. The configuration step that should follow an order can be missed or delayed, so users wait longer for their laptops and the IT team spends extra time handling tasks manually.</w:t>
            </w:r>
          </w:p>
        </w:tc>
      </w:tr>
      <w:tr w14:paraId="28CE0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4EE1D08E">
            <w:pPr>
              <w:spacing w:after="40"/>
            </w:pPr>
            <w:r>
              <w:rPr>
                <w:rFonts w:ascii="Calibri" w:hAnsi="Calibri" w:eastAsia="Calibri" w:cs="Calibri"/>
                <w:b w:val="0"/>
                <w:i w:val="0"/>
                <w:sz w:val="21"/>
              </w:rPr>
              <w:t>2.</w:t>
            </w:r>
          </w:p>
        </w:tc>
        <w:tc>
          <w:tcPr>
            <w:tcW w:w="2736" w:type="dxa"/>
          </w:tcPr>
          <w:p w14:paraId="60245185">
            <w:pPr>
              <w:spacing w:after="40"/>
            </w:pPr>
            <w:r>
              <w:rPr>
                <w:rFonts w:ascii="Calibri" w:hAnsi="Calibri" w:eastAsia="Calibri" w:cs="Calibri"/>
                <w:b w:val="0"/>
                <w:i w:val="0"/>
                <w:sz w:val="21"/>
              </w:rPr>
              <w:t>Idea / Solution description</w:t>
            </w:r>
          </w:p>
        </w:tc>
        <w:tc>
          <w:tcPr>
            <w:tcW w:w="5760" w:type="dxa"/>
          </w:tcPr>
          <w:p w14:paraId="1334ACE8">
            <w:pPr>
              <w:spacing w:after="40"/>
            </w:pPr>
            <w:r>
              <w:rPr>
                <w:rFonts w:ascii="Calibri" w:hAnsi="Calibri" w:eastAsia="Calibri" w:cs="Calibri"/>
                <w:b w:val="0"/>
                <w:i w:val="0"/>
                <w:sz w:val="21"/>
              </w:rPr>
              <w:t>A Flow Designer flow named "Standard Laptop Task" (Application: Global, Run As: System User) is triggered by the Service Catalog. The Create Catalog Task action is applied to the Requested Item record, with Short Description and Description "Laptop needs to be configured", Assignment Group Hardware and Approval set to Approved. The flow is attached to the Standard Laptop catalog item through Maintain Items and Process Engine. When a user orders the laptop and the request is approved, the configuration task is created and assigned to the hardware team automatically.</w:t>
            </w:r>
          </w:p>
        </w:tc>
      </w:tr>
      <w:tr w14:paraId="68804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63AB8829">
            <w:pPr>
              <w:spacing w:after="40"/>
            </w:pPr>
            <w:r>
              <w:rPr>
                <w:rFonts w:ascii="Calibri" w:hAnsi="Calibri" w:eastAsia="Calibri" w:cs="Calibri"/>
                <w:b w:val="0"/>
                <w:i w:val="0"/>
                <w:sz w:val="21"/>
              </w:rPr>
              <w:t>3.</w:t>
            </w:r>
          </w:p>
        </w:tc>
        <w:tc>
          <w:tcPr>
            <w:tcW w:w="2736" w:type="dxa"/>
          </w:tcPr>
          <w:p w14:paraId="3C049BA7">
            <w:pPr>
              <w:spacing w:after="40"/>
            </w:pPr>
            <w:r>
              <w:rPr>
                <w:rFonts w:ascii="Calibri" w:hAnsi="Calibri" w:eastAsia="Calibri" w:cs="Calibri"/>
                <w:b w:val="0"/>
                <w:i w:val="0"/>
                <w:sz w:val="21"/>
              </w:rPr>
              <w:t>Novelty / Uniqueness</w:t>
            </w:r>
          </w:p>
        </w:tc>
        <w:tc>
          <w:tcPr>
            <w:tcW w:w="5760" w:type="dxa"/>
          </w:tcPr>
          <w:p w14:paraId="4CADB122">
            <w:pPr>
              <w:spacing w:after="40"/>
            </w:pPr>
            <w:r>
              <w:rPr>
                <w:rFonts w:ascii="Calibri" w:hAnsi="Calibri" w:eastAsia="Calibri" w:cs="Calibri"/>
                <w:b w:val="0"/>
                <w:i w:val="0"/>
                <w:sz w:val="21"/>
              </w:rPr>
              <w:t>The whole process is automated with the no-code Flow Designer tool and the existing Service Catalog, without scripting. The configuration task is created and assigned without any manual step.</w:t>
            </w:r>
          </w:p>
        </w:tc>
      </w:tr>
      <w:tr w14:paraId="002F7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754EC3D7">
            <w:pPr>
              <w:spacing w:after="40"/>
            </w:pPr>
            <w:r>
              <w:rPr>
                <w:rFonts w:ascii="Calibri" w:hAnsi="Calibri" w:eastAsia="Calibri" w:cs="Calibri"/>
                <w:b w:val="0"/>
                <w:i w:val="0"/>
                <w:sz w:val="21"/>
              </w:rPr>
              <w:t>4.</w:t>
            </w:r>
          </w:p>
        </w:tc>
        <w:tc>
          <w:tcPr>
            <w:tcW w:w="2736" w:type="dxa"/>
          </w:tcPr>
          <w:p w14:paraId="15DFC31A">
            <w:pPr>
              <w:spacing w:after="40"/>
            </w:pPr>
            <w:r>
              <w:rPr>
                <w:rFonts w:ascii="Calibri" w:hAnsi="Calibri" w:eastAsia="Calibri" w:cs="Calibri"/>
                <w:b w:val="0"/>
                <w:i w:val="0"/>
                <w:sz w:val="21"/>
              </w:rPr>
              <w:t>Social Impact / Customer Satisfaction</w:t>
            </w:r>
          </w:p>
        </w:tc>
        <w:tc>
          <w:tcPr>
            <w:tcW w:w="5760" w:type="dxa"/>
          </w:tcPr>
          <w:p w14:paraId="05BE4D53">
            <w:pPr>
              <w:spacing w:after="40"/>
            </w:pPr>
            <w:r>
              <w:rPr>
                <w:rFonts w:ascii="Calibri" w:hAnsi="Calibri" w:eastAsia="Calibri" w:cs="Calibri"/>
                <w:b w:val="0"/>
                <w:i w:val="0"/>
                <w:sz w:val="21"/>
              </w:rPr>
              <w:t>Users receive configured laptops sooner and wait less. The IT team avoids unnecessary manual work and missed configuration steps, and the hardware team gets tasks automatically.</w:t>
            </w:r>
          </w:p>
        </w:tc>
      </w:tr>
      <w:tr w14:paraId="67D0B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5D63ED0C">
            <w:pPr>
              <w:spacing w:after="40"/>
            </w:pPr>
            <w:r>
              <w:rPr>
                <w:rFonts w:ascii="Calibri" w:hAnsi="Calibri" w:eastAsia="Calibri" w:cs="Calibri"/>
                <w:b w:val="0"/>
                <w:i w:val="0"/>
                <w:sz w:val="21"/>
              </w:rPr>
              <w:t>5.</w:t>
            </w:r>
          </w:p>
        </w:tc>
        <w:tc>
          <w:tcPr>
            <w:tcW w:w="2736" w:type="dxa"/>
          </w:tcPr>
          <w:p w14:paraId="65FEE9B9">
            <w:pPr>
              <w:spacing w:after="40"/>
            </w:pPr>
            <w:r>
              <w:rPr>
                <w:rFonts w:ascii="Calibri" w:hAnsi="Calibri" w:eastAsia="Calibri" w:cs="Calibri"/>
                <w:b w:val="0"/>
                <w:i w:val="0"/>
                <w:sz w:val="21"/>
              </w:rPr>
              <w:t>Business Model (Revenue Model)</w:t>
            </w:r>
          </w:p>
        </w:tc>
        <w:tc>
          <w:tcPr>
            <w:tcW w:w="5760" w:type="dxa"/>
          </w:tcPr>
          <w:p w14:paraId="4FD39F47">
            <w:pPr>
              <w:spacing w:after="40"/>
            </w:pPr>
            <w:r>
              <w:rPr>
                <w:rFonts w:ascii="Calibri" w:hAnsi="Calibri" w:eastAsia="Calibri" w:cs="Calibri"/>
                <w:b w:val="0"/>
                <w:i w:val="0"/>
                <w:sz w:val="21"/>
              </w:rPr>
              <w:t>This is a project for an IT procurement process and has no revenue model. The benefit is less manual effort, faster procurement and more effective use of IT resources.</w:t>
            </w:r>
          </w:p>
        </w:tc>
      </w:tr>
      <w:tr w14:paraId="4656E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64" w:type="dxa"/>
          </w:tcPr>
          <w:p w14:paraId="51BD6E58">
            <w:pPr>
              <w:spacing w:after="40"/>
            </w:pPr>
            <w:r>
              <w:rPr>
                <w:rFonts w:ascii="Calibri" w:hAnsi="Calibri" w:eastAsia="Calibri" w:cs="Calibri"/>
                <w:b w:val="0"/>
                <w:i w:val="0"/>
                <w:sz w:val="21"/>
              </w:rPr>
              <w:t>6.</w:t>
            </w:r>
          </w:p>
        </w:tc>
        <w:tc>
          <w:tcPr>
            <w:tcW w:w="2736" w:type="dxa"/>
          </w:tcPr>
          <w:p w14:paraId="5904C569">
            <w:pPr>
              <w:spacing w:after="40"/>
            </w:pPr>
            <w:r>
              <w:rPr>
                <w:rFonts w:ascii="Calibri" w:hAnsi="Calibri" w:eastAsia="Calibri" w:cs="Calibri"/>
                <w:b w:val="0"/>
                <w:i w:val="0"/>
                <w:sz w:val="21"/>
              </w:rPr>
              <w:t>Scalability of the Solution</w:t>
            </w:r>
          </w:p>
        </w:tc>
        <w:tc>
          <w:tcPr>
            <w:tcW w:w="5760" w:type="dxa"/>
          </w:tcPr>
          <w:p w14:paraId="4BE4E8BD">
            <w:pPr>
              <w:spacing w:after="40"/>
            </w:pPr>
            <w:r>
              <w:rPr>
                <w:rFonts w:ascii="Calibri" w:hAnsi="Calibri" w:eastAsia="Calibri" w:cs="Calibri"/>
                <w:b w:val="0"/>
                <w:i w:val="0"/>
                <w:sz w:val="21"/>
              </w:rPr>
              <w:t>The same approach can be applied to other catalog items by creating similar flows and attaching them through Process Engine. Email notifications and catalog items for other hardware are possible future enhancements.</w:t>
            </w:r>
          </w:p>
        </w:tc>
      </w:tr>
    </w:tbl>
    <w:p w14:paraId="0EB79C9E">
      <w:pPr>
        <w:spacing w:after="80"/>
      </w:pPr>
    </w:p>
    <w:sectPr>
      <w:pgSz w:w="11909" w:h="16834"/>
      <w:pgMar w:top="85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701A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327</Words>
  <Characters>1813</Characters>
  <Lines>0</Lines>
  <Paragraphs>0</Paragraphs>
  <TotalTime>0</TotalTime>
  <ScaleCrop>false</ScaleCrop>
  <LinksUpToDate>false</LinksUpToDate>
  <CharactersWithSpaces>2107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0996E93D0102482E86EA445C83A7847E_12</vt:lpwstr>
  </property>
</Properties>
</file>