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Bank Customer Churn Analysis</w:t>
      </w:r>
    </w:p>
    <w:p>
      <w:pPr>
        <w:spacing w:after="240"/>
        <w:jc w:val="center"/>
      </w:pPr>
      <w:r>
        <w:rPr>
          <w:i/>
          <w:iCs/>
          <w:color w:val="595959"/>
          <w:sz w:val="26"/>
          <w:szCs w:val="26"/>
        </w:rPr>
        <w:t xml:space="preserve">Report of Findings &amp; Strategic Recommendations</w:t>
      </w:r>
    </w:p>
    <w:p>
      <w:pPr>
        <w:spacing w:after="40"/>
        <w:jc w:val="center"/>
      </w:pPr>
      <w:r>
        <w:rPr>
          <w:color w:val="444444"/>
          <w:sz w:val="20"/>
          <w:szCs w:val="20"/>
        </w:rPr>
        <w:t xml:space="preserve">Prepared by: Nthabiseng Sithole</w:t>
      </w:r>
    </w:p>
    <w:p>
      <w:pPr>
        <w:spacing w:after="40"/>
        <w:jc w:val="center"/>
      </w:pPr>
      <w:r>
        <w:rPr>
          <w:color w:val="444444"/>
          <w:sz w:val="20"/>
          <w:szCs w:val="20"/>
        </w:rPr>
        <w:t xml:space="preserve">Date: 11 August 2026</w:t>
      </w:r>
    </w:p>
    <w:p>
      <w:pPr>
        <w:spacing w:after="320"/>
        <w:jc w:val="center"/>
      </w:pPr>
      <w:r>
        <w:rPr>
          <w:color w:val="444444"/>
          <w:sz w:val="20"/>
          <w:szCs w:val="20"/>
        </w:rPr>
        <w:t xml:space="preserve">Tools Used: MySQL Workbench · Microsoft Power BI · Microsoft Excel</w:t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This report analyzes customer retention and churn patterns for a retail banking dataset of 10,000 customers. The objective is to identify key risk factors leading to customer attrition (Exited = 1) and deliver strategic, actionable recommendations to improve customer retention.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overall customer churn rate stands at 20.37%, representing 2,037 churned customers out of 10,000.</w:t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pct" w:w="25%"/>
            <w:shd w:fill="F2F2F2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10,000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Total Customers</w:t>
            </w:r>
          </w:p>
        </w:tc>
        <w:tc>
          <w:tcPr>
            <w:tcW w:type="pct" w:w="25%"/>
            <w:shd w:fill="F2F2F2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7,963 (79.63%)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Retained Customers</w:t>
            </w:r>
          </w:p>
        </w:tc>
        <w:tc>
          <w:tcPr>
            <w:tcW w:type="pct" w:w="25%"/>
            <w:shd w:fill="F2F2F2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C0392B"/>
                <w:sz w:val="32"/>
                <w:szCs w:val="32"/>
              </w:rPr>
              <w:t xml:space="preserve">2,037 (20.37%)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Churned Customers</w:t>
            </w:r>
          </w:p>
        </w:tc>
        <w:tc>
          <w:tcPr>
            <w:tcW w:type="pct" w:w="25%"/>
            <w:shd w:fill="F2F2F2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C0392B"/>
                <w:sz w:val="32"/>
                <w:szCs w:val="32"/>
              </w:rPr>
              <w:t xml:space="preserve">20.37%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Overall Churn Rate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Key Findings &amp; Business Insights</w:t>
      </w:r>
    </w:p>
    <w:p>
      <w:pPr>
        <w:spacing w:after="100" w:before="240"/>
      </w:pPr>
      <w:r>
        <w:rPr>
          <w:b/>
          <w:bCs/>
          <w:color w:val="203864"/>
          <w:sz w:val="23"/>
          <w:szCs w:val="23"/>
        </w:rPr>
        <w:t xml:space="preserve">1. Geographical Distribution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Germany exhibits the highest proportion of churn relative to its customer base compared to France and Spain.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2"/>
          <w:szCs w:val="22"/>
        </w:rPr>
        <w:t xml:space="preserve">Germany: 32.44% churn rate </w:t>
      </w:r>
      <w:r>
        <w:rPr>
          <w:b w:val="false"/>
          <w:bCs w:val="false"/>
          <w:color w:val="222222"/>
          <w:sz w:val="22"/>
          <w:szCs w:val="22"/>
        </w:rPr>
        <w:t xml:space="preserve">(814 of 2,509 customers)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2"/>
          <w:szCs w:val="22"/>
        </w:rPr>
        <w:t xml:space="preserve">France: 16.17% churn rate </w:t>
      </w:r>
      <w:r>
        <w:rPr>
          <w:b w:val="false"/>
          <w:bCs w:val="false"/>
          <w:color w:val="222222"/>
          <w:sz w:val="22"/>
          <w:szCs w:val="22"/>
        </w:rPr>
        <w:t xml:space="preserve">(811 of 5,014 customers)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2"/>
          <w:szCs w:val="22"/>
        </w:rPr>
        <w:t xml:space="preserve">Spain: 16.67% churn rate </w:t>
      </w:r>
      <w:r>
        <w:rPr>
          <w:b w:val="false"/>
          <w:bCs w:val="false"/>
          <w:color w:val="222222"/>
          <w:sz w:val="22"/>
          <w:szCs w:val="22"/>
        </w:rPr>
        <w:t xml:space="preserve">(413 of 2,477 customers)</w:t>
      </w:r>
    </w:p>
    <w:p>
      <w:pPr>
        <w:pBdr>
          <w:left w:val="single" w:color="C0392B" w:sz="12" w:space="8"/>
        </w:pBdr>
        <w:spacing w:after="160" w:line="276"/>
        <w:ind w:left="360"/>
      </w:pPr>
      <w:r>
        <w:rPr>
          <w:b/>
          <w:bCs/>
          <w:i/>
          <w:iCs/>
          <w:color w:val="C0392B"/>
          <w:sz w:val="21"/>
          <w:szCs w:val="21"/>
        </w:rPr>
        <w:t xml:space="preserve">Insight: </w:t>
      </w:r>
      <w:r>
        <w:rPr>
          <w:i/>
          <w:iCs/>
          <w:color w:val="595959"/>
          <w:sz w:val="21"/>
          <w:szCs w:val="21"/>
        </w:rPr>
        <w:t xml:space="preserve">Germany's churn rate is nearly double that of France and Spain. Specific regional factors, competitive local banking alternatives, or localized dissatisfaction with service offerings in Germany are driving elevated exit rates.</w:t>
      </w:r>
    </w:p>
    <w:p>
      <w:pPr>
        <w:spacing w:after="100" w:before="240"/>
      </w:pPr>
      <w:r>
        <w:rPr>
          <w:b/>
          <w:bCs/>
          <w:color w:val="203864"/>
          <w:sz w:val="23"/>
          <w:szCs w:val="23"/>
        </w:rPr>
        <w:t xml:space="preserve">2. Demographics (Age Group &amp; Gender)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22222"/>
          <w:sz w:val="22"/>
          <w:szCs w:val="22"/>
        </w:rPr>
        <w:t xml:space="preserve">Age Group: </w:t>
      </w:r>
      <w:r>
        <w:rPr>
          <w:b w:val="false"/>
          <w:bCs w:val="false"/>
          <w:color w:val="222222"/>
          <w:sz w:val="22"/>
          <w:szCs w:val="22"/>
        </w:rPr>
        <w:t xml:space="preserve">Churn is heavily concentrated among older demographics — Mature Adults (50–59) churn at 56.04%, Seniors (60–69) at 35.2%, and Middle-Aged Adults (40–49) at 30.83%. Younger adults show far stronger retention: Adults (30–39) churn at just 10.88%, Young Adults (18–29) at 7.56%, and Elderly (70+) at 9.93%.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22222"/>
          <w:sz w:val="22"/>
          <w:szCs w:val="22"/>
        </w:rPr>
        <w:t xml:space="preserve">Gender: </w:t>
      </w:r>
      <w:r>
        <w:rPr>
          <w:b w:val="false"/>
          <w:bCs w:val="false"/>
          <w:color w:val="222222"/>
          <w:sz w:val="22"/>
          <w:szCs w:val="22"/>
        </w:rPr>
        <w:t xml:space="preserve">Female customers churn at 25.07% versus 16.47% for male customers.</w:t>
      </w:r>
    </w:p>
    <w:p>
      <w:pPr>
        <w:spacing w:after="100" w:before="240"/>
      </w:pPr>
      <w:r>
        <w:rPr>
          <w:b/>
          <w:bCs/>
          <w:color w:val="203864"/>
          <w:sz w:val="23"/>
          <w:szCs w:val="23"/>
        </w:rPr>
        <w:t xml:space="preserve">3. Product Engagement &amp; Membership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22222"/>
          <w:sz w:val="22"/>
          <w:szCs w:val="22"/>
        </w:rPr>
        <w:t xml:space="preserve">Number of Products: </w:t>
      </w:r>
      <w:r>
        <w:rPr>
          <w:b w:val="false"/>
          <w:bCs w:val="false"/>
          <w:color w:val="222222"/>
          <w:sz w:val="22"/>
          <w:szCs w:val="22"/>
        </w:rPr>
        <w:t xml:space="preserve">Customers with 1 product churn at 27.71% and those with 3 or 4 products churn at 82.71% and 100% respectively. Customers with 2 products show by far the lowest churn rate at just 7.6%.</w:t>
      </w:r>
    </w:p>
    <w:p>
      <w:pPr>
        <w:pBdr>
          <w:left w:val="single" w:color="C0392B" w:sz="12" w:space="8"/>
        </w:pBdr>
        <w:spacing w:after="160" w:line="276"/>
        <w:ind w:left="360"/>
      </w:pPr>
      <w:r>
        <w:rPr>
          <w:b/>
          <w:bCs/>
          <w:i/>
          <w:iCs/>
          <w:color w:val="C0392B"/>
          <w:sz w:val="21"/>
          <w:szCs w:val="21"/>
        </w:rPr>
        <w:t xml:space="preserve">Insight: </w:t>
      </w:r>
      <w:r>
        <w:rPr>
          <w:i/>
          <w:iCs/>
          <w:color w:val="595959"/>
          <w:sz w:val="21"/>
          <w:szCs w:val="21"/>
        </w:rPr>
        <w:t xml:space="preserve">Single-product customers lack deeper ecosystem ties to the bank, while customers with 3 or more products may feel overwhelmed by fees or product friction. The 2-product tier is the clear retention “sweet spot.”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22222"/>
          <w:sz w:val="22"/>
          <w:szCs w:val="22"/>
        </w:rPr>
        <w:t xml:space="preserve">Active Membership: </w:t>
      </w:r>
      <w:r>
        <w:rPr>
          <w:b w:val="false"/>
          <w:bCs w:val="false"/>
          <w:color w:val="222222"/>
          <w:sz w:val="22"/>
          <w:szCs w:val="22"/>
        </w:rPr>
        <w:t xml:space="preserve">Inactive members churn at 26.87% compared to 14.27% for active members.</w:t>
      </w:r>
    </w:p>
    <w:p>
      <w:pPr>
        <w:spacing w:after="100" w:before="240"/>
      </w:pPr>
      <w:r>
        <w:rPr>
          <w:b/>
          <w:bCs/>
          <w:color w:val="203864"/>
          <w:sz w:val="23"/>
          <w:szCs w:val="23"/>
        </w:rPr>
        <w:t xml:space="preserve">4. Financial Status (Balance &amp; Salary)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22222"/>
          <w:sz w:val="22"/>
          <w:szCs w:val="22"/>
        </w:rPr>
        <w:t xml:space="preserve">Average Salary: </w:t>
      </w:r>
      <w:r>
        <w:rPr>
          <w:b w:val="false"/>
          <w:bCs w:val="false"/>
          <w:color w:val="222222"/>
          <w:sz w:val="22"/>
          <w:szCs w:val="22"/>
        </w:rPr>
        <w:t xml:space="preserve">Churned customers average R101,509.91 versus R99,726.85 for retained customers — a difference of less than 2%, indicating income is not a direct driver of churn.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22222"/>
          <w:sz w:val="22"/>
          <w:szCs w:val="22"/>
        </w:rPr>
        <w:t xml:space="preserve">Account Balance: </w:t>
      </w:r>
      <w:r>
        <w:rPr>
          <w:b w:val="false"/>
          <w:bCs w:val="false"/>
          <w:color w:val="222222"/>
          <w:sz w:val="22"/>
          <w:szCs w:val="22"/>
        </w:rPr>
        <w:t xml:space="preserve">Churned customers maintain an average balance of R91,109.48 versus R72,742.75 for retained customers — roughly 25% higher. Losing high-balance customers presents a substantial financial risk to bank liquidity.</w:t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Strategic Recommendations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1. Targeted Engagement for Inactive Members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Implement automated re-engagement campaigns (e.g., promotional interest rates, personalized offers, check-in calls) for account holders marked as inactive.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2. Focus on Product Multi-Holding (The “Sweet Spot”)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Cross-sell a secondary product to single-product customers. Encourage a 2-product setup, as these customers exhibit the highest lifetime loyalty.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3. Regional Strategy — Germany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Conduct localized customer feedback surveys in Germany to identify specific pain points (e.g., fee structures, digital banking usability, or customer support issues).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4. Tailored Financial Offerings for Ages 40–59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Develop specialized wealth management, retirement planning, or loyalty benefits tailored to middle-aged and mature adults to protect high-balance accounts.</w:t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Methodology &amp; Data Quality Assurance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22222"/>
          <w:sz w:val="22"/>
          <w:szCs w:val="22"/>
        </w:rPr>
        <w:t xml:space="preserve">Uniqueness: </w:t>
      </w:r>
      <w:r>
        <w:rPr>
          <w:b w:val="false"/>
          <w:bCs w:val="false"/>
          <w:color w:val="222222"/>
          <w:sz w:val="22"/>
          <w:szCs w:val="22"/>
        </w:rPr>
        <w:t xml:space="preserve">Verified 10,000 unique CustomerId records (0 duplicates).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22222"/>
          <w:sz w:val="22"/>
          <w:szCs w:val="22"/>
        </w:rPr>
        <w:t xml:space="preserve">Completeness: </w:t>
      </w:r>
      <w:r>
        <w:rPr>
          <w:b w:val="false"/>
          <w:bCs w:val="false"/>
          <w:color w:val="222222"/>
          <w:sz w:val="22"/>
          <w:szCs w:val="22"/>
        </w:rPr>
        <w:t xml:space="preserve">Assessed all 19 fields for missing or NULL values; zero missing entries found across critical target and feature variables.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22222"/>
          <w:sz w:val="22"/>
          <w:szCs w:val="22"/>
        </w:rPr>
        <w:t xml:space="preserve">Range Validation: </w:t>
      </w:r>
      <w:r>
        <w:rPr>
          <w:b w:val="false"/>
          <w:bCs w:val="false"/>
          <w:color w:val="222222"/>
          <w:sz w:val="22"/>
          <w:szCs w:val="22"/>
        </w:rPr>
        <w:t xml:space="preserve">Cleaned and verified continuous numerical fields (Age, CreditScore, Balance, EstimatedSalary) for extreme outliers.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Bank Customer Churn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2026-08-11T10:19:17.122Z</dcterms:created>
  <dcterms:modified xsi:type="dcterms:W3CDTF">2026-08-11T10:19:17.124Z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