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612130" cy="448945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5612130" cy="4489450"/>
                    </a:xfrm>
                    <a:prstGeom prst="rect">
                      <a:avLst/>
                    </a:prstGeom>
                  </pic:spPr>
                </pic:pic>
              </a:graphicData>
            </a:graphic>
          </wp:inline>
        </w:drawing>
      </w:r>
    </w:p>
    <w:p>
      <w:pPr>
        <w:pStyle w:val="Normal"/>
        <w:rPr/>
      </w:pPr>
      <w:r>
        <w:rPr/>
      </w:r>
    </w:p>
    <w:p>
      <w:pPr>
        <w:pStyle w:val="Normal"/>
        <w:jc w:val="both"/>
        <w:rPr/>
      </w:pPr>
      <w:r>
        <w:rPr/>
        <w:t>Hice una búsqueda con el número 256,  seleccione el económico 930, corresponde a una impresora Hewlett Packard  L</w:t>
      </w:r>
      <w:r>
        <w:rPr>
          <w:rFonts w:eastAsia="Times New Roman" w:cs="Calibri"/>
          <w:color w:val="000000"/>
          <w:lang w:eastAsia="es-MX"/>
        </w:rPr>
        <w:t xml:space="preserve">aserjet  2410 </w:t>
      </w:r>
      <w:r>
        <w:rPr/>
        <w:t>con serie CNGKK23256, como se muestra en pantalla.</w:t>
      </w:r>
    </w:p>
    <w:p>
      <w:pPr>
        <w:pStyle w:val="Normal"/>
        <w:jc w:val="both"/>
        <w:rPr>
          <w:rFonts w:ascii="Calibri" w:hAnsi="Calibri" w:eastAsia="Times New Roman" w:cs="Calibri"/>
          <w:lang w:eastAsia="es-MX"/>
        </w:rPr>
      </w:pPr>
      <w:r>
        <w:rPr/>
        <w:t xml:space="preserve">En el campo de marca despliega FENTON como se muestra en la pantalla de abajo, esta marca corresponde al número de serie </w:t>
      </w:r>
      <w:r>
        <w:rPr>
          <w:rFonts w:eastAsia="Times New Roman" w:cs="Calibri"/>
          <w:color w:val="000000"/>
          <w:lang w:eastAsia="es-MX"/>
        </w:rPr>
        <w:t>6589</w:t>
      </w:r>
      <w:r>
        <w:rPr>
          <w:rFonts w:eastAsia="Times New Roman" w:cs="Calibri"/>
          <w:color w:val="FF0000"/>
          <w:lang w:eastAsia="es-MX"/>
        </w:rPr>
        <w:t>3158</w:t>
      </w:r>
      <w:r>
        <w:rPr>
          <w:rFonts w:eastAsia="Times New Roman" w:cs="Calibri"/>
          <w:color w:val="000000"/>
          <w:lang w:eastAsia="es-MX"/>
        </w:rPr>
        <w:t xml:space="preserve">898 que es un UPS, marca FENTON, y en el campo de  Inventario o Número de serie se queda el numero </w:t>
      </w:r>
      <w:r>
        <w:rPr>
          <w:rFonts w:eastAsia="Times New Roman" w:cs="Calibri"/>
          <w:color w:val="FF0000"/>
          <w:lang w:eastAsia="es-MX"/>
        </w:rPr>
        <w:t xml:space="preserve">3158, </w:t>
      </w:r>
      <w:r>
        <w:rPr>
          <w:rFonts w:eastAsia="Times New Roman" w:cs="Calibri"/>
          <w:lang w:eastAsia="es-MX"/>
        </w:rPr>
        <w:t>en vez de que se quede el número 930 que se selecciono con anterioridad, haciendo pruebas con otros números de serie ninguno corresponde con la marca, y en algunos aparece la palabra HK, NULL O INDICADOR.</w:t>
      </w:r>
    </w:p>
    <w:p>
      <w:pPr>
        <w:pStyle w:val="Normal"/>
        <w:jc w:val="both"/>
        <w:rPr>
          <w:rFonts w:ascii="Calibri" w:hAnsi="Calibri" w:eastAsia="Times New Roman" w:cs="Calibri"/>
          <w:b/>
          <w:b/>
          <w:bCs/>
          <w:color w:val="6600FF"/>
          <w:lang w:eastAsia="es-MX"/>
        </w:rPr>
      </w:pPr>
      <w:r>
        <w:rPr>
          <w:rFonts w:eastAsia="Times New Roman" w:cs="Calibri"/>
          <w:b/>
          <w:bCs/>
          <w:color w:val="6600FF"/>
          <w:lang w:eastAsia="es-MX"/>
        </w:rPr>
        <w:t xml:space="preserve">? </w:t>
      </w:r>
      <w:r>
        <w:rPr>
          <w:rFonts w:eastAsia="Times New Roman" w:cs="Calibri"/>
          <w:b/>
          <w:bCs/>
          <w:color w:val="6600FF"/>
          <w:lang w:eastAsia="es-MX"/>
        </w:rPr>
        <w:t>podemos ver este caso juntos.</w:t>
      </w:r>
    </w:p>
    <w:p>
      <w:pPr>
        <w:pStyle w:val="Normal"/>
        <w:jc w:val="both"/>
        <w:rPr>
          <w:rFonts w:ascii="Calibri" w:hAnsi="Calibri" w:eastAsia="Times New Roman" w:cs="Calibri"/>
          <w:lang w:eastAsia="es-MX"/>
        </w:rPr>
      </w:pPr>
      <w:r>
        <w:rPr>
          <w:rFonts w:eastAsia="Times New Roman" w:cs="Calibri"/>
          <w:lang w:eastAsia="es-MX"/>
        </w:rPr>
      </w:r>
    </w:p>
    <w:p>
      <w:pPr>
        <w:pStyle w:val="Normal"/>
        <w:jc w:val="both"/>
        <w:rPr>
          <w:rFonts w:ascii="Calibri" w:hAnsi="Calibri" w:eastAsia="Times New Roman" w:cs="Calibri"/>
          <w:lang w:eastAsia="es-MX"/>
        </w:rPr>
      </w:pPr>
      <w:r>
        <w:rPr/>
        <w:drawing>
          <wp:inline distT="0" distB="0" distL="0" distR="0">
            <wp:extent cx="5612130" cy="4489450"/>
            <wp:effectExtent l="0" t="0" r="0" b="0"/>
            <wp:docPr id="2"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9" descr=""/>
                    <pic:cNvPicPr>
                      <a:picLocks noChangeAspect="1" noChangeArrowheads="1"/>
                    </pic:cNvPicPr>
                  </pic:nvPicPr>
                  <pic:blipFill>
                    <a:blip r:embed="rId3"/>
                    <a:stretch>
                      <a:fillRect/>
                    </a:stretch>
                  </pic:blipFill>
                  <pic:spPr bwMode="auto">
                    <a:xfrm>
                      <a:off x="0" y="0"/>
                      <a:ext cx="5612130" cy="4489450"/>
                    </a:xfrm>
                    <a:prstGeom prst="rect">
                      <a:avLst/>
                    </a:prstGeom>
                  </pic:spPr>
                </pic:pic>
              </a:graphicData>
            </a:graphic>
          </wp:inline>
        </w:drawing>
      </w:r>
    </w:p>
    <w:p>
      <w:pPr>
        <w:pStyle w:val="Normal"/>
        <w:jc w:val="both"/>
        <w:rPr>
          <w:rFonts w:ascii="Calibri" w:hAnsi="Calibri" w:eastAsia="Times New Roman" w:cs="Calibri"/>
          <w:lang w:eastAsia="es-MX"/>
        </w:rPr>
      </w:pPr>
      <w:r>
        <w:rPr>
          <w:rFonts w:eastAsia="Times New Roman" w:cs="Calibri"/>
          <w:lang w:eastAsia="es-MX"/>
        </w:rPr>
        <w:t>Algo pasa con los menús de opciones de los coordinadores/aprobadores, así como el del gestor ya que no tienen disponible todas las opciones.</w:t>
      </w:r>
    </w:p>
    <w:p>
      <w:pPr>
        <w:pStyle w:val="Normal"/>
        <w:jc w:val="both"/>
        <w:rPr>
          <w:rFonts w:ascii="Calibri" w:hAnsi="Calibri" w:eastAsia="Times New Roman" w:cs="Calibri"/>
          <w:lang w:eastAsia="es-MX"/>
        </w:rPr>
      </w:pPr>
      <w:r>
        <w:rPr>
          <w:rFonts w:eastAsia="Times New Roman" w:cs="Calibri"/>
          <w:lang w:eastAsia="es-MX"/>
        </w:rPr>
        <w:t>Ejemplo en el perfil de Martin no tiene opción de entrar al menú de Mesa de Servicio para gestionar un requerimiento, además no tiene la opción de coordinador para asignar un incidente.</w:t>
      </w:r>
    </w:p>
    <w:p>
      <w:pPr>
        <w:pStyle w:val="Normal"/>
        <w:jc w:val="both"/>
        <w:rPr>
          <w:color w:val="6600FF"/>
        </w:rPr>
      </w:pPr>
      <w:r>
        <w:rPr>
          <w:rFonts w:eastAsia="Times New Roman" w:cs="Calibri"/>
          <w:lang w:eastAsia="es-MX"/>
        </w:rPr>
        <w:t>También revisé el perfil de Javier y no tiene la opción de coordinador para asignar un incidente, se muestra el menú de opciones en la pantalla de abajo.</w:t>
      </w:r>
    </w:p>
    <w:p>
      <w:pPr>
        <w:pStyle w:val="Normal"/>
        <w:jc w:val="both"/>
        <w:rPr>
          <w:b/>
          <w:b/>
          <w:bCs/>
          <w:color w:val="6600FF"/>
        </w:rPr>
      </w:pPr>
      <w:r>
        <w:rPr>
          <w:rFonts w:eastAsia="Times New Roman" w:cs="Calibri"/>
          <w:b/>
          <w:bCs/>
          <w:color w:val="6600FF"/>
          <w:lang w:eastAsia="es-MX"/>
        </w:rPr>
        <w:t>+ Este problema se dio al cambiar la Base de Datos (los perfiles, por algo que se menciono en la junta. Ahora el perfil de Gestor se llama ROLE_SAST_GESTOR, y el de aprobador es ROLE_SAST_APROBADOR, antes los nombres eran más complicados). En la siguiente versión estará bien. Lo mismo aplica para la siguiente imagen.</w:t>
      </w:r>
    </w:p>
    <w:p>
      <w:pPr>
        <w:pStyle w:val="Normal"/>
        <w:jc w:val="both"/>
        <w:rPr>
          <w:rFonts w:ascii="Calibri" w:hAnsi="Calibri" w:eastAsia="Times New Roman" w:cs="Calibri"/>
          <w:lang w:eastAsia="es-MX"/>
        </w:rPr>
      </w:pPr>
      <w:r>
        <w:rPr/>
        <w:drawing>
          <wp:inline distT="0" distB="0" distL="0" distR="0">
            <wp:extent cx="5612130" cy="4489450"/>
            <wp:effectExtent l="0" t="0" r="0" b="0"/>
            <wp:docPr id="3"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 descr=""/>
                    <pic:cNvPicPr>
                      <a:picLocks noChangeAspect="1" noChangeArrowheads="1"/>
                    </pic:cNvPicPr>
                  </pic:nvPicPr>
                  <pic:blipFill>
                    <a:blip r:embed="rId4"/>
                    <a:stretch>
                      <a:fillRect/>
                    </a:stretch>
                  </pic:blipFill>
                  <pic:spPr bwMode="auto">
                    <a:xfrm>
                      <a:off x="0" y="0"/>
                      <a:ext cx="5612130" cy="4489450"/>
                    </a:xfrm>
                    <a:prstGeom prst="rect">
                      <a:avLst/>
                    </a:prstGeom>
                  </pic:spPr>
                </pic:pic>
              </a:graphicData>
            </a:graphic>
          </wp:inline>
        </w:drawing>
      </w:r>
    </w:p>
    <w:p>
      <w:pPr>
        <w:pStyle w:val="Normal"/>
        <w:jc w:val="both"/>
        <w:rPr>
          <w:rFonts w:ascii="Calibri" w:hAnsi="Calibri" w:eastAsia="Times New Roman" w:cs="Calibri"/>
          <w:lang w:eastAsia="es-MX"/>
        </w:rPr>
      </w:pPr>
      <w:r>
        <w:rPr>
          <w:rFonts w:eastAsia="Times New Roman" w:cs="Calibri"/>
          <w:lang w:eastAsia="es-MX"/>
        </w:rPr>
      </w:r>
    </w:p>
    <w:p>
      <w:pPr>
        <w:pStyle w:val="Normal"/>
        <w:jc w:val="both"/>
        <w:rPr/>
      </w:pPr>
      <w:r>
        <w:rPr/>
      </w:r>
    </w:p>
    <w:p>
      <w:pPr>
        <w:pStyle w:val="Normal"/>
        <w:jc w:val="both"/>
        <w:rPr/>
      </w:pPr>
      <w:r>
        <w:rPr/>
      </w:r>
    </w:p>
    <w:p>
      <w:pPr>
        <w:pStyle w:val="Normal"/>
        <w:rPr/>
      </w:pPr>
      <w:r>
        <w:rPr/>
        <w:t xml:space="preserve">  </w:t>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08"/>
  <w:autoHyphenation w:val="false"/>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78e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b1e8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fb1e8d"/>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LibreOffice/5.0.2.2$Linux_X86_64 LibreOffice_project/00m0$Build-2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2015-11-26T18:35:00Z</dcterms:created>
  <dc:creator>szarazua</dc:creator>
  <dc:language>es-MX</dc:language>
  <cp:lastModifiedBy>Daniel </cp:lastModifiedBy>
  <dcterms:modified xsi:type="dcterms:W3CDTF">2015-11-27T13:53:35Z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