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2322" w14:textId="1EC77755" w:rsidR="0042502A" w:rsidRPr="006D75E1" w:rsidRDefault="0042502A" w:rsidP="00F12155">
      <w:pPr>
        <w:spacing w:before="240" w:after="240"/>
        <w:jc w:val="center"/>
        <w:rPr>
          <w:rFonts w:ascii="Times New Roman" w:hAnsi="Times New Roman" w:cs="Times New Roman"/>
          <w:b/>
          <w:color w:val="000000"/>
          <w:sz w:val="28"/>
          <w:szCs w:val="24"/>
        </w:rPr>
      </w:pPr>
      <w:r w:rsidRPr="006D75E1">
        <w:rPr>
          <w:rFonts w:ascii="Times New Roman" w:hAnsi="Times New Roman" w:cs="Times New Roman"/>
          <w:b/>
          <w:color w:val="000000"/>
          <w:sz w:val="28"/>
          <w:szCs w:val="24"/>
        </w:rPr>
        <w:t>BẢN ĐIỀU KHOẢN VÀ ĐIỀU KIỆN CHUNG</w:t>
      </w:r>
    </w:p>
    <w:p w14:paraId="3F2BF449" w14:textId="7012F54B" w:rsidR="0042502A" w:rsidRPr="0042502A" w:rsidRDefault="0042502A" w:rsidP="00E61E63">
      <w:pPr>
        <w:jc w:val="both"/>
        <w:rPr>
          <w:rFonts w:ascii="Times New Roman" w:hAnsi="Times New Roman" w:cs="Times New Roman"/>
          <w:color w:val="000000"/>
          <w:sz w:val="24"/>
          <w:szCs w:val="24"/>
        </w:rPr>
      </w:pPr>
      <w:r w:rsidRPr="0042502A">
        <w:rPr>
          <w:rFonts w:ascii="Times New Roman" w:hAnsi="Times New Roman" w:cs="Times New Roman"/>
          <w:color w:val="000000"/>
          <w:sz w:val="24"/>
          <w:szCs w:val="24"/>
        </w:rPr>
        <w:t>Bản Điều Khoản Và Điều Kiện Chung được Công ty Tài chính TNHH HD SAISON (“</w:t>
      </w:r>
      <w:r w:rsidRPr="009F3601">
        <w:rPr>
          <w:rFonts w:ascii="Times New Roman" w:hAnsi="Times New Roman" w:cs="Times New Roman"/>
          <w:b/>
          <w:bCs/>
          <w:color w:val="000000"/>
          <w:sz w:val="24"/>
          <w:szCs w:val="24"/>
        </w:rPr>
        <w:t>Bên Cho Vay</w:t>
      </w:r>
      <w:r w:rsidRPr="0042502A">
        <w:rPr>
          <w:rFonts w:ascii="Times New Roman" w:hAnsi="Times New Roman" w:cs="Times New Roman"/>
          <w:color w:val="000000"/>
          <w:sz w:val="24"/>
          <w:szCs w:val="24"/>
        </w:rPr>
        <w:t xml:space="preserve">”) công bố công khai tại trụ sở chính, chi nhánh, điểm giới thiệu dịch vụ và website </w:t>
      </w:r>
      <w:hyperlink r:id="rId10" w:history="1">
        <w:r w:rsidRPr="0042502A">
          <w:rPr>
            <w:rStyle w:val="Hyperlink"/>
            <w:rFonts w:ascii="Times New Roman" w:hAnsi="Times New Roman" w:cs="Times New Roman"/>
            <w:sz w:val="24"/>
            <w:szCs w:val="24"/>
          </w:rPr>
          <w:t>www.hdsaison.com.vn</w:t>
        </w:r>
      </w:hyperlink>
      <w:r w:rsidRPr="0042502A">
        <w:rPr>
          <w:rFonts w:ascii="Times New Roman" w:hAnsi="Times New Roman" w:cs="Times New Roman"/>
          <w:color w:val="000000"/>
          <w:sz w:val="24"/>
          <w:szCs w:val="24"/>
        </w:rPr>
        <w:t xml:space="preserve"> của Bên Cho Vay để áp dụng chung cho Bên Vay đối với tất cả các sản phẩm cho vay tiêu dùng</w:t>
      </w:r>
      <w:r w:rsidR="002B3F22">
        <w:rPr>
          <w:rFonts w:ascii="Times New Roman" w:hAnsi="Times New Roman" w:cs="Times New Roman"/>
          <w:color w:val="000000"/>
          <w:sz w:val="24"/>
          <w:szCs w:val="24"/>
        </w:rPr>
        <w:t xml:space="preserve"> thuộc tất cả các ngành hàng</w:t>
      </w:r>
      <w:r w:rsidRPr="0042502A">
        <w:rPr>
          <w:rFonts w:ascii="Times New Roman" w:hAnsi="Times New Roman" w:cs="Times New Roman"/>
          <w:color w:val="000000"/>
          <w:sz w:val="24"/>
          <w:szCs w:val="24"/>
        </w:rPr>
        <w:t xml:space="preserve"> của Bên Cho Vay từng thời kỳ</w:t>
      </w:r>
      <w:r w:rsidR="002B3F22">
        <w:rPr>
          <w:rFonts w:ascii="Times New Roman" w:hAnsi="Times New Roman" w:cs="Times New Roman"/>
          <w:color w:val="000000"/>
          <w:sz w:val="24"/>
          <w:szCs w:val="24"/>
        </w:rPr>
        <w:t>.</w:t>
      </w:r>
    </w:p>
    <w:p w14:paraId="6C248493" w14:textId="67E070DE" w:rsidR="0042502A" w:rsidRPr="00E61E63" w:rsidRDefault="0042502A" w:rsidP="00E61E63">
      <w:pPr>
        <w:spacing w:before="120" w:after="240"/>
        <w:jc w:val="both"/>
        <w:rPr>
          <w:rFonts w:ascii="Times New Roman" w:hAnsi="Times New Roman" w:cs="Times New Roman"/>
          <w:color w:val="000000" w:themeColor="text1"/>
          <w:sz w:val="24"/>
          <w:szCs w:val="24"/>
        </w:rPr>
      </w:pPr>
      <w:r w:rsidRPr="0042502A">
        <w:rPr>
          <w:rFonts w:ascii="Times New Roman" w:hAnsi="Times New Roman" w:cs="Times New Roman"/>
          <w:color w:val="000000"/>
          <w:sz w:val="24"/>
          <w:szCs w:val="24"/>
        </w:rPr>
        <w:t>Bản Điều Khoản Và Điều Kiện Chung là một phần không tách rời của Hợp Đồng Tín Dụng giữa Bên Cho Vay và Bên Vay theo từng sản phẩm cho vay tiêu dùng. Bằng việc ký xác nhận tại Hợp Đồng Tín Dụng, Bên Vay đồng ý rằng đã đọc, hiểu, chấp nhận tuân thủ các quy định tại Bản Điều Khoản Và Điều Kiện Chung này</w:t>
      </w:r>
      <w:r w:rsidR="0D8BE15F" w:rsidRPr="0042502A">
        <w:rPr>
          <w:rFonts w:ascii="Times New Roman" w:hAnsi="Times New Roman" w:cs="Times New Roman"/>
          <w:color w:val="000000"/>
          <w:sz w:val="24"/>
          <w:szCs w:val="24"/>
        </w:rPr>
        <w:t>.</w:t>
      </w:r>
    </w:p>
    <w:p w14:paraId="10DB05AC" w14:textId="00C9220D" w:rsidR="0042502A" w:rsidRPr="0042502A" w:rsidRDefault="0042502A" w:rsidP="0042502A">
      <w:pPr>
        <w:pStyle w:val="ListParagraph"/>
        <w:numPr>
          <w:ilvl w:val="0"/>
          <w:numId w:val="5"/>
        </w:numPr>
        <w:ind w:hanging="720"/>
        <w:rPr>
          <w:rFonts w:ascii="Times New Roman" w:hAnsi="Times New Roman"/>
          <w:b/>
          <w:sz w:val="24"/>
          <w:szCs w:val="24"/>
        </w:rPr>
      </w:pPr>
      <w:r w:rsidRPr="0042502A">
        <w:rPr>
          <w:rFonts w:ascii="Times New Roman" w:hAnsi="Times New Roman"/>
          <w:b/>
          <w:sz w:val="24"/>
          <w:szCs w:val="24"/>
        </w:rPr>
        <w:t xml:space="preserve">Một số định nghĩa và giải thích </w:t>
      </w:r>
    </w:p>
    <w:p w14:paraId="3D754DCF"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Bên Cho Vay là công ty có thông tin như nêu tại Mục 2 của Hợp Đồng Tín Dụng.</w:t>
      </w:r>
    </w:p>
    <w:p w14:paraId="5836CC20"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Bên Vay là cá nhân có thông tin như nêu tại Mục 1 của Hợp Đồng Tín Dụng.</w:t>
      </w:r>
    </w:p>
    <w:p w14:paraId="4941BDDE"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Khoản Cấp Vốn là khoản tiền bằng đồng Việt Nam do Bên Cho Vay cấp cho Bên Vay như nêu tại Mục 5.1 của Hợp Đồng Tín Dụng.</w:t>
      </w:r>
    </w:p>
    <w:p w14:paraId="7A1DCA1B"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Khoản Nợ là khoản tiền mà Bên Vay có nghĩa vụ thanh toán cho Bên Cho Vay theo quy định tại Hợp Đồng Tín Dụng, tại bất kỳ thời điểm nào, bao gồm nhưng không giới hạn (các) Khoản Thanh Toán Hàng Tháng, phí, phạt chưa thanh toán tại thời điểm đó.</w:t>
      </w:r>
    </w:p>
    <w:p w14:paraId="63DF738E"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Khoản Thanh Toán Hàng Tháng là khoản tiền Bên Vay hoàn trả Bên Cho Vay mỗi tháng vào ngày và theo thời hạn được quy định tại Mục 5 của Hợp Đồng Tín Dụng. Khoản Thanh Toán Hàng Tháng sẽ bao gồm gốc, lãi, Phí Bảo Hiểm (nếu có) và Phí Chuyển Tiền được quy định tại Hợp Đồng Tín Dụng.</w:t>
      </w:r>
    </w:p>
    <w:p w14:paraId="0E60F145" w14:textId="0F4F4D9B"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Khoản Vay là khoản tiền mà Bên Vay phải thanh toán cho Bên Cho Vay bao gồm Khoản Cấp Vốn và Tiền Lãi</w:t>
      </w:r>
      <w:r w:rsidR="0BB2763C" w:rsidRPr="0042502A">
        <w:rPr>
          <w:rFonts w:ascii="Times New Roman" w:hAnsi="Times New Roman"/>
          <w:sz w:val="24"/>
          <w:szCs w:val="24"/>
        </w:rPr>
        <w:t>.</w:t>
      </w:r>
    </w:p>
    <w:p w14:paraId="3814A003"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Hợp Đồng Tín Dụng là thỏa thuận giữa Bên Vay và Bên Cho Vay liên quan đến Khoản Vay và các phụ lục, sửa đổi, bổ sung được Bên Vay và Bên Cho Vay đồng ý bằng văn bản. </w:t>
      </w:r>
    </w:p>
    <w:p w14:paraId="0A4B528F"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Đề Nghị Cấp Tín Dụng Kiêm Thỏa Thuận Sử Dụng Dịch Vụ Điện Tử là văn bản đề nghị của Bên Vay liên quan đến Khoản Vay, đồng thời là thỏa thuận giữa Bên Vay và Bên Cho Vay liên quan đến việc Bên Vay đồng ý sử dụng Dịch vụ điện tử do Bên Cho Vay cung cấp từng thời kỳ và các phụ lục, sửa đổi, bổ sung được Bên Vay và Bên Cho Vay đồng ý bằng văn bản hoặc được Bên Cho Vay thông báo từng thời kỳ.</w:t>
      </w:r>
    </w:p>
    <w:p w14:paraId="06AAE5A9"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Phí Bảo Hiểm là số tiền mà Bên Vay thanh toán cho công ty bảo hiểm để tham gia (các) sản phẩm bảo hiểm quy định tại Mục 2.4 của Đề Nghị Cấp Tín Dụng Kiêm Thỏa Thuận Sử Dụng Dịch Vụ Điện Tử (không bao gồm Sản Phẩm Được Tài Trợ là bảo hiểm).</w:t>
      </w:r>
    </w:p>
    <w:p w14:paraId="6539303A"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Số Hợp Đồng là số Hợp Đồng Tín Dụng nêu tại phần đầu của Hợp Đồng Tín Dụng.</w:t>
      </w:r>
    </w:p>
    <w:p w14:paraId="5DFC04E0" w14:textId="6E6C6ECC" w:rsidR="0042502A" w:rsidRPr="0042502A" w:rsidRDefault="002B3F22" w:rsidP="0042502A">
      <w:pPr>
        <w:pStyle w:val="ListParagraph"/>
        <w:numPr>
          <w:ilvl w:val="0"/>
          <w:numId w:val="6"/>
        </w:numPr>
        <w:spacing w:after="120" w:line="240" w:lineRule="auto"/>
        <w:ind w:hanging="720"/>
        <w:contextualSpacing w:val="0"/>
        <w:jc w:val="both"/>
        <w:rPr>
          <w:rFonts w:ascii="Times New Roman" w:hAnsi="Times New Roman"/>
          <w:sz w:val="24"/>
          <w:szCs w:val="24"/>
        </w:rPr>
      </w:pPr>
      <w:bookmarkStart w:id="0" w:name="_Ref435807936"/>
      <w:r>
        <w:rPr>
          <w:rFonts w:ascii="Times New Roman" w:hAnsi="Times New Roman"/>
          <w:sz w:val="24"/>
          <w:szCs w:val="24"/>
        </w:rPr>
        <w:t xml:space="preserve">Tài Liệu </w:t>
      </w:r>
      <w:r w:rsidR="0042502A" w:rsidRPr="0042502A">
        <w:rPr>
          <w:rFonts w:ascii="Times New Roman" w:hAnsi="Times New Roman"/>
          <w:sz w:val="24"/>
          <w:szCs w:val="24"/>
        </w:rPr>
        <w:t xml:space="preserve">Hướng Dẫn Thanh Toán là tài liệu hướng dẫn cho Bên Vay các phương thức thanh toán Khoản Nợ cho Bên Cho Vay thông qua các kênh thanh toán. </w:t>
      </w:r>
      <w:r>
        <w:rPr>
          <w:rFonts w:ascii="Times New Roman" w:hAnsi="Times New Roman"/>
          <w:sz w:val="24"/>
          <w:szCs w:val="24"/>
        </w:rPr>
        <w:t>Tài Liệu</w:t>
      </w:r>
      <w:r w:rsidR="0042502A" w:rsidRPr="0042502A">
        <w:rPr>
          <w:rFonts w:ascii="Times New Roman" w:hAnsi="Times New Roman"/>
          <w:sz w:val="24"/>
          <w:szCs w:val="24"/>
        </w:rPr>
        <w:t xml:space="preserve"> Hướng Dẫn Thanh Toán được đính kèm Hợp Đồng Tín Dụng và là một phần không tách rời của Hợp Đồng Tín Dụng.</w:t>
      </w:r>
      <w:bookmarkEnd w:id="0"/>
      <w:r w:rsidR="0042502A" w:rsidRPr="0042502A">
        <w:rPr>
          <w:rFonts w:ascii="Times New Roman" w:hAnsi="Times New Roman"/>
          <w:sz w:val="24"/>
          <w:szCs w:val="24"/>
        </w:rPr>
        <w:t xml:space="preserve"> Trong trường hợp có sự không thống nhất nội dung giữa </w:t>
      </w:r>
      <w:r>
        <w:rPr>
          <w:rFonts w:ascii="Times New Roman" w:hAnsi="Times New Roman"/>
          <w:sz w:val="24"/>
          <w:szCs w:val="24"/>
        </w:rPr>
        <w:t>Tài Liệu</w:t>
      </w:r>
      <w:r w:rsidR="0042502A" w:rsidRPr="0042502A">
        <w:rPr>
          <w:rFonts w:ascii="Times New Roman" w:hAnsi="Times New Roman"/>
          <w:sz w:val="24"/>
          <w:szCs w:val="24"/>
        </w:rPr>
        <w:t xml:space="preserve"> Hướng Dẫn Thanh Toán và Hợp Đồng Tín Dụng hoặc Đề Nghị Cấp Tín Dụng Kiêm Thỏa Thuận Sử Dụng Dịch Vụ Điện Tử thì</w:t>
      </w:r>
      <w:r>
        <w:rPr>
          <w:rFonts w:ascii="Times New Roman" w:hAnsi="Times New Roman"/>
          <w:sz w:val="24"/>
          <w:szCs w:val="24"/>
        </w:rPr>
        <w:t xml:space="preserve"> nội dung tại</w:t>
      </w:r>
      <w:r w:rsidR="0042502A" w:rsidRPr="0042502A">
        <w:rPr>
          <w:rFonts w:ascii="Times New Roman" w:hAnsi="Times New Roman"/>
          <w:sz w:val="24"/>
          <w:szCs w:val="24"/>
        </w:rPr>
        <w:t xml:space="preserve"> Hợp Đồng Tín Dụng sẽ được ưu tiên áp dụng.</w:t>
      </w:r>
    </w:p>
    <w:p w14:paraId="2853DD1E"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Tiền Lãi là khoản tiền Bên Vay thanh toán cho Bên Cho Vay, được tính trên cơ sở dư nợ giảm dần.</w:t>
      </w:r>
    </w:p>
    <w:p w14:paraId="34569646"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Thuế là thuế giá trị gia tăng hoặc các loại thuế khác theo quy định của pháp luật Việt Nam. </w:t>
      </w:r>
    </w:p>
    <w:p w14:paraId="78CFD51E"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VNĐ là đồng Việt Nam, đồng tiền được sử dụng để cho vay theo Hợp Đồng Tín Dụng.</w:t>
      </w:r>
    </w:p>
    <w:p w14:paraId="582FC9FF" w14:textId="77777777" w:rsidR="0042502A" w:rsidRPr="0042502A" w:rsidRDefault="0042502A" w:rsidP="0042502A">
      <w:pPr>
        <w:pStyle w:val="ListParagraph"/>
        <w:numPr>
          <w:ilvl w:val="0"/>
          <w:numId w:val="6"/>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lastRenderedPageBreak/>
        <w:t>Dấu phân cách: Nhằm thống nhất một nguyên tắc ghi số tại Hợp Đồng Tín Dụng, Bên Cho Vay sử dụng dấu phẩy (“,”) sau chữ số hàng nghìn, triệu; và sử dụng dấu chấm (“.”) sau chữ số hàng đơn vị.</w:t>
      </w:r>
    </w:p>
    <w:p w14:paraId="3C651D45" w14:textId="77777777" w:rsidR="0042502A" w:rsidRPr="0042502A" w:rsidRDefault="0042502A" w:rsidP="0042502A">
      <w:pPr>
        <w:pStyle w:val="ListParagraph"/>
        <w:numPr>
          <w:ilvl w:val="0"/>
          <w:numId w:val="5"/>
        </w:numPr>
        <w:ind w:hanging="720"/>
        <w:rPr>
          <w:rFonts w:ascii="Times New Roman" w:hAnsi="Times New Roman"/>
          <w:b/>
          <w:sz w:val="24"/>
          <w:szCs w:val="24"/>
        </w:rPr>
      </w:pPr>
      <w:bookmarkStart w:id="1" w:name="_Ref432438093"/>
      <w:r w:rsidRPr="0042502A">
        <w:rPr>
          <w:rFonts w:ascii="Times New Roman" w:hAnsi="Times New Roman"/>
          <w:b/>
          <w:sz w:val="24"/>
          <w:szCs w:val="24"/>
        </w:rPr>
        <w:t>Phương thức thanh toán cho Bên Cho Vay</w:t>
      </w:r>
      <w:bookmarkEnd w:id="1"/>
      <w:r w:rsidRPr="0042502A">
        <w:rPr>
          <w:rFonts w:ascii="Times New Roman" w:hAnsi="Times New Roman"/>
          <w:b/>
          <w:sz w:val="24"/>
          <w:szCs w:val="24"/>
        </w:rPr>
        <w:t xml:space="preserve">  </w:t>
      </w:r>
    </w:p>
    <w:p w14:paraId="0E20AD8C" w14:textId="3F4FB21E" w:rsidR="0042502A" w:rsidRPr="0042502A" w:rsidRDefault="0042502A" w:rsidP="0042502A">
      <w:pPr>
        <w:pStyle w:val="ListParagraph"/>
        <w:numPr>
          <w:ilvl w:val="0"/>
          <w:numId w:val="7"/>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Bên Vay lựa chọn phương thức thanh toán và chịu trách nhiệm thực hiện đúng theo hướng dẫn của </w:t>
      </w:r>
      <w:r w:rsidR="002B3F22">
        <w:rPr>
          <w:rFonts w:ascii="Times New Roman" w:hAnsi="Times New Roman"/>
          <w:sz w:val="24"/>
          <w:szCs w:val="24"/>
        </w:rPr>
        <w:t>Tài Liệu</w:t>
      </w:r>
      <w:r w:rsidR="002B3F22" w:rsidRPr="0042502A">
        <w:rPr>
          <w:rFonts w:ascii="Times New Roman" w:hAnsi="Times New Roman"/>
          <w:sz w:val="24"/>
          <w:szCs w:val="24"/>
        </w:rPr>
        <w:t xml:space="preserve"> </w:t>
      </w:r>
      <w:r w:rsidRPr="0042502A">
        <w:rPr>
          <w:rFonts w:ascii="Times New Roman" w:hAnsi="Times New Roman"/>
          <w:sz w:val="24"/>
          <w:szCs w:val="24"/>
        </w:rPr>
        <w:t>Hướng Dẫn Thanh Toán. Mỗi lần thanh toán và chi trả Khoản Thanh Toán Hàng Tháng, Bên Vay phải ghi rõ và chính xác Số Hợp Đồng. Trong trường hợp Bên Vay không ghi chính xác Số Hợp Đồng, Bên Vay có nghĩa vụ phải thông báo ngay cho Bên Cho Vay để tránh bất kỳ sai sót hoặc thanh toán sai Hợp Đồng Tín Dụng.</w:t>
      </w:r>
    </w:p>
    <w:p w14:paraId="16AE804B" w14:textId="69281115" w:rsidR="0042502A" w:rsidRPr="0042502A" w:rsidRDefault="0042502A" w:rsidP="0042502A">
      <w:pPr>
        <w:pStyle w:val="ListParagraph"/>
        <w:numPr>
          <w:ilvl w:val="0"/>
          <w:numId w:val="7"/>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Nhằm hỗ trợ Bên Vay thực hiện thanh toán Khoản Thanh Toán Hàng Tháng đúng hạn, Bên Cho Vay có thể gọi điện và/hoặc nhắn tin cho Bên Vay để nhắc Bên Vay về ngày đến hạn thanh toán. Nếu Bên Vay không thanh toán hoặc thanh toán không đầy đủ Khoản Thanh Toán Hàng Tháng, Bên Cho Vay có thể gọi điện và/hoặc nhắn tin cho Bên Vay để yêu cầu Bên Vay thanh toán.</w:t>
      </w:r>
    </w:p>
    <w:p w14:paraId="3F7C8C12" w14:textId="77777777" w:rsidR="0042502A" w:rsidRPr="0042502A" w:rsidRDefault="0042502A" w:rsidP="0042502A">
      <w:pPr>
        <w:pStyle w:val="ListParagraph"/>
        <w:numPr>
          <w:ilvl w:val="0"/>
          <w:numId w:val="5"/>
        </w:numPr>
        <w:ind w:hanging="720"/>
        <w:rPr>
          <w:rFonts w:ascii="Times New Roman" w:hAnsi="Times New Roman"/>
          <w:b/>
          <w:sz w:val="24"/>
          <w:szCs w:val="24"/>
        </w:rPr>
      </w:pPr>
      <w:bookmarkStart w:id="2" w:name="_Ref433793068"/>
      <w:r w:rsidRPr="0042502A">
        <w:rPr>
          <w:rFonts w:ascii="Times New Roman" w:hAnsi="Times New Roman"/>
          <w:b/>
          <w:sz w:val="24"/>
          <w:szCs w:val="24"/>
        </w:rPr>
        <w:t>Cam kết và bảo đảm</w:t>
      </w:r>
      <w:bookmarkEnd w:id="2"/>
      <w:r w:rsidRPr="0042502A">
        <w:rPr>
          <w:rFonts w:ascii="Times New Roman" w:hAnsi="Times New Roman"/>
          <w:b/>
          <w:sz w:val="24"/>
          <w:szCs w:val="24"/>
        </w:rPr>
        <w:t xml:space="preserve">  </w:t>
      </w:r>
    </w:p>
    <w:p w14:paraId="28166BAD"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Trong thời gian có hiệu lực của Hợp Đồng Tín Dụng, Bên Vay có trách nhiệm ngay lập tức thông báo cho Bên Cho Vay bằng điện thoại và bằng thư tín bất kỳ thay đổi nào về các thông tin đã cung cấp cho Bên Cho Vay. Trường hợp không nhận được thông báo của Bên Vay, Bên Cho Vay mặc nhiên hiểu rằng các thông tin này không có thay đổi và Bên Cho Vay có quyền sử dụng các thông tin này trong các tài liệu của Bên Cho Vay phù hợp với quy định pháp luật.</w:t>
      </w:r>
    </w:p>
    <w:p w14:paraId="7F2D9D37"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Bên Vay hiểu và đồng ý rằng, trong trường hợp có sự khác biệt thông tin của Bên Vay thể hiện trên Đề Nghị Cấp Tín Dụng Kiêm Thỏa Thuận Sử Dụng Dịch Vụ Điện Tử và/hoặc Hợp Đồng Tín Dụng và giấy tờ do Bên Vay cung cấp, Bên Cho Vay được quyền cập nhật/điều chỉnh thông tin trên Đề Nghị Cấp Tín Dụng Kiêm Thỏa Thuận Sử Dụng Dịch Vụ Điện Tử và/hoặc Hợp Đồng Tín Dụng phù hợp với thông tin trên các giấy tờ và các Bên không cần phải ký văn bản điều chỉnh thông tin.</w:t>
      </w:r>
    </w:p>
    <w:p w14:paraId="13F5513A"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bookmarkStart w:id="3" w:name="_Ref435454898"/>
      <w:r w:rsidRPr="0042502A">
        <w:rPr>
          <w:rFonts w:ascii="Times New Roman" w:hAnsi="Times New Roman"/>
          <w:sz w:val="24"/>
          <w:szCs w:val="24"/>
        </w:rPr>
        <w:t>Bên Vay đảm bảo và cam kết sử dụng Khoản Cấp Vốn theo đúng mục đích sử dụng vốn vay theo Đề Nghị Cấp Tín Dụng Kiêm Thỏa Thuận Sử Dụng Dịch Vụ Điện Tử và Hợp Đồng Tín Dụng và chấp hành sự kiểm tra, giám sát của Bên Cho Vay trong quá trình vay vốn, sử dụng vốn vay và trả nợ vay.</w:t>
      </w:r>
      <w:bookmarkEnd w:id="3"/>
    </w:p>
    <w:p w14:paraId="4539D67E"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Bên Vay không chuyển nhượng hoặc chuyển giao bất kỳ quyền và/hoặc nghĩa vụ nào phát sinh từ Đề Nghị Cấp Tín Dụng Kiêm Thỏa Thuận Sử Dụng Dịch Vụ Điện Tử và Hợp Đồng Tín Dụng mà không có sự đồng ý trước bằng văn bản của Bên Cho Vay.</w:t>
      </w:r>
    </w:p>
    <w:p w14:paraId="56E670FF" w14:textId="07BE91DE"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Trong trường hợp Bên Vay vi phạm nghĩa vụ thanh toán và/hoặc bất kỳ điều khoản nào của Đề Nghị Cấp Tín Dụng Kiêm Thỏa Thuận Sử Dụng Dịch Vụ Điện Tử và/hoặc Hợp Đồng Tín Dụng, Bên Vay đồng ý rằng Bên Cho Vay có quyền sử dụng các biện pháp và thủ tục pháp lý cần thiết phù hợp với quy định pháp luật hiện hành để yêu cầu Bên Vay thanh toán các Khoản Nợ theo quy định tại Hợp Đồng Tín Dụng, bao gồm nhưng không giới hạn (i) Bên Cho Vay được thực hiện quyền đòi nợ đối với toàn bộ tài sản mà Bên Vay có quyền sở hữu tại bất kỳ nơi nào khác; (ii) Bên Vay đồng ý và ủy quyền không hủy ngang cho Bên Cho Vay đề nghị các tổ chức tín dụng nơi Bên </w:t>
      </w:r>
      <w:r w:rsidR="153750B0" w:rsidRPr="0042502A">
        <w:rPr>
          <w:rFonts w:ascii="Times New Roman" w:hAnsi="Times New Roman"/>
          <w:sz w:val="24"/>
          <w:szCs w:val="24"/>
        </w:rPr>
        <w:t>V</w:t>
      </w:r>
      <w:r w:rsidRPr="0042502A">
        <w:rPr>
          <w:rFonts w:ascii="Times New Roman" w:hAnsi="Times New Roman"/>
          <w:sz w:val="24"/>
          <w:szCs w:val="24"/>
        </w:rPr>
        <w:t xml:space="preserve">ay mở tài khoản, trích tiền từ tài khoản của Bên </w:t>
      </w:r>
      <w:r w:rsidR="153750B0" w:rsidRPr="0042502A">
        <w:rPr>
          <w:rFonts w:ascii="Times New Roman" w:hAnsi="Times New Roman"/>
          <w:sz w:val="24"/>
          <w:szCs w:val="24"/>
        </w:rPr>
        <w:t>V</w:t>
      </w:r>
      <w:r w:rsidRPr="0042502A">
        <w:rPr>
          <w:rFonts w:ascii="Times New Roman" w:hAnsi="Times New Roman"/>
          <w:sz w:val="24"/>
          <w:szCs w:val="24"/>
        </w:rPr>
        <w:t>ay, để thanh toán Khoản Nợ cho Bên Cho Vay theo thủ tục phù hợp với quy định của tổ chức tín dụng đó.</w:t>
      </w:r>
    </w:p>
    <w:p w14:paraId="6189BC94"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Bên Vay hiểu và đồng ý rằng Bên Vay có trách nhiệm bảo mật và không tiết lộ cho bên thứ ba biết Số Hợp Đồng cũng như các thông tin liên quan đến Đề Nghị Cấp Tín Dụng Kiêm Thỏa Thuận Sử Dụng Dịch Vụ Điện Tử và Hợp Đồng Tín Dụng. </w:t>
      </w:r>
    </w:p>
    <w:p w14:paraId="7C1460B7"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Tất cả các thông tin, tài liệu Bên Vay cung cấp cho Bên Cho Vay là chính xác, hợp pháp và không có thông tin nào bị che giấu hoặc bị làm sai lệch.</w:t>
      </w:r>
    </w:p>
    <w:p w14:paraId="34CF3C59" w14:textId="77777777" w:rsidR="0042502A" w:rsidRPr="0042502A" w:rsidRDefault="0042502A" w:rsidP="0042502A">
      <w:pPr>
        <w:pStyle w:val="ListParagraph"/>
        <w:numPr>
          <w:ilvl w:val="0"/>
          <w:numId w:val="8"/>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Trong mọi trường hợp, việc Bên Cho Vay không thực hiện quyền thu hồi nợ theo quy định tại Hợp Đồng Tín Dụng sẽ không bị xem là từ bỏ quyền thu hồi nợ và không cản trở Bên Cho Vay thực hiện quyền thu </w:t>
      </w:r>
      <w:r w:rsidRPr="0042502A">
        <w:rPr>
          <w:rFonts w:ascii="Times New Roman" w:hAnsi="Times New Roman"/>
          <w:sz w:val="24"/>
          <w:szCs w:val="24"/>
        </w:rPr>
        <w:lastRenderedPageBreak/>
        <w:t>hồi nợ này vào bất kỳ thời điểm nào trong tương lai theo quy định pháp luật và Bên Vay có nghĩa vụ thanh toán đầy đủ Khoản Nợ ngay sau khi Bên Cho Vay có yêu cầu theo Hợp Đồng Tín Dụng.</w:t>
      </w:r>
    </w:p>
    <w:p w14:paraId="0D4B0384" w14:textId="77777777" w:rsidR="0042502A" w:rsidRPr="0042502A" w:rsidRDefault="0042502A" w:rsidP="0042502A">
      <w:pPr>
        <w:pStyle w:val="ListParagraph"/>
        <w:numPr>
          <w:ilvl w:val="0"/>
          <w:numId w:val="5"/>
        </w:numPr>
        <w:ind w:hanging="720"/>
        <w:rPr>
          <w:rFonts w:ascii="Times New Roman" w:hAnsi="Times New Roman"/>
          <w:b/>
          <w:sz w:val="24"/>
          <w:szCs w:val="24"/>
        </w:rPr>
      </w:pPr>
      <w:bookmarkStart w:id="4" w:name="_Ref432440552"/>
      <w:r w:rsidRPr="0042502A">
        <w:rPr>
          <w:rFonts w:ascii="Times New Roman" w:hAnsi="Times New Roman"/>
          <w:b/>
          <w:sz w:val="24"/>
          <w:szCs w:val="24"/>
        </w:rPr>
        <w:t>Thông tin</w:t>
      </w:r>
      <w:bookmarkEnd w:id="4"/>
      <w:r w:rsidRPr="0042502A">
        <w:rPr>
          <w:rFonts w:ascii="Times New Roman" w:hAnsi="Times New Roman"/>
          <w:b/>
          <w:sz w:val="24"/>
          <w:szCs w:val="24"/>
        </w:rPr>
        <w:t xml:space="preserve"> của Bên Vay</w:t>
      </w:r>
    </w:p>
    <w:p w14:paraId="11D2A8FC" w14:textId="77777777" w:rsidR="0042502A" w:rsidRPr="0042502A" w:rsidRDefault="0042502A" w:rsidP="0042502A">
      <w:pPr>
        <w:pStyle w:val="ListParagraph"/>
        <w:numPr>
          <w:ilvl w:val="0"/>
          <w:numId w:val="9"/>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Bên Vay phải lập tức thông báo với Bên Cho Vay bằng điện thoại và bằng thư tín trong trường hợp có bất kỳ sự kiện nào xảy ra có thể có ảnh hưởng bất lợi đến năng lực thực hiện nghĩa vụ trả nợ của Bên Vay theo quy định của Hợp Đồng Tín Dụng.</w:t>
      </w:r>
    </w:p>
    <w:p w14:paraId="59A990B4" w14:textId="77777777" w:rsidR="0042502A" w:rsidRPr="0042502A" w:rsidRDefault="0042502A" w:rsidP="0042502A">
      <w:pPr>
        <w:pStyle w:val="ListParagraph"/>
        <w:numPr>
          <w:ilvl w:val="0"/>
          <w:numId w:val="9"/>
        </w:numPr>
        <w:spacing w:after="120" w:line="240" w:lineRule="auto"/>
        <w:ind w:hanging="720"/>
        <w:contextualSpacing w:val="0"/>
        <w:jc w:val="both"/>
        <w:rPr>
          <w:rFonts w:ascii="Times New Roman" w:hAnsi="Times New Roman"/>
          <w:sz w:val="24"/>
          <w:szCs w:val="24"/>
        </w:rPr>
      </w:pPr>
      <w:bookmarkStart w:id="5" w:name="_Ref435808448"/>
      <w:r w:rsidRPr="0042502A">
        <w:rPr>
          <w:rFonts w:ascii="Times New Roman" w:hAnsi="Times New Roman"/>
          <w:sz w:val="24"/>
          <w:szCs w:val="24"/>
        </w:rPr>
        <w:t>Vào bất kỳ thời điểm nào cho đến khi hoàn thành việc thanh toán Khoản Nợ, Bên Cho Vay có quyền kiểm tra sự đầy đủ và chính xác của các thông tin do Bên Vay cung cấp, bao gồm cả khả năng Bên Cho Vay có thể sử dụng các nguồn điều tra độc lập.</w:t>
      </w:r>
      <w:bookmarkEnd w:id="5"/>
      <w:r w:rsidRPr="0042502A">
        <w:rPr>
          <w:rFonts w:ascii="Times New Roman" w:hAnsi="Times New Roman"/>
          <w:sz w:val="24"/>
          <w:szCs w:val="24"/>
        </w:rPr>
        <w:t xml:space="preserve"> </w:t>
      </w:r>
    </w:p>
    <w:p w14:paraId="59213C54" w14:textId="67A7B8D1" w:rsidR="0042502A" w:rsidRPr="0042502A" w:rsidRDefault="0042502A" w:rsidP="0042502A">
      <w:pPr>
        <w:pStyle w:val="ListParagraph"/>
        <w:numPr>
          <w:ilvl w:val="0"/>
          <w:numId w:val="9"/>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Trong thời gian có hiệu lực của Hợp Đồng Tín Dụng</w:t>
      </w:r>
      <w:r w:rsidR="002437E5">
        <w:rPr>
          <w:rFonts w:ascii="Times New Roman" w:hAnsi="Times New Roman"/>
          <w:sz w:val="24"/>
          <w:szCs w:val="24"/>
        </w:rPr>
        <w:t xml:space="preserve"> và sau khi Hợp Đồng Tín Dụng hết hiệu lực</w:t>
      </w:r>
      <w:r w:rsidRPr="0042502A">
        <w:rPr>
          <w:rFonts w:ascii="Times New Roman" w:hAnsi="Times New Roman"/>
          <w:sz w:val="24"/>
          <w:szCs w:val="24"/>
        </w:rPr>
        <w:t>, Bên Cho Vay có thể thu thập và sử dụng các dữ liệu thông tin cá nhân của Bên Vay nhằm mục đích thực hiện Hợp Đồng Tín Dụng và nhằm các mục đích khác, bao gồm (i) việc Bên Cho Vay thông tin, chào bán đến Bên Vay các sản phẩm, dịch vụ tài chính mới, các thông tin quảng cáo, khuyến mại… của Bên Cho Vay để Bên Vay có được thông tin và cơ hội tham gia vào các sản phẩm, dịch vụ này;</w:t>
      </w:r>
      <w:r w:rsidR="002437E5">
        <w:rPr>
          <w:rFonts w:ascii="Times New Roman" w:hAnsi="Times New Roman"/>
          <w:sz w:val="24"/>
          <w:szCs w:val="24"/>
        </w:rPr>
        <w:t xml:space="preserve"> (ii)</w:t>
      </w:r>
      <w:r w:rsidR="006C3741">
        <w:rPr>
          <w:rFonts w:ascii="Times New Roman" w:hAnsi="Times New Roman"/>
          <w:sz w:val="24"/>
          <w:szCs w:val="24"/>
        </w:rPr>
        <w:t xml:space="preserve"> </w:t>
      </w:r>
      <w:r w:rsidR="006C3741" w:rsidRPr="006C3741">
        <w:rPr>
          <w:rFonts w:ascii="Times New Roman" w:hAnsi="Times New Roman"/>
          <w:sz w:val="24"/>
          <w:szCs w:val="24"/>
        </w:rPr>
        <w:t>việc Bên Cho Vay thực hiện các hoạt động, chương trình chăm sóc khách hàng đối với Bên Vay</w:t>
      </w:r>
      <w:r w:rsidR="006C3741">
        <w:rPr>
          <w:rFonts w:ascii="Times New Roman" w:hAnsi="Times New Roman"/>
          <w:sz w:val="24"/>
          <w:szCs w:val="24"/>
        </w:rPr>
        <w:t>;</w:t>
      </w:r>
      <w:r w:rsidRPr="0042502A">
        <w:rPr>
          <w:rFonts w:ascii="Times New Roman" w:hAnsi="Times New Roman"/>
          <w:sz w:val="24"/>
          <w:szCs w:val="24"/>
        </w:rPr>
        <w:t xml:space="preserve"> và (ii</w:t>
      </w:r>
      <w:r w:rsidR="002A7C59">
        <w:rPr>
          <w:rFonts w:ascii="Times New Roman" w:hAnsi="Times New Roman"/>
          <w:sz w:val="24"/>
          <w:szCs w:val="24"/>
        </w:rPr>
        <w:t>i</w:t>
      </w:r>
      <w:r w:rsidRPr="0042502A">
        <w:rPr>
          <w:rFonts w:ascii="Times New Roman" w:hAnsi="Times New Roman"/>
          <w:sz w:val="24"/>
          <w:szCs w:val="24"/>
        </w:rPr>
        <w:t xml:space="preserve">) </w:t>
      </w:r>
      <w:r w:rsidR="0FBB1945" w:rsidRPr="0042502A">
        <w:rPr>
          <w:rFonts w:ascii="Times New Roman" w:hAnsi="Times New Roman"/>
          <w:sz w:val="24"/>
          <w:szCs w:val="24"/>
        </w:rPr>
        <w:t xml:space="preserve">việc </w:t>
      </w:r>
      <w:r w:rsidR="082D1C80" w:rsidRPr="00E61E63">
        <w:rPr>
          <w:rFonts w:ascii="Times New Roman" w:hAnsi="Times New Roman"/>
          <w:sz w:val="24"/>
          <w:szCs w:val="24"/>
        </w:rPr>
        <w:t xml:space="preserve">Bên Cho Vay </w:t>
      </w:r>
      <w:r w:rsidRPr="0042502A">
        <w:rPr>
          <w:rFonts w:ascii="Times New Roman" w:hAnsi="Times New Roman"/>
          <w:sz w:val="24"/>
          <w:szCs w:val="24"/>
        </w:rPr>
        <w:t xml:space="preserve">đối chiếu và thu thập thông tin của Bên Vay trên các trang mạng xã hội. Bên Cho Vay có thể lưu trữ các dữ liệu thông tin nêu trên dưới các hình thức phù hợp với quy định của pháp luật. </w:t>
      </w:r>
    </w:p>
    <w:p w14:paraId="6B1454C7" w14:textId="77777777" w:rsidR="0042502A" w:rsidRPr="0042502A" w:rsidRDefault="0042502A" w:rsidP="0042502A">
      <w:pPr>
        <w:pStyle w:val="ListParagraph"/>
        <w:numPr>
          <w:ilvl w:val="0"/>
          <w:numId w:val="9"/>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Bên Cho Vay có quyền tiến hành các biện pháp xử lý đối với các lời khai sai lệch hoặc bất thường để chống gian lận và lừa đảo.</w:t>
      </w:r>
    </w:p>
    <w:p w14:paraId="06055693" w14:textId="77777777" w:rsidR="0042502A" w:rsidRPr="0042502A" w:rsidRDefault="0042502A" w:rsidP="0042502A">
      <w:pPr>
        <w:pStyle w:val="ListParagraph"/>
        <w:numPr>
          <w:ilvl w:val="0"/>
          <w:numId w:val="5"/>
        </w:numPr>
        <w:ind w:hanging="720"/>
        <w:rPr>
          <w:rFonts w:ascii="Times New Roman" w:hAnsi="Times New Roman"/>
          <w:b/>
          <w:sz w:val="24"/>
          <w:szCs w:val="24"/>
        </w:rPr>
      </w:pPr>
      <w:r w:rsidRPr="0042502A">
        <w:rPr>
          <w:rFonts w:ascii="Times New Roman" w:hAnsi="Times New Roman"/>
          <w:b/>
          <w:sz w:val="24"/>
          <w:szCs w:val="24"/>
        </w:rPr>
        <w:t xml:space="preserve">Thông Báo  </w:t>
      </w:r>
    </w:p>
    <w:p w14:paraId="15D6F7AF" w14:textId="77777777" w:rsidR="0042502A" w:rsidRPr="0042502A" w:rsidRDefault="0042502A" w:rsidP="0042502A">
      <w:pPr>
        <w:pStyle w:val="ListParagraph"/>
        <w:numPr>
          <w:ilvl w:val="0"/>
          <w:numId w:val="10"/>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Tất cả các thông báo và các thông tin khác (“</w:t>
      </w:r>
      <w:r w:rsidRPr="009F3601">
        <w:rPr>
          <w:rFonts w:ascii="Times New Roman" w:hAnsi="Times New Roman"/>
          <w:b/>
          <w:bCs/>
          <w:sz w:val="24"/>
          <w:szCs w:val="24"/>
        </w:rPr>
        <w:t>Thông Báo</w:t>
      </w:r>
      <w:r w:rsidRPr="0042502A">
        <w:rPr>
          <w:rFonts w:ascii="Times New Roman" w:hAnsi="Times New Roman"/>
          <w:sz w:val="24"/>
          <w:szCs w:val="24"/>
        </w:rPr>
        <w:t>”) mà Bên Cho Vay cung cấp cho Bên Vay có thể được (i) lập thành văn bản và gửi qua đường bưu điện đến địa chỉ Bên Vay cung cấp theo quy định tại Đề Nghị Cấp Tín Dụng Kiêm Thỏa Thuận Sử Dụng Dịch Vụ Điện Tử và/hoặc Hợp Đồng Tín Dụng hoặc giao tận tay Bên Vay; hoặc (ii) gửi dưới dạng thư điện tử; hoặc (iii) được cung cấp qua điện thoại; hoặc (iv) gửi dưới dạng tin nhắn. Bên Cho Vay được miễn trừ mọi trách nhiệm liên quan trong trường hợp Bên Vay không nhận được Thông Báo từ Bên Cho Vay do thông tin địa chỉ hoặc thư điện tử hoặc số điện thoại Bên Vay cung cấp cho Bên Cho Vay không chính xác hoặc đã thay đổi nhưng Bên Vay không thông báo cho Bên Cho Vay theo quy định tại Hợp Đồng Tín Dụng.</w:t>
      </w:r>
    </w:p>
    <w:p w14:paraId="72E8A37A" w14:textId="34EEB59C" w:rsidR="0042502A" w:rsidRPr="0042502A" w:rsidRDefault="0042502A" w:rsidP="0042502A">
      <w:pPr>
        <w:pStyle w:val="ListParagraph"/>
        <w:numPr>
          <w:ilvl w:val="0"/>
          <w:numId w:val="10"/>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 xml:space="preserve">Bên Cho </w:t>
      </w:r>
      <w:r w:rsidR="5114A351" w:rsidRPr="0042502A">
        <w:rPr>
          <w:rFonts w:ascii="Times New Roman" w:hAnsi="Times New Roman"/>
          <w:sz w:val="24"/>
          <w:szCs w:val="24"/>
        </w:rPr>
        <w:t>V</w:t>
      </w:r>
      <w:r w:rsidRPr="0042502A">
        <w:rPr>
          <w:rFonts w:ascii="Times New Roman" w:hAnsi="Times New Roman"/>
          <w:sz w:val="24"/>
          <w:szCs w:val="24"/>
        </w:rPr>
        <w:t>ay có quyền sử dụng một trong các phương thức nêu tại Mục 5.1 của Bản Điều Khoản Và Điều Kiện Chung để thông báo cho Bên Vay các nội dung bao gồm nhưng không giới hạn về việc chuyển nợ quá hạn; chấm dứt cho vay, thu hồi nợ trước hạn,… và các nội dung khác phát sinh trong quá trình thực hiện Hợp Đồng Tín Dụng.</w:t>
      </w:r>
    </w:p>
    <w:p w14:paraId="61D47448" w14:textId="77777777" w:rsidR="0042502A" w:rsidRPr="0042502A" w:rsidRDefault="0042502A" w:rsidP="0042502A">
      <w:pPr>
        <w:pStyle w:val="ListParagraph"/>
        <w:numPr>
          <w:ilvl w:val="0"/>
          <w:numId w:val="10"/>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Mọi Thông Báo được gửi theo một trong các phương thức quy định tại Mục 5.1 của Bản Điều Khoản Và Điều Kiện Chung này được xem là đã nhận bởi Bên Vay: (i) vào ngày làm việc thứ ba kể từ ngày gửi đi bằng đường bưu điện hoặc vào ngày giao tận tay; (ii) vào ngày Bên Vay nhận được điện thoại của Bên Cho Vay; (iii) vào ngày Bên Cho Vay đã gửi tin nhắn hoặc thư điện tử cho Bên Vay.</w:t>
      </w:r>
    </w:p>
    <w:p w14:paraId="2E7DDCD4" w14:textId="77777777" w:rsidR="0042502A" w:rsidRPr="0042502A" w:rsidRDefault="0042502A" w:rsidP="0042502A">
      <w:pPr>
        <w:pStyle w:val="ListParagraph"/>
        <w:numPr>
          <w:ilvl w:val="0"/>
          <w:numId w:val="10"/>
        </w:numPr>
        <w:spacing w:after="120" w:line="240" w:lineRule="auto"/>
        <w:ind w:hanging="720"/>
        <w:contextualSpacing w:val="0"/>
        <w:jc w:val="both"/>
        <w:rPr>
          <w:rFonts w:ascii="Times New Roman" w:hAnsi="Times New Roman"/>
          <w:sz w:val="24"/>
          <w:szCs w:val="24"/>
        </w:rPr>
      </w:pPr>
      <w:r w:rsidRPr="0042502A">
        <w:rPr>
          <w:rFonts w:ascii="Times New Roman" w:hAnsi="Times New Roman"/>
          <w:sz w:val="24"/>
          <w:szCs w:val="24"/>
        </w:rPr>
        <w:t>Thông Báo mà Bên Vay cung cấp cho Bên Cho Vay có thể được lập theo một trong các phương thức nêu tại Mục 5.1 và Thông Báo được xem là đã nhận bởi Bên Cho Vay như quy định tại Mục 5.3 của Bản Điều Khoản Và Điều Kiện Chung này, trừ trường hợp quy định khác trong Hợp Đồng Tín Dụng và/hoặc các thoả thuận khác giữa Bên Vay và Bên Cho Vay.</w:t>
      </w:r>
    </w:p>
    <w:p w14:paraId="2D8D6F5B" w14:textId="77777777" w:rsidR="0042502A" w:rsidRPr="0042502A" w:rsidRDefault="0042502A" w:rsidP="0042502A">
      <w:pPr>
        <w:pStyle w:val="ListParagraph"/>
        <w:numPr>
          <w:ilvl w:val="0"/>
          <w:numId w:val="5"/>
        </w:numPr>
        <w:ind w:hanging="720"/>
        <w:rPr>
          <w:rFonts w:ascii="Times New Roman" w:hAnsi="Times New Roman"/>
          <w:b/>
          <w:sz w:val="24"/>
          <w:szCs w:val="24"/>
        </w:rPr>
      </w:pPr>
      <w:r w:rsidRPr="0042502A">
        <w:rPr>
          <w:rFonts w:ascii="Times New Roman" w:hAnsi="Times New Roman"/>
          <w:b/>
          <w:sz w:val="24"/>
          <w:szCs w:val="24"/>
        </w:rPr>
        <w:t>Khiếu nại về thông tin tín dụng của Bên Vay</w:t>
      </w:r>
    </w:p>
    <w:p w14:paraId="25F5D4B2" w14:textId="77777777" w:rsidR="0042502A" w:rsidRPr="0042502A" w:rsidRDefault="0042502A" w:rsidP="0042502A">
      <w:pPr>
        <w:pStyle w:val="ListParagraph"/>
        <w:spacing w:after="120" w:line="240" w:lineRule="auto"/>
        <w:contextualSpacing w:val="0"/>
        <w:jc w:val="both"/>
        <w:rPr>
          <w:rFonts w:ascii="Times New Roman" w:hAnsi="Times New Roman"/>
          <w:sz w:val="24"/>
          <w:szCs w:val="24"/>
        </w:rPr>
      </w:pPr>
      <w:r w:rsidRPr="0042502A">
        <w:rPr>
          <w:rFonts w:ascii="Times New Roman" w:hAnsi="Times New Roman"/>
          <w:sz w:val="24"/>
          <w:szCs w:val="24"/>
        </w:rPr>
        <w:t xml:space="preserve">Trong trường hợp Bên Vay khiếu nại về thông tin tín dụng của Bên Vay liên quan đến Đề Nghị Cấp Tín Dụng Kiêm Thỏa Thuận Sử Dụng Dịch Vụ Điện Tử và/hoặc Hợp Đồng Tín Dụng, việc khiếu nại phải được lập bằng văn bản và gửi bằng thư điện tử hoặc đường bưu điện cho Bên Cho Vay, trong đó nêu rõ lý do kèm theo các tài liệu, chứng cứ chứng minh nội dung khiếu nại và các tài liệu liên quan khác. Trong </w:t>
      </w:r>
      <w:r w:rsidRPr="0042502A">
        <w:rPr>
          <w:rFonts w:ascii="Times New Roman" w:hAnsi="Times New Roman"/>
          <w:sz w:val="24"/>
          <w:szCs w:val="24"/>
        </w:rPr>
        <w:lastRenderedPageBreak/>
        <w:t>trường hợp Bên Cho Vay yêu cầu Bên Vay bổ sung thông tin để giải quyết khiếu nại, Bên Vay có nghĩa vụ cung cấp thông tin, tài liệu liên quan theo thông báo của Bên Cho Vay. Bên Cho Vay chỉ xem xét giải quyết khiếu nại của Bên Vay sau khi đã nhận được khiếu nại hợp lệ theo quy định nội bộ của Bên Cho Vay và quy định pháp luật. Nếu Bên Vay không hoặc chưa cung cấp đầy đủ và kịp thời tài liệu, chứng cứ chứng minh nội dung khiếu nại và/hoặc Bên Cho Vay vẫn đang trong quá trình xác minh làm rõ vụ việc, Bên Cho Vay vẫn tiến hành các thủ tục pháp lý cần thiết liên quan đến nghiệp vụ thu và xử lý nợ theo quy định nội bộ của Bên Cho Vay và quy định của pháp luật. Đồng thời, thông tin tín dụng của Bên Vay vẫn được Bên Cho Vay cung cấp cho Trung Tâm Thông Tin Tín Dụng Quốc Gia Việt Nam (CIC) theo quy định pháp luật.</w:t>
      </w:r>
    </w:p>
    <w:p w14:paraId="06008713" w14:textId="77777777" w:rsidR="007C239E" w:rsidRPr="0042502A" w:rsidRDefault="007C239E" w:rsidP="0042502A">
      <w:pPr>
        <w:rPr>
          <w:rFonts w:ascii="Times New Roman" w:hAnsi="Times New Roman" w:cs="Times New Roman"/>
          <w:sz w:val="24"/>
          <w:szCs w:val="24"/>
        </w:rPr>
      </w:pPr>
    </w:p>
    <w:sectPr w:rsidR="007C239E" w:rsidRPr="0042502A" w:rsidSect="00E61E63">
      <w:headerReference w:type="even" r:id="rId11"/>
      <w:headerReference w:type="default" r:id="rId12"/>
      <w:footerReference w:type="even" r:id="rId13"/>
      <w:footerReference w:type="default" r:id="rId14"/>
      <w:headerReference w:type="first" r:id="rId15"/>
      <w:footerReference w:type="first" r:id="rId16"/>
      <w:pgSz w:w="12240" w:h="15840"/>
      <w:pgMar w:top="1003" w:right="720" w:bottom="720" w:left="720" w:header="450" w:footer="4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F3687" w14:textId="77777777" w:rsidR="00B843A7" w:rsidRDefault="00B843A7" w:rsidP="003339BA">
      <w:pPr>
        <w:spacing w:after="0"/>
      </w:pPr>
      <w:r>
        <w:separator/>
      </w:r>
    </w:p>
  </w:endnote>
  <w:endnote w:type="continuationSeparator" w:id="0">
    <w:p w14:paraId="0D9920B4" w14:textId="77777777" w:rsidR="00B843A7" w:rsidRDefault="00B843A7" w:rsidP="003339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85DB5" w14:textId="77777777" w:rsidR="00363E4E" w:rsidRDefault="00363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C0813" w14:textId="77CD9CEB" w:rsidR="00D05BDC" w:rsidRDefault="00684447" w:rsidP="00E90E5E">
    <w:pPr>
      <w:pStyle w:val="Footer"/>
      <w:jc w:val="right"/>
    </w:pPr>
    <w:r>
      <w:rPr>
        <w:rFonts w:ascii="Times New Roman" w:hAnsi="Times New Roman"/>
        <w:noProof/>
      </w:rPr>
      <w:drawing>
        <wp:anchor distT="0" distB="0" distL="114300" distR="114300" simplePos="0" relativeHeight="251659264" behindDoc="1" locked="0" layoutInCell="1" allowOverlap="1" wp14:anchorId="6D3C0722" wp14:editId="32EA8668">
          <wp:simplePos x="0" y="0"/>
          <wp:positionH relativeFrom="page">
            <wp:align>right</wp:align>
          </wp:positionH>
          <wp:positionV relativeFrom="paragraph">
            <wp:posOffset>-19979</wp:posOffset>
          </wp:positionV>
          <wp:extent cx="8413845" cy="517525"/>
          <wp:effectExtent l="0" t="0" r="6350" b="0"/>
          <wp:wrapNone/>
          <wp:docPr id="8" name="Picture 1" descr="Letter head (phần c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head (phần châ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845"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881">
      <w:rPr>
        <w:rFonts w:ascii="Times New Roman" w:hAnsi="Times New Roman"/>
      </w:rPr>
      <w:fldChar w:fldCharType="begin"/>
    </w:r>
    <w:r w:rsidRPr="00917881">
      <w:rPr>
        <w:rFonts w:ascii="Times New Roman" w:hAnsi="Times New Roman"/>
      </w:rPr>
      <w:instrText xml:space="preserve"> PAGE   \* MERGEFORMAT </w:instrText>
    </w:r>
    <w:r w:rsidRPr="00917881">
      <w:rPr>
        <w:rFonts w:ascii="Times New Roman" w:hAnsi="Times New Roman"/>
      </w:rPr>
      <w:fldChar w:fldCharType="separate"/>
    </w:r>
    <w:r w:rsidR="005973B1">
      <w:rPr>
        <w:rFonts w:ascii="Times New Roman" w:hAnsi="Times New Roman"/>
        <w:noProof/>
      </w:rPr>
      <w:t>1</w:t>
    </w:r>
    <w:r w:rsidRPr="00917881">
      <w:rPr>
        <w:rFonts w:ascii="Times New Roman" w:hAnsi="Times New Roman"/>
      </w:rPr>
      <w:fldChar w:fldCharType="end"/>
    </w:r>
  </w:p>
  <w:p w14:paraId="2C9E6B17" w14:textId="77777777" w:rsidR="00D05BDC" w:rsidRDefault="00B84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B30F3" w14:textId="77777777" w:rsidR="00363E4E" w:rsidRDefault="00363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1B32F" w14:textId="77777777" w:rsidR="00B843A7" w:rsidRDefault="00B843A7" w:rsidP="003339BA">
      <w:pPr>
        <w:spacing w:after="0"/>
      </w:pPr>
      <w:r>
        <w:separator/>
      </w:r>
    </w:p>
  </w:footnote>
  <w:footnote w:type="continuationSeparator" w:id="0">
    <w:p w14:paraId="7E4F767F" w14:textId="77777777" w:rsidR="00B843A7" w:rsidRDefault="00B843A7" w:rsidP="003339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2387E" w14:textId="77777777" w:rsidR="00363E4E" w:rsidRDefault="00363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D73F3" w14:textId="74721E25" w:rsidR="002B485D" w:rsidRDefault="00363E4E" w:rsidP="005A3D62">
    <w:pPr>
      <w:pStyle w:val="Header"/>
      <w:tabs>
        <w:tab w:val="clear" w:pos="4680"/>
      </w:tabs>
      <w:rPr>
        <w:rFonts w:ascii="Times New Roman" w:hAnsi="Times New Roman"/>
      </w:rPr>
    </w:pPr>
    <w:bookmarkStart w:id="6" w:name="_GoBack"/>
    <w:r>
      <w:rPr>
        <w:rFonts w:ascii="Times New Roman" w:hAnsi="Times New Roman"/>
        <w:noProof/>
      </w:rPr>
      <w:drawing>
        <wp:anchor distT="0" distB="0" distL="114300" distR="114300" simplePos="0" relativeHeight="251661312" behindDoc="1" locked="0" layoutInCell="1" allowOverlap="1" wp14:anchorId="572CCA9E" wp14:editId="677AAC04">
          <wp:simplePos x="0" y="0"/>
          <wp:positionH relativeFrom="column">
            <wp:posOffset>-490330</wp:posOffset>
          </wp:positionH>
          <wp:positionV relativeFrom="paragraph">
            <wp:posOffset>-279124</wp:posOffset>
          </wp:positionV>
          <wp:extent cx="7795895" cy="100584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HoaVanCL2.jpg"/>
                  <pic:cNvPicPr/>
                </pic:nvPicPr>
                <pic:blipFill>
                  <a:blip r:embed="rId1">
                    <a:extLst>
                      <a:ext uri="{28A0092B-C50C-407E-A947-70E740481C1C}">
                        <a14:useLocalDpi xmlns:a14="http://schemas.microsoft.com/office/drawing/2010/main" val="0"/>
                      </a:ext>
                    </a:extLst>
                  </a:blip>
                  <a:stretch>
                    <a:fillRect/>
                  </a:stretch>
                </pic:blipFill>
                <pic:spPr>
                  <a:xfrm>
                    <a:off x="0" y="0"/>
                    <a:ext cx="7831790" cy="10104712"/>
                  </a:xfrm>
                  <a:prstGeom prst="rect">
                    <a:avLst/>
                  </a:prstGeom>
                </pic:spPr>
              </pic:pic>
            </a:graphicData>
          </a:graphic>
          <wp14:sizeRelH relativeFrom="margin">
            <wp14:pctWidth>0</wp14:pctWidth>
          </wp14:sizeRelH>
          <wp14:sizeRelV relativeFrom="margin">
            <wp14:pctHeight>0</wp14:pctHeight>
          </wp14:sizeRelV>
        </wp:anchor>
      </w:drawing>
    </w:r>
    <w:bookmarkEnd w:id="6"/>
    <w:r w:rsidR="00684447">
      <w:rPr>
        <w:noProof/>
      </w:rPr>
      <w:drawing>
        <wp:anchor distT="0" distB="0" distL="114300" distR="114300" simplePos="0" relativeHeight="251660288" behindDoc="0" locked="0" layoutInCell="1" allowOverlap="1" wp14:anchorId="296D3F98" wp14:editId="3D9D6F67">
          <wp:simplePos x="0" y="0"/>
          <wp:positionH relativeFrom="margin">
            <wp:posOffset>-93345</wp:posOffset>
          </wp:positionH>
          <wp:positionV relativeFrom="topMargin">
            <wp:posOffset>86691</wp:posOffset>
          </wp:positionV>
          <wp:extent cx="1672221" cy="516338"/>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2221" cy="516338"/>
                  </a:xfrm>
                  <a:prstGeom prst="rect">
                    <a:avLst/>
                  </a:prstGeom>
                  <a:noFill/>
                  <a:ln>
                    <a:noFill/>
                  </a:ln>
                </pic:spPr>
              </pic:pic>
            </a:graphicData>
          </a:graphic>
          <wp14:sizeRelH relativeFrom="page">
            <wp14:pctWidth>0</wp14:pctWidth>
          </wp14:sizeRelH>
          <wp14:sizeRelV relativeFrom="page">
            <wp14:pctHeight>0</wp14:pctHeight>
          </wp14:sizeRelV>
        </wp:anchor>
      </w:drawing>
    </w:r>
    <w:r w:rsidR="00684447">
      <w:rPr>
        <w:rFonts w:ascii="Times New Roman" w:hAnsi="Times New Roman"/>
      </w:rPr>
      <w:t xml:space="preserve">                                                                                                           </w:t>
    </w:r>
    <w:r w:rsidR="006D75E1">
      <w:rPr>
        <w:rFonts w:ascii="Times New Roman" w:hAnsi="Times New Roman"/>
      </w:rPr>
      <w:t xml:space="preserve">                                          </w:t>
    </w:r>
    <w:r w:rsidR="00684447" w:rsidRPr="005A3D62">
      <w:rPr>
        <w:rFonts w:ascii="Times New Roman" w:hAnsi="Times New Roman"/>
      </w:rPr>
      <w:t>Áp dụng từ ngày …/…/201</w:t>
    </w:r>
    <w:r w:rsidR="00684447">
      <w:rPr>
        <w:rFonts w:ascii="Times New Roman" w:hAnsi="Times New Roman"/>
      </w:rPr>
      <w:t>9</w:t>
    </w:r>
  </w:p>
  <w:p w14:paraId="3F08EAC3" w14:textId="3C57194B" w:rsidR="006D75E1" w:rsidRPr="005A3D62" w:rsidRDefault="006D75E1" w:rsidP="005A3D62">
    <w:pPr>
      <w:pStyle w:val="Header"/>
      <w:tabs>
        <w:tab w:val="clear" w:pos="4680"/>
      </w:tabs>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96B4" w14:textId="77777777" w:rsidR="00363E4E" w:rsidRDefault="00363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F7B6F"/>
    <w:multiLevelType w:val="hybridMultilevel"/>
    <w:tmpl w:val="8AC07E2E"/>
    <w:lvl w:ilvl="0" w:tplc="D26270A2">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96E7C"/>
    <w:multiLevelType w:val="hybridMultilevel"/>
    <w:tmpl w:val="D54441A8"/>
    <w:lvl w:ilvl="0" w:tplc="1FD6B3BC">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93351"/>
    <w:multiLevelType w:val="hybridMultilevel"/>
    <w:tmpl w:val="A77844CC"/>
    <w:lvl w:ilvl="0" w:tplc="1FD6B3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B1319"/>
    <w:multiLevelType w:val="hybridMultilevel"/>
    <w:tmpl w:val="9D0C5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F235C"/>
    <w:multiLevelType w:val="hybridMultilevel"/>
    <w:tmpl w:val="EBD63912"/>
    <w:lvl w:ilvl="0" w:tplc="A9DAACF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E55EB"/>
    <w:multiLevelType w:val="hybridMultilevel"/>
    <w:tmpl w:val="073844CC"/>
    <w:lvl w:ilvl="0" w:tplc="A33E12F6">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51CFB"/>
    <w:multiLevelType w:val="hybridMultilevel"/>
    <w:tmpl w:val="02B65706"/>
    <w:lvl w:ilvl="0" w:tplc="A9DAAC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45ABC"/>
    <w:multiLevelType w:val="multilevel"/>
    <w:tmpl w:val="186C707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4.%3."/>
      <w:lvlJc w:val="left"/>
      <w:pPr>
        <w:ind w:left="770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E02891"/>
    <w:multiLevelType w:val="hybridMultilevel"/>
    <w:tmpl w:val="2D5ED31E"/>
    <w:lvl w:ilvl="0" w:tplc="5756E6A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22E4E"/>
    <w:multiLevelType w:val="hybridMultilevel"/>
    <w:tmpl w:val="DC4A7E76"/>
    <w:lvl w:ilvl="0" w:tplc="990E484C">
      <w:start w:val="1"/>
      <w:numFmt w:val="decimal"/>
      <w:lvlText w:val="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34C87"/>
    <w:multiLevelType w:val="hybridMultilevel"/>
    <w:tmpl w:val="B980E556"/>
    <w:lvl w:ilvl="0" w:tplc="5756E6A6">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2"/>
  </w:num>
  <w:num w:numId="5">
    <w:abstractNumId w:val="3"/>
  </w:num>
  <w:num w:numId="6">
    <w:abstractNumId w:val="5"/>
  </w:num>
  <w:num w:numId="7">
    <w:abstractNumId w:val="4"/>
  </w:num>
  <w:num w:numId="8">
    <w:abstractNumId w:val="10"/>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3DA"/>
    <w:rsid w:val="000664D7"/>
    <w:rsid w:val="002437E5"/>
    <w:rsid w:val="00285E8F"/>
    <w:rsid w:val="002A7C59"/>
    <w:rsid w:val="002B3F22"/>
    <w:rsid w:val="003339BA"/>
    <w:rsid w:val="003360AF"/>
    <w:rsid w:val="00363E4E"/>
    <w:rsid w:val="003D471D"/>
    <w:rsid w:val="0042502A"/>
    <w:rsid w:val="004913DA"/>
    <w:rsid w:val="005973B1"/>
    <w:rsid w:val="0062754E"/>
    <w:rsid w:val="00640D5A"/>
    <w:rsid w:val="00684447"/>
    <w:rsid w:val="006C3741"/>
    <w:rsid w:val="006D75E1"/>
    <w:rsid w:val="007C239E"/>
    <w:rsid w:val="009F3601"/>
    <w:rsid w:val="00A10AF6"/>
    <w:rsid w:val="00AD7C0F"/>
    <w:rsid w:val="00B843A7"/>
    <w:rsid w:val="00E02696"/>
    <w:rsid w:val="00E12113"/>
    <w:rsid w:val="00E61E63"/>
    <w:rsid w:val="00F1130F"/>
    <w:rsid w:val="00F12155"/>
    <w:rsid w:val="00F2572A"/>
    <w:rsid w:val="00F739DA"/>
    <w:rsid w:val="00F93707"/>
    <w:rsid w:val="017D9AB5"/>
    <w:rsid w:val="082D1C80"/>
    <w:rsid w:val="0BB2763C"/>
    <w:rsid w:val="0D8BE15F"/>
    <w:rsid w:val="0FBB1945"/>
    <w:rsid w:val="153750B0"/>
    <w:rsid w:val="5114A351"/>
    <w:rsid w:val="7D8FD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8B3F9"/>
  <w15:chartTrackingRefBased/>
  <w15:docId w15:val="{50285F96-FFDD-4357-861B-42C8E3D1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707"/>
  </w:style>
  <w:style w:type="paragraph" w:styleId="Heading1">
    <w:name w:val="heading 1"/>
    <w:basedOn w:val="Normal"/>
    <w:next w:val="Normal"/>
    <w:link w:val="Heading1Char"/>
    <w:uiPriority w:val="9"/>
    <w:rsid w:val="00F739DA"/>
    <w:pPr>
      <w:pBdr>
        <w:bottom w:val="single" w:sz="12" w:space="1" w:color="943734"/>
      </w:pBdr>
      <w:spacing w:before="400"/>
      <w:ind w:left="432" w:hanging="432"/>
      <w:outlineLvl w:val="0"/>
    </w:pPr>
    <w:rPr>
      <w:rFonts w:eastAsia="Calibri"/>
      <w:b/>
      <w:smallCaps/>
      <w:color w:val="C00000"/>
      <w:sz w:val="24"/>
      <w:szCs w:val="24"/>
    </w:rPr>
  </w:style>
  <w:style w:type="paragraph" w:styleId="Heading2">
    <w:name w:val="heading 2"/>
    <w:basedOn w:val="Normal"/>
    <w:next w:val="Normal"/>
    <w:link w:val="Heading2Char"/>
    <w:uiPriority w:val="9"/>
    <w:semiHidden/>
    <w:unhideWhenUsed/>
    <w:qFormat/>
    <w:rsid w:val="00425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DA"/>
    <w:rPr>
      <w:rFonts w:ascii="Calibri" w:eastAsia="Calibri" w:hAnsi="Calibri" w:cs="Calibri"/>
      <w:b/>
      <w:smallCaps/>
      <w:color w:val="C00000"/>
      <w:sz w:val="24"/>
      <w:szCs w:val="24"/>
    </w:rPr>
  </w:style>
  <w:style w:type="character" w:customStyle="1" w:styleId="Heading2Char">
    <w:name w:val="Heading 2 Char"/>
    <w:basedOn w:val="DefaultParagraphFont"/>
    <w:link w:val="Heading2"/>
    <w:uiPriority w:val="9"/>
    <w:semiHidden/>
    <w:rsid w:val="004250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502A"/>
    <w:pPr>
      <w:spacing w:after="200" w:line="276" w:lineRule="auto"/>
      <w:ind w:left="720"/>
      <w:contextualSpacing/>
    </w:pPr>
    <w:rPr>
      <w:rFonts w:eastAsia="Calibri" w:cs="Times New Roman"/>
    </w:rPr>
  </w:style>
  <w:style w:type="paragraph" w:styleId="Header">
    <w:name w:val="header"/>
    <w:basedOn w:val="Normal"/>
    <w:link w:val="HeaderChar"/>
    <w:uiPriority w:val="99"/>
    <w:unhideWhenUsed/>
    <w:rsid w:val="0042502A"/>
    <w:pPr>
      <w:tabs>
        <w:tab w:val="center" w:pos="4680"/>
        <w:tab w:val="right" w:pos="9360"/>
      </w:tabs>
      <w:spacing w:after="0"/>
    </w:pPr>
    <w:rPr>
      <w:rFonts w:eastAsia="Calibri" w:cs="Times New Roman"/>
    </w:rPr>
  </w:style>
  <w:style w:type="character" w:customStyle="1" w:styleId="HeaderChar">
    <w:name w:val="Header Char"/>
    <w:basedOn w:val="DefaultParagraphFont"/>
    <w:link w:val="Header"/>
    <w:uiPriority w:val="99"/>
    <w:rsid w:val="0042502A"/>
    <w:rPr>
      <w:rFonts w:eastAsia="Calibri" w:cs="Times New Roman"/>
    </w:rPr>
  </w:style>
  <w:style w:type="paragraph" w:styleId="Footer">
    <w:name w:val="footer"/>
    <w:basedOn w:val="Normal"/>
    <w:link w:val="FooterChar"/>
    <w:uiPriority w:val="99"/>
    <w:unhideWhenUsed/>
    <w:rsid w:val="0042502A"/>
    <w:pPr>
      <w:tabs>
        <w:tab w:val="center" w:pos="4680"/>
        <w:tab w:val="right" w:pos="9360"/>
      </w:tabs>
      <w:spacing w:after="0"/>
    </w:pPr>
    <w:rPr>
      <w:rFonts w:eastAsia="Calibri" w:cs="Times New Roman"/>
    </w:rPr>
  </w:style>
  <w:style w:type="character" w:customStyle="1" w:styleId="FooterChar">
    <w:name w:val="Footer Char"/>
    <w:basedOn w:val="DefaultParagraphFont"/>
    <w:link w:val="Footer"/>
    <w:uiPriority w:val="99"/>
    <w:rsid w:val="0042502A"/>
    <w:rPr>
      <w:rFonts w:eastAsia="Calibri" w:cs="Times New Roman"/>
    </w:rPr>
  </w:style>
  <w:style w:type="character" w:styleId="Hyperlink">
    <w:name w:val="Hyperlink"/>
    <w:uiPriority w:val="99"/>
    <w:unhideWhenUsed/>
    <w:rsid w:val="0042502A"/>
    <w:rPr>
      <w:color w:val="0000FF"/>
      <w:u w:val="single"/>
    </w:rPr>
  </w:style>
  <w:style w:type="paragraph" w:styleId="BalloonText">
    <w:name w:val="Balloon Text"/>
    <w:basedOn w:val="Normal"/>
    <w:link w:val="BalloonTextChar"/>
    <w:uiPriority w:val="99"/>
    <w:semiHidden/>
    <w:unhideWhenUsed/>
    <w:rsid w:val="009F360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601"/>
    <w:rPr>
      <w:rFonts w:ascii="Segoe UI" w:hAnsi="Segoe UI" w:cs="Segoe UI"/>
      <w:sz w:val="18"/>
      <w:szCs w:val="18"/>
    </w:rPr>
  </w:style>
  <w:style w:type="character" w:styleId="CommentReference">
    <w:name w:val="annotation reference"/>
    <w:basedOn w:val="DefaultParagraphFont"/>
    <w:uiPriority w:val="99"/>
    <w:semiHidden/>
    <w:unhideWhenUsed/>
    <w:rsid w:val="002B3F22"/>
    <w:rPr>
      <w:sz w:val="16"/>
      <w:szCs w:val="16"/>
    </w:rPr>
  </w:style>
  <w:style w:type="paragraph" w:styleId="CommentText">
    <w:name w:val="annotation text"/>
    <w:basedOn w:val="Normal"/>
    <w:link w:val="CommentTextChar"/>
    <w:uiPriority w:val="99"/>
    <w:semiHidden/>
    <w:unhideWhenUsed/>
    <w:rsid w:val="002B3F22"/>
    <w:rPr>
      <w:sz w:val="20"/>
      <w:szCs w:val="20"/>
    </w:rPr>
  </w:style>
  <w:style w:type="character" w:customStyle="1" w:styleId="CommentTextChar">
    <w:name w:val="Comment Text Char"/>
    <w:basedOn w:val="DefaultParagraphFont"/>
    <w:link w:val="CommentText"/>
    <w:uiPriority w:val="99"/>
    <w:semiHidden/>
    <w:rsid w:val="002B3F22"/>
    <w:rPr>
      <w:sz w:val="20"/>
      <w:szCs w:val="20"/>
    </w:rPr>
  </w:style>
  <w:style w:type="paragraph" w:styleId="CommentSubject">
    <w:name w:val="annotation subject"/>
    <w:basedOn w:val="CommentText"/>
    <w:next w:val="CommentText"/>
    <w:link w:val="CommentSubjectChar"/>
    <w:uiPriority w:val="99"/>
    <w:semiHidden/>
    <w:unhideWhenUsed/>
    <w:rsid w:val="002B3F22"/>
    <w:rPr>
      <w:b/>
      <w:bCs/>
    </w:rPr>
  </w:style>
  <w:style w:type="character" w:customStyle="1" w:styleId="CommentSubjectChar">
    <w:name w:val="Comment Subject Char"/>
    <w:basedOn w:val="CommentTextChar"/>
    <w:link w:val="CommentSubject"/>
    <w:uiPriority w:val="99"/>
    <w:semiHidden/>
    <w:rsid w:val="002B3F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hdsaison.com.v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DDB361-90E7-4F22-A73F-FA9BEAE68913}">
  <ds:schemaRefs>
    <ds:schemaRef ds:uri="http://schemas.microsoft.com/sharepoint/v3/contenttype/forms"/>
  </ds:schemaRefs>
</ds:datastoreItem>
</file>

<file path=customXml/itemProps2.xml><?xml version="1.0" encoding="utf-8"?>
<ds:datastoreItem xmlns:ds="http://schemas.openxmlformats.org/officeDocument/2006/customXml" ds:itemID="{7A7581EF-4FFA-4886-AAB7-D4881C9981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32662B-107A-46E7-8CDC-0DE466D01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Nam</dc:creator>
  <cp:keywords/>
  <dc:description/>
  <cp:lastModifiedBy>Microsoft Office User</cp:lastModifiedBy>
  <cp:revision>12</cp:revision>
  <dcterms:created xsi:type="dcterms:W3CDTF">2019-10-15T02:00:00Z</dcterms:created>
  <dcterms:modified xsi:type="dcterms:W3CDTF">2019-11-15T02:57:00Z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