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96FE" w14:textId="77777777" w:rsidR="002045B0" w:rsidRPr="00FA121E" w:rsidRDefault="00821C59" w:rsidP="00124D37">
      <w:pPr>
        <w:spacing w:after="240"/>
        <w:jc w:val="center"/>
        <w:outlineLvl w:val="0"/>
        <w:rPr>
          <w:b/>
          <w:sz w:val="28"/>
          <w:szCs w:val="28"/>
          <w:lang w:val="vi-VN"/>
        </w:rPr>
      </w:pPr>
      <w:r w:rsidRPr="00FA121E">
        <w:rPr>
          <w:b/>
          <w:sz w:val="28"/>
          <w:szCs w:val="28"/>
          <w:lang w:val="vi-VN"/>
        </w:rPr>
        <w:t>PHỤ LỤC</w:t>
      </w:r>
      <w:r w:rsidR="006F2487" w:rsidRPr="00FA121E">
        <w:rPr>
          <w:b/>
          <w:sz w:val="28"/>
          <w:szCs w:val="28"/>
          <w:lang w:val="vi-VN"/>
        </w:rPr>
        <w:t xml:space="preserve"> HỢP ĐỒNG </w:t>
      </w:r>
      <w:r w:rsidR="00266694" w:rsidRPr="00FA121E">
        <w:rPr>
          <w:b/>
          <w:sz w:val="28"/>
          <w:szCs w:val="28"/>
          <w:lang w:val="vi-VN"/>
        </w:rPr>
        <w:t>THẾ CHẤP</w:t>
      </w:r>
    </w:p>
    <w:p w14:paraId="2DD396FF" w14:textId="035BDEF0" w:rsidR="003922FA" w:rsidRPr="00FA121E" w:rsidRDefault="003922FA" w:rsidP="00124D37">
      <w:pPr>
        <w:spacing w:after="240"/>
        <w:jc w:val="center"/>
        <w:outlineLvl w:val="0"/>
        <w:rPr>
          <w:lang w:val="vi-VN"/>
        </w:rPr>
      </w:pPr>
      <w:r w:rsidRPr="00FA121E">
        <w:rPr>
          <w:lang w:val="vi-VN"/>
        </w:rPr>
        <w:t xml:space="preserve">(Đính kèm </w:t>
      </w:r>
      <w:r w:rsidR="005A0855" w:rsidRPr="00FA121E">
        <w:rPr>
          <w:lang w:val="vi-VN"/>
        </w:rPr>
        <w:t>Hợp Đồng Thế Chấp</w:t>
      </w:r>
      <w:r w:rsidR="00821C59" w:rsidRPr="00FA121E">
        <w:rPr>
          <w:lang w:val="vi-VN"/>
        </w:rPr>
        <w:t xml:space="preserve"> </w:t>
      </w:r>
      <w:r w:rsidR="0005526B" w:rsidRPr="00FA121E">
        <w:rPr>
          <w:lang w:val="vi-VN"/>
        </w:rPr>
        <w:t>số</w:t>
      </w:r>
      <w:r w:rsidR="008A44B8" w:rsidRPr="00FA121E">
        <w:rPr>
          <w:lang w:val="vi-VN"/>
        </w:rPr>
        <w:t xml:space="preserve"> </w:t>
      </w:r>
      <w:r w:rsidR="00ED2F25">
        <w:fldChar w:fldCharType="begin"/>
      </w:r>
      <w:r w:rsidR="00ED2F25">
        <w:instrText xml:space="preserve"> MERGEFIELD ${c.contractNumber} \* MERGEFORMAT </w:instrText>
      </w:r>
      <w:r w:rsidR="00ED2F25">
        <w:fldChar w:fldCharType="separate"/>
      </w:r>
      <w:r w:rsidR="00EE75E9">
        <w:rPr>
          <w:noProof/>
        </w:rPr>
        <w:t>«${c.contractNumber}»</w:t>
      </w:r>
      <w:r w:rsidR="00ED2F25">
        <w:rPr>
          <w:noProof/>
        </w:rPr>
        <w:fldChar w:fldCharType="end"/>
      </w:r>
      <w:r w:rsidR="00547D0A" w:rsidRPr="00902D6E">
        <w:t xml:space="preserve"> </w:t>
      </w:r>
      <w:r w:rsidR="00A74851">
        <w:t xml:space="preserve">   </w:t>
      </w:r>
      <w:r w:rsidR="00EE75E9">
        <w:t xml:space="preserve">ngày </w:t>
      </w:r>
      <w:r w:rsidR="00ED2F25">
        <w:fldChar w:fldCharType="begin"/>
      </w:r>
      <w:r w:rsidR="00ED2F25">
        <w:instrText xml:space="preserve"> MERGEFIELD ${c.signDate} \* MERGEFORMAT </w:instrText>
      </w:r>
      <w:r w:rsidR="00ED2F25">
        <w:fldChar w:fldCharType="separate"/>
      </w:r>
      <w:r w:rsidR="00EE75E9">
        <w:rPr>
          <w:noProof/>
        </w:rPr>
        <w:t>«${c.signDate}»</w:t>
      </w:r>
      <w:r w:rsidR="00ED2F25">
        <w:rPr>
          <w:noProof/>
        </w:rPr>
        <w:fldChar w:fldCharType="end"/>
      </w:r>
      <w:r w:rsidR="00EE75E9">
        <w:t>)</w:t>
      </w:r>
    </w:p>
    <w:p w14:paraId="2DD39700" w14:textId="77777777" w:rsidR="00A86810" w:rsidRPr="00FA121E" w:rsidRDefault="00D257CA" w:rsidP="00A86810">
      <w:pPr>
        <w:spacing w:after="240"/>
        <w:jc w:val="both"/>
        <w:rPr>
          <w:lang w:val="vi-VN"/>
        </w:rPr>
      </w:pPr>
      <w:r w:rsidRPr="00FA121E">
        <w:rPr>
          <w:lang w:val="vi-VN"/>
        </w:rPr>
        <w:t xml:space="preserve">Nhằm </w:t>
      </w:r>
      <w:r w:rsidR="00A86810" w:rsidRPr="00FA121E">
        <w:rPr>
          <w:lang w:val="vi-VN"/>
        </w:rPr>
        <w:t>tri ân khách hàng đã lựa</w:t>
      </w:r>
      <w:r w:rsidR="00E9508C">
        <w:t xml:space="preserve"> chọn</w:t>
      </w:r>
      <w:r w:rsidR="00A86810" w:rsidRPr="00FA121E">
        <w:rPr>
          <w:lang w:val="vi-VN"/>
        </w:rPr>
        <w:t xml:space="preserve"> và sử dụng dịch vụ của Công ty Tài chính trách nhiệm hữu hạn HD SAISON (“</w:t>
      </w:r>
      <w:r w:rsidR="00A86810" w:rsidRPr="00FA121E">
        <w:rPr>
          <w:b/>
          <w:lang w:val="vi-VN"/>
        </w:rPr>
        <w:t>HD SAISON</w:t>
      </w:r>
      <w:r w:rsidR="00A86810" w:rsidRPr="00FA121E">
        <w:rPr>
          <w:lang w:val="vi-VN"/>
        </w:rPr>
        <w:t xml:space="preserve">”), HD SAISON triển khai Chương trình miễn nghĩa vụ cung cấp bản chính giấy chứng nhận đăng ký xe máy </w:t>
      </w:r>
      <w:r w:rsidR="00E9508C">
        <w:t>cho các khách hàng đáp ứng yêu cầu</w:t>
      </w:r>
      <w:r w:rsidR="00A86810" w:rsidRPr="00FA121E">
        <w:rPr>
          <w:lang w:val="vi-VN"/>
        </w:rPr>
        <w:t>.</w:t>
      </w:r>
    </w:p>
    <w:p w14:paraId="2DD39701" w14:textId="77777777" w:rsidR="008C4E1C" w:rsidRPr="00FA121E" w:rsidRDefault="00A86810" w:rsidP="00A86810">
      <w:pPr>
        <w:spacing w:after="240"/>
        <w:jc w:val="both"/>
        <w:rPr>
          <w:lang w:val="vi-VN"/>
        </w:rPr>
      </w:pPr>
      <w:r w:rsidRPr="00FA121E">
        <w:rPr>
          <w:lang w:val="vi-VN"/>
        </w:rPr>
        <w:t xml:space="preserve">Theo đó, HD SAISON </w:t>
      </w:r>
      <w:r w:rsidR="00FA121E" w:rsidRPr="00FA121E">
        <w:rPr>
          <w:lang w:val="vi-VN"/>
        </w:rPr>
        <w:t>(</w:t>
      </w:r>
      <w:r w:rsidRPr="00FA121E">
        <w:rPr>
          <w:lang w:val="vi-VN"/>
        </w:rPr>
        <w:t>Bên nhận thế chấp</w:t>
      </w:r>
      <w:r w:rsidR="00FA121E" w:rsidRPr="00FA121E">
        <w:rPr>
          <w:lang w:val="vi-VN"/>
        </w:rPr>
        <w:t>)</w:t>
      </w:r>
      <w:r w:rsidRPr="00FA121E">
        <w:rPr>
          <w:lang w:val="vi-VN"/>
        </w:rPr>
        <w:t xml:space="preserve"> và khách hàng</w:t>
      </w:r>
      <w:r w:rsidR="00FA121E" w:rsidRPr="00FA121E">
        <w:rPr>
          <w:lang w:val="vi-VN"/>
        </w:rPr>
        <w:t xml:space="preserve"> (</w:t>
      </w:r>
      <w:r w:rsidRPr="00FA121E">
        <w:rPr>
          <w:lang w:val="vi-VN"/>
        </w:rPr>
        <w:t>Bên thế chấp</w:t>
      </w:r>
      <w:r w:rsidR="00FA121E" w:rsidRPr="00FA121E">
        <w:rPr>
          <w:lang w:val="vi-VN"/>
        </w:rPr>
        <w:t>)</w:t>
      </w:r>
      <w:r w:rsidRPr="00FA121E">
        <w:rPr>
          <w:lang w:val="vi-VN"/>
        </w:rPr>
        <w:t xml:space="preserve"> </w:t>
      </w:r>
      <w:r w:rsidR="007D1F0D" w:rsidRPr="00FA121E">
        <w:rPr>
          <w:lang w:val="vi-VN"/>
        </w:rPr>
        <w:t xml:space="preserve">đồng ý ký kết Phụ lục </w:t>
      </w:r>
      <w:r w:rsidR="008A44B8" w:rsidRPr="00FA121E">
        <w:rPr>
          <w:lang w:val="vi-VN"/>
        </w:rPr>
        <w:t xml:space="preserve">Hợp Đồng Thế Chấp </w:t>
      </w:r>
      <w:r w:rsidR="007D1F0D" w:rsidRPr="00FA121E">
        <w:rPr>
          <w:lang w:val="vi-VN"/>
        </w:rPr>
        <w:t>này</w:t>
      </w:r>
      <w:r w:rsidR="008A44B8" w:rsidRPr="00FA121E">
        <w:rPr>
          <w:lang w:val="vi-VN"/>
        </w:rPr>
        <w:t xml:space="preserve"> (“</w:t>
      </w:r>
      <w:r w:rsidR="008A44B8" w:rsidRPr="00FA121E">
        <w:rPr>
          <w:b/>
          <w:lang w:val="vi-VN"/>
        </w:rPr>
        <w:t>Phụ lục</w:t>
      </w:r>
      <w:r w:rsidR="008A44B8" w:rsidRPr="00FA121E">
        <w:rPr>
          <w:lang w:val="vi-VN"/>
        </w:rPr>
        <w:t>”)</w:t>
      </w:r>
      <w:r w:rsidR="007D1F0D" w:rsidRPr="00FA121E">
        <w:rPr>
          <w:lang w:val="vi-VN"/>
        </w:rPr>
        <w:t xml:space="preserve"> </w:t>
      </w:r>
      <w:r w:rsidR="00EA3F78" w:rsidRPr="00FA121E">
        <w:rPr>
          <w:lang w:val="vi-VN"/>
        </w:rPr>
        <w:t xml:space="preserve">vào cùng ngày ký kết </w:t>
      </w:r>
      <w:r w:rsidR="005A0855" w:rsidRPr="00FA121E">
        <w:rPr>
          <w:lang w:val="vi-VN"/>
        </w:rPr>
        <w:t>Hợp Đồng Thế Chấp</w:t>
      </w:r>
      <w:r w:rsidR="009F0751" w:rsidRPr="00FA121E">
        <w:rPr>
          <w:lang w:val="vi-VN"/>
        </w:rPr>
        <w:t xml:space="preserve"> </w:t>
      </w:r>
      <w:r w:rsidR="007D1F0D" w:rsidRPr="00FA121E">
        <w:rPr>
          <w:lang w:val="vi-VN"/>
        </w:rPr>
        <w:t xml:space="preserve">để </w:t>
      </w:r>
      <w:r w:rsidR="008A44B8" w:rsidRPr="00FA121E">
        <w:rPr>
          <w:lang w:val="vi-VN"/>
        </w:rPr>
        <w:t>sửa đổi</w:t>
      </w:r>
      <w:r w:rsidR="007D1F0D" w:rsidRPr="00FA121E">
        <w:rPr>
          <w:lang w:val="vi-VN"/>
        </w:rPr>
        <w:t>, bổ sung</w:t>
      </w:r>
      <w:r w:rsidR="008C4E1C" w:rsidRPr="00FA121E">
        <w:rPr>
          <w:lang w:val="vi-VN"/>
        </w:rPr>
        <w:t xml:space="preserve"> nội dung của </w:t>
      </w:r>
      <w:r w:rsidR="005A0855" w:rsidRPr="00FA121E">
        <w:rPr>
          <w:lang w:val="vi-VN"/>
        </w:rPr>
        <w:t>Hợp Đồng Thế Chấp</w:t>
      </w:r>
      <w:r w:rsidR="008C4E1C" w:rsidRPr="00FA121E">
        <w:rPr>
          <w:lang w:val="vi-VN"/>
        </w:rPr>
        <w:t xml:space="preserve"> với các điều khoản</w:t>
      </w:r>
      <w:r w:rsidR="006F2487" w:rsidRPr="00FA121E">
        <w:rPr>
          <w:lang w:val="vi-VN"/>
        </w:rPr>
        <w:t xml:space="preserve"> </w:t>
      </w:r>
      <w:r w:rsidR="008C4E1C" w:rsidRPr="00FA121E">
        <w:rPr>
          <w:lang w:val="vi-VN"/>
        </w:rPr>
        <w:t>như sau:</w:t>
      </w:r>
    </w:p>
    <w:p w14:paraId="2DD39702" w14:textId="77777777" w:rsidR="00821EDB" w:rsidRPr="00FA121E" w:rsidRDefault="00821EDB" w:rsidP="00E25158">
      <w:pPr>
        <w:numPr>
          <w:ilvl w:val="0"/>
          <w:numId w:val="4"/>
        </w:numPr>
        <w:spacing w:after="240"/>
        <w:ind w:left="540" w:hanging="540"/>
        <w:jc w:val="both"/>
        <w:rPr>
          <w:b/>
          <w:lang w:val="vi-VN"/>
        </w:rPr>
      </w:pPr>
      <w:r w:rsidRPr="00FA121E">
        <w:rPr>
          <w:b/>
          <w:lang w:val="vi-VN"/>
        </w:rPr>
        <w:t>NỘI DUNG:</w:t>
      </w:r>
    </w:p>
    <w:p w14:paraId="2DD39703" w14:textId="77777777" w:rsidR="0005526B" w:rsidRPr="00FA121E" w:rsidRDefault="008A44B8" w:rsidP="00E25158">
      <w:pPr>
        <w:numPr>
          <w:ilvl w:val="1"/>
          <w:numId w:val="4"/>
        </w:numPr>
        <w:spacing w:after="240"/>
        <w:ind w:left="540" w:hanging="540"/>
        <w:jc w:val="both"/>
        <w:rPr>
          <w:lang w:val="vi-VN"/>
        </w:rPr>
      </w:pPr>
      <w:r w:rsidRPr="00FA121E">
        <w:rPr>
          <w:lang w:val="vi-VN"/>
        </w:rPr>
        <w:t>Sửa đổi</w:t>
      </w:r>
      <w:r w:rsidR="00B66629" w:rsidRPr="00FA121E">
        <w:rPr>
          <w:lang w:val="vi-VN"/>
        </w:rPr>
        <w:t xml:space="preserve"> </w:t>
      </w:r>
      <w:r w:rsidR="0005526B" w:rsidRPr="00840937">
        <w:rPr>
          <w:b/>
          <w:lang w:val="vi-VN"/>
        </w:rPr>
        <w:t xml:space="preserve">Mục </w:t>
      </w:r>
      <w:r w:rsidR="00A36D0C" w:rsidRPr="00840937">
        <w:rPr>
          <w:b/>
          <w:lang w:val="vi-VN"/>
        </w:rPr>
        <w:t>5.1.2</w:t>
      </w:r>
      <w:r w:rsidRPr="00840937">
        <w:rPr>
          <w:b/>
          <w:lang w:val="vi-VN"/>
        </w:rPr>
        <w:t>, 5.1.3</w:t>
      </w:r>
      <w:r w:rsidRPr="00FA121E">
        <w:rPr>
          <w:lang w:val="vi-VN"/>
        </w:rPr>
        <w:t xml:space="preserve"> và </w:t>
      </w:r>
      <w:r w:rsidRPr="00840937">
        <w:rPr>
          <w:b/>
          <w:lang w:val="vi-VN"/>
        </w:rPr>
        <w:t>5.1.4</w:t>
      </w:r>
      <w:r w:rsidR="00A36D0C" w:rsidRPr="00FA121E">
        <w:rPr>
          <w:lang w:val="vi-VN"/>
        </w:rPr>
        <w:t xml:space="preserve"> </w:t>
      </w:r>
      <w:r w:rsidR="005A0855" w:rsidRPr="00FA121E">
        <w:rPr>
          <w:lang w:val="vi-VN"/>
        </w:rPr>
        <w:t>Hợp Đồng Thế Chấp</w:t>
      </w:r>
      <w:r w:rsidR="0005526B" w:rsidRPr="00FA121E">
        <w:rPr>
          <w:lang w:val="vi-VN"/>
        </w:rPr>
        <w:t xml:space="preserve"> như sau:</w:t>
      </w:r>
    </w:p>
    <w:p w14:paraId="2DD39704" w14:textId="77777777" w:rsidR="00347B00" w:rsidRPr="00FA121E" w:rsidRDefault="00AE5822" w:rsidP="00E25158">
      <w:pPr>
        <w:widowControl w:val="0"/>
        <w:spacing w:after="240"/>
        <w:ind w:left="540"/>
        <w:jc w:val="both"/>
        <w:rPr>
          <w:i/>
          <w:lang w:val="vi-VN"/>
        </w:rPr>
      </w:pPr>
      <w:r w:rsidRPr="00FA121E">
        <w:rPr>
          <w:i/>
          <w:lang w:val="vi-VN"/>
        </w:rPr>
        <w:t>“</w:t>
      </w:r>
      <w:r w:rsidR="00347B00" w:rsidRPr="00FA121E">
        <w:rPr>
          <w:i/>
          <w:lang w:val="vi-VN"/>
        </w:rPr>
        <w:t>5.1.2.</w:t>
      </w:r>
      <w:r w:rsidR="00347B00" w:rsidRPr="00FA121E">
        <w:rPr>
          <w:i/>
          <w:lang w:val="vi-VN"/>
        </w:rPr>
        <w:tab/>
        <w:t>Bên thế chấp phải chuyển giao quyền chiếm hữu Tài sản thế chấp, và bản chính của giấy đăng ký và giấy chứng nhận hoặc bất kỳ giấy tờ tương tự nào khác liên quan đến quyền sở hữu Tài sản thế chấp (“</w:t>
      </w:r>
      <w:r w:rsidR="00347B00" w:rsidRPr="00FA121E">
        <w:rPr>
          <w:b/>
          <w:i/>
          <w:lang w:val="vi-VN"/>
        </w:rPr>
        <w:t>Giấy chứng nhận</w:t>
      </w:r>
      <w:r w:rsidR="00347B00" w:rsidRPr="00FA121E">
        <w:rPr>
          <w:i/>
          <w:lang w:val="vi-VN"/>
        </w:rPr>
        <w:t xml:space="preserve">”) cho Bên nhận thế chấp ngay khi nhận được Thông báo xử lý Tài sản của Bên nhận thế chấp đối với Tài sản thế chấp. </w:t>
      </w:r>
    </w:p>
    <w:p w14:paraId="2DD39705" w14:textId="77777777" w:rsidR="00347B00" w:rsidRPr="00FA121E" w:rsidRDefault="00347B00" w:rsidP="00E25158">
      <w:pPr>
        <w:widowControl w:val="0"/>
        <w:spacing w:after="240"/>
        <w:ind w:left="540"/>
        <w:jc w:val="both"/>
        <w:rPr>
          <w:i/>
          <w:lang w:val="vi-VN"/>
        </w:rPr>
      </w:pPr>
      <w:r w:rsidRPr="00FA121E">
        <w:rPr>
          <w:i/>
          <w:lang w:val="vi-VN"/>
        </w:rPr>
        <w:t>5.1.3. Ngay sau khi ký Hợp Đồng Thế Chấp hoặc vào bất kỳ thời điểm nào theo yêu cầu của Bên nhận thế chấp, Bên thế chấp, bằng chi phí của mình, đồng ý cung cấp ngay cho Bên nhận thế chấp hoặc bên thứ ba được Bên nhận thế chấp chỉ định tại bất kỳ thời điểm nào vì mục đích này, bản sao chứng thực bởi cơ quan nhà nước có thẩm quyền của Giấy chứng nhận (“</w:t>
      </w:r>
      <w:r w:rsidRPr="00FA121E">
        <w:rPr>
          <w:b/>
          <w:i/>
          <w:lang w:val="vi-VN"/>
        </w:rPr>
        <w:t>Bản sao của Giấy chứng nhận</w:t>
      </w:r>
      <w:r w:rsidRPr="00FA121E">
        <w:rPr>
          <w:i/>
          <w:lang w:val="vi-VN"/>
        </w:rPr>
        <w:t>”).</w:t>
      </w:r>
    </w:p>
    <w:p w14:paraId="2DD39706" w14:textId="77777777" w:rsidR="00A36D0C" w:rsidRPr="00FA121E" w:rsidRDefault="00A36D0C" w:rsidP="00E25158">
      <w:pPr>
        <w:widowControl w:val="0"/>
        <w:spacing w:after="240"/>
        <w:ind w:left="540"/>
        <w:jc w:val="both"/>
        <w:rPr>
          <w:i/>
          <w:lang w:val="vi-VN"/>
        </w:rPr>
      </w:pPr>
      <w:r w:rsidRPr="00FA121E">
        <w:rPr>
          <w:i/>
          <w:lang w:val="vi-VN"/>
        </w:rPr>
        <w:t>5.1.</w:t>
      </w:r>
      <w:r w:rsidR="006C3C4A" w:rsidRPr="00FA121E">
        <w:rPr>
          <w:i/>
          <w:lang w:val="vi-VN"/>
        </w:rPr>
        <w:t>4</w:t>
      </w:r>
      <w:r w:rsidRPr="00FA121E">
        <w:rPr>
          <w:i/>
          <w:lang w:val="vi-VN"/>
        </w:rPr>
        <w:t>.</w:t>
      </w:r>
      <w:r w:rsidR="008A44B8" w:rsidRPr="00FA121E">
        <w:rPr>
          <w:i/>
          <w:lang w:val="vi-VN"/>
        </w:rPr>
        <w:t xml:space="preserve"> </w:t>
      </w:r>
      <w:r w:rsidRPr="00FA121E">
        <w:rPr>
          <w:i/>
          <w:lang w:val="vi-VN"/>
        </w:rPr>
        <w:t>Trường hợp Bên</w:t>
      </w:r>
      <w:r w:rsidR="00E53550" w:rsidRPr="00FA121E">
        <w:rPr>
          <w:i/>
          <w:lang w:val="vi-VN"/>
        </w:rPr>
        <w:t xml:space="preserve"> nhận thế chấp không nhận được </w:t>
      </w:r>
      <w:r w:rsidR="0006180B" w:rsidRPr="00FA121E">
        <w:rPr>
          <w:i/>
          <w:lang w:val="vi-VN"/>
        </w:rPr>
        <w:t xml:space="preserve">Bản </w:t>
      </w:r>
      <w:r w:rsidR="00E53550" w:rsidRPr="00FA121E">
        <w:rPr>
          <w:i/>
          <w:lang w:val="vi-VN"/>
        </w:rPr>
        <w:t>sao</w:t>
      </w:r>
      <w:r w:rsidRPr="00FA121E">
        <w:rPr>
          <w:i/>
          <w:lang w:val="vi-VN"/>
        </w:rPr>
        <w:t xml:space="preserve"> của Giấy chứng nhận trong thời hạn 3</w:t>
      </w:r>
      <w:r w:rsidR="00AE6702">
        <w:rPr>
          <w:i/>
        </w:rPr>
        <w:t>0</w:t>
      </w:r>
      <w:r w:rsidRPr="00FA121E">
        <w:rPr>
          <w:i/>
          <w:lang w:val="vi-VN"/>
        </w:rPr>
        <w:t xml:space="preserve"> </w:t>
      </w:r>
      <w:r w:rsidR="00817F77">
        <w:rPr>
          <w:i/>
        </w:rPr>
        <w:t>(ba</w:t>
      </w:r>
      <w:r w:rsidR="00AE6702">
        <w:rPr>
          <w:i/>
        </w:rPr>
        <w:t xml:space="preserve"> mươi</w:t>
      </w:r>
      <w:r w:rsidR="00817F77">
        <w:rPr>
          <w:i/>
        </w:rPr>
        <w:t xml:space="preserve">) </w:t>
      </w:r>
      <w:r w:rsidRPr="00FA121E">
        <w:rPr>
          <w:i/>
          <w:lang w:val="vi-VN"/>
        </w:rPr>
        <w:t>ng</w:t>
      </w:r>
      <w:r w:rsidR="00AE6702">
        <w:rPr>
          <w:i/>
        </w:rPr>
        <w:t>ày</w:t>
      </w:r>
      <w:r w:rsidRPr="00FA121E">
        <w:rPr>
          <w:i/>
          <w:lang w:val="vi-VN"/>
        </w:rPr>
        <w:t xml:space="preserve"> kể từ ngày ký kết </w:t>
      </w:r>
      <w:r w:rsidR="005A0855" w:rsidRPr="00FA121E">
        <w:rPr>
          <w:i/>
          <w:lang w:val="vi-VN"/>
        </w:rPr>
        <w:t>Hợp Đồng Thế Chấp</w:t>
      </w:r>
      <w:r w:rsidRPr="00FA121E">
        <w:rPr>
          <w:i/>
          <w:lang w:val="vi-VN"/>
        </w:rPr>
        <w:t xml:space="preserve"> và/hoặc Bên thế chấp vi phạm nghĩa vụ được bảo đảm theo quy định tại Mục 5.2 của </w:t>
      </w:r>
      <w:r w:rsidR="005A0855" w:rsidRPr="00FA121E">
        <w:rPr>
          <w:i/>
          <w:lang w:val="vi-VN"/>
        </w:rPr>
        <w:t>Hợp Đồng Thế Chấp</w:t>
      </w:r>
      <w:r w:rsidRPr="00FA121E">
        <w:rPr>
          <w:i/>
          <w:lang w:val="vi-VN"/>
        </w:rPr>
        <w:t xml:space="preserve">, Bên nhận thế chấp có quyền yêu cầu xử lý Tài sản thế chấp theo quy định tại Mục 5.5 của </w:t>
      </w:r>
      <w:r w:rsidR="005A0855" w:rsidRPr="00FA121E">
        <w:rPr>
          <w:i/>
          <w:lang w:val="vi-VN"/>
        </w:rPr>
        <w:t>Hợp Đồng Thế Chấp</w:t>
      </w:r>
      <w:r w:rsidRPr="00FA121E">
        <w:rPr>
          <w:i/>
          <w:lang w:val="vi-VN"/>
        </w:rPr>
        <w:t xml:space="preserve"> này.”</w:t>
      </w:r>
    </w:p>
    <w:p w14:paraId="2DD39707" w14:textId="77777777" w:rsidR="008A44B8" w:rsidRPr="00FA121E" w:rsidRDefault="004F6367" w:rsidP="00840937">
      <w:pPr>
        <w:numPr>
          <w:ilvl w:val="1"/>
          <w:numId w:val="4"/>
        </w:numPr>
        <w:spacing w:after="240"/>
        <w:ind w:left="540" w:hanging="540"/>
        <w:jc w:val="both"/>
        <w:rPr>
          <w:lang w:val="vi-VN"/>
        </w:rPr>
      </w:pPr>
      <w:r>
        <w:t xml:space="preserve">Hủy </w:t>
      </w:r>
      <w:r w:rsidR="008A44B8" w:rsidRPr="00FA121E">
        <w:rPr>
          <w:lang w:val="vi-VN"/>
        </w:rPr>
        <w:t xml:space="preserve">bỏ Mục </w:t>
      </w:r>
      <w:r w:rsidR="008A44B8" w:rsidRPr="00840937">
        <w:rPr>
          <w:b/>
          <w:lang w:val="vi-VN"/>
        </w:rPr>
        <w:t>5.1.5</w:t>
      </w:r>
      <w:r w:rsidR="00F3723D" w:rsidRPr="00840937">
        <w:rPr>
          <w:b/>
        </w:rPr>
        <w:t>,</w:t>
      </w:r>
      <w:r w:rsidR="008A44B8" w:rsidRPr="00840937">
        <w:rPr>
          <w:b/>
          <w:lang w:val="vi-VN"/>
        </w:rPr>
        <w:t xml:space="preserve"> 5.1.6</w:t>
      </w:r>
      <w:r w:rsidR="00F3723D">
        <w:t xml:space="preserve"> </w:t>
      </w:r>
      <w:r w:rsidR="00F3723D" w:rsidRPr="00F3723D">
        <w:t>và</w:t>
      </w:r>
      <w:r w:rsidR="00F3723D">
        <w:t xml:space="preserve"> </w:t>
      </w:r>
      <w:r w:rsidR="00F3723D" w:rsidRPr="00840937">
        <w:rPr>
          <w:b/>
        </w:rPr>
        <w:t>5.1.7</w:t>
      </w:r>
      <w:r w:rsidR="008A44B8" w:rsidRPr="00FA121E">
        <w:rPr>
          <w:lang w:val="vi-VN"/>
        </w:rPr>
        <w:t xml:space="preserve"> Hợp Đồng Thế Chấp.</w:t>
      </w:r>
    </w:p>
    <w:p w14:paraId="2DD39708" w14:textId="77777777" w:rsidR="00043D74" w:rsidRDefault="004F6367" w:rsidP="00840937">
      <w:pPr>
        <w:numPr>
          <w:ilvl w:val="1"/>
          <w:numId w:val="4"/>
        </w:numPr>
        <w:spacing w:after="240"/>
        <w:ind w:left="540" w:hanging="540"/>
        <w:jc w:val="both"/>
        <w:rPr>
          <w:lang w:val="vi-VN"/>
        </w:rPr>
      </w:pPr>
      <w:r w:rsidRPr="00840937">
        <w:rPr>
          <w:lang w:val="vi-VN"/>
        </w:rPr>
        <w:t>Hủy</w:t>
      </w:r>
      <w:r w:rsidR="00043D74">
        <w:t xml:space="preserve"> bỏ Mục </w:t>
      </w:r>
      <w:r w:rsidR="00043D74" w:rsidRPr="00840937">
        <w:rPr>
          <w:b/>
        </w:rPr>
        <w:t>5.2</w:t>
      </w:r>
      <w:r w:rsidR="00043D74">
        <w:t xml:space="preserve"> Hợp Đồng Thế Chấp. </w:t>
      </w:r>
    </w:p>
    <w:p w14:paraId="2DD39709" w14:textId="77777777" w:rsidR="008A44B8" w:rsidRPr="00FA121E" w:rsidRDefault="004F6367" w:rsidP="00840937">
      <w:pPr>
        <w:numPr>
          <w:ilvl w:val="1"/>
          <w:numId w:val="4"/>
        </w:numPr>
        <w:spacing w:after="240"/>
        <w:ind w:left="540" w:hanging="540"/>
        <w:jc w:val="both"/>
        <w:rPr>
          <w:lang w:val="vi-VN"/>
        </w:rPr>
      </w:pPr>
      <w:r w:rsidRPr="00840937">
        <w:rPr>
          <w:lang w:val="vi-VN"/>
        </w:rPr>
        <w:t>Hủy</w:t>
      </w:r>
      <w:r w:rsidR="008A44B8" w:rsidRPr="00FA121E">
        <w:rPr>
          <w:lang w:val="vi-VN"/>
        </w:rPr>
        <w:t xml:space="preserve"> bỏ Mục </w:t>
      </w:r>
      <w:r w:rsidR="008A44B8" w:rsidRPr="00840937">
        <w:rPr>
          <w:b/>
          <w:lang w:val="vi-VN"/>
        </w:rPr>
        <w:t>5.</w:t>
      </w:r>
      <w:r w:rsidR="008E0D84" w:rsidRPr="00840937">
        <w:rPr>
          <w:b/>
        </w:rPr>
        <w:t>4</w:t>
      </w:r>
      <w:r w:rsidR="008A44B8" w:rsidRPr="00840937">
        <w:rPr>
          <w:b/>
          <w:lang w:val="vi-VN"/>
        </w:rPr>
        <w:t>.1</w:t>
      </w:r>
      <w:r w:rsidR="008A44B8" w:rsidRPr="00FA121E">
        <w:rPr>
          <w:lang w:val="vi-VN"/>
        </w:rPr>
        <w:t>.(ii) Hợp Đồng Thế Chấp.</w:t>
      </w:r>
    </w:p>
    <w:p w14:paraId="2DD3970A" w14:textId="77777777" w:rsidR="00D425A5" w:rsidRPr="00FA121E" w:rsidRDefault="008A44B8" w:rsidP="00840937">
      <w:pPr>
        <w:numPr>
          <w:ilvl w:val="1"/>
          <w:numId w:val="4"/>
        </w:numPr>
        <w:spacing w:after="240"/>
        <w:ind w:left="540" w:hanging="540"/>
        <w:jc w:val="both"/>
        <w:rPr>
          <w:lang w:val="vi-VN"/>
        </w:rPr>
      </w:pPr>
      <w:r w:rsidRPr="00FA121E">
        <w:rPr>
          <w:lang w:val="vi-VN"/>
        </w:rPr>
        <w:t>Sửa đổi, bổ sung</w:t>
      </w:r>
      <w:r w:rsidR="00D425A5" w:rsidRPr="00FA121E">
        <w:rPr>
          <w:lang w:val="vi-VN"/>
        </w:rPr>
        <w:t xml:space="preserve"> Mục </w:t>
      </w:r>
      <w:r w:rsidR="00D425A5" w:rsidRPr="00840937">
        <w:rPr>
          <w:b/>
          <w:lang w:val="vi-VN"/>
        </w:rPr>
        <w:t>5.</w:t>
      </w:r>
      <w:r w:rsidR="004F6367" w:rsidRPr="00840937">
        <w:rPr>
          <w:b/>
        </w:rPr>
        <w:t>4</w:t>
      </w:r>
      <w:r w:rsidR="00D425A5" w:rsidRPr="00840937">
        <w:rPr>
          <w:b/>
          <w:lang w:val="vi-VN"/>
        </w:rPr>
        <w:t>.2</w:t>
      </w:r>
      <w:r w:rsidR="00D425A5" w:rsidRPr="00FA121E">
        <w:rPr>
          <w:lang w:val="vi-VN"/>
        </w:rPr>
        <w:t xml:space="preserve"> </w:t>
      </w:r>
      <w:r w:rsidR="005A0855" w:rsidRPr="00FA121E">
        <w:rPr>
          <w:lang w:val="vi-VN"/>
        </w:rPr>
        <w:t>Hợp Đồng Thế Chấp</w:t>
      </w:r>
      <w:r w:rsidR="006C3C4A" w:rsidRPr="00FA121E">
        <w:rPr>
          <w:lang w:val="vi-VN"/>
        </w:rPr>
        <w:t xml:space="preserve"> như sau:</w:t>
      </w:r>
    </w:p>
    <w:p w14:paraId="2DD3970B" w14:textId="77777777" w:rsidR="003E24E5" w:rsidRPr="00FA121E" w:rsidRDefault="00D425A5" w:rsidP="00840937">
      <w:pPr>
        <w:spacing w:after="240"/>
        <w:ind w:left="540"/>
        <w:jc w:val="both"/>
        <w:rPr>
          <w:i/>
          <w:lang w:val="vi-VN"/>
        </w:rPr>
      </w:pPr>
      <w:r w:rsidRPr="00FA121E">
        <w:rPr>
          <w:i/>
          <w:lang w:val="vi-VN"/>
        </w:rPr>
        <w:t>“</w:t>
      </w:r>
      <w:r w:rsidR="0006180B" w:rsidRPr="00FA121E">
        <w:rPr>
          <w:i/>
          <w:lang w:val="vi-VN"/>
        </w:rPr>
        <w:t xml:space="preserve">(i). </w:t>
      </w:r>
      <w:r w:rsidR="003E24E5" w:rsidRPr="00FA121E">
        <w:rPr>
          <w:i/>
          <w:lang w:val="vi-VN"/>
        </w:rPr>
        <w:t>Lưu giữ và bảo quản bản chính của Giấy chứng nhận cho đến khi Bên thế chấp hoàn thành các nghĩa vụ được bảo đảm.</w:t>
      </w:r>
    </w:p>
    <w:p w14:paraId="2DD3970C" w14:textId="77777777" w:rsidR="00D425A5" w:rsidRPr="00FA121E" w:rsidRDefault="0006180B" w:rsidP="00840937">
      <w:pPr>
        <w:spacing w:after="240"/>
        <w:ind w:left="540"/>
        <w:jc w:val="both"/>
        <w:rPr>
          <w:i/>
          <w:lang w:val="vi-VN"/>
        </w:rPr>
      </w:pPr>
      <w:r w:rsidRPr="00FA121E">
        <w:rPr>
          <w:i/>
          <w:lang w:val="vi-VN"/>
        </w:rPr>
        <w:t xml:space="preserve">(ii). </w:t>
      </w:r>
      <w:r w:rsidR="00D425A5" w:rsidRPr="00FA121E">
        <w:rPr>
          <w:i/>
          <w:lang w:val="vi-VN"/>
        </w:rPr>
        <w:t xml:space="preserve">Giao </w:t>
      </w:r>
      <w:r w:rsidRPr="00FA121E">
        <w:rPr>
          <w:i/>
          <w:lang w:val="vi-VN"/>
        </w:rPr>
        <w:t xml:space="preserve">Bản </w:t>
      </w:r>
      <w:r w:rsidR="00D425A5" w:rsidRPr="00FA121E">
        <w:rPr>
          <w:i/>
          <w:lang w:val="vi-VN"/>
        </w:rPr>
        <w:t>sao</w:t>
      </w:r>
      <w:r w:rsidRPr="00FA121E">
        <w:rPr>
          <w:i/>
          <w:lang w:val="vi-VN"/>
        </w:rPr>
        <w:t xml:space="preserve"> </w:t>
      </w:r>
      <w:r w:rsidR="00D425A5" w:rsidRPr="00FA121E">
        <w:rPr>
          <w:i/>
          <w:lang w:val="vi-VN"/>
        </w:rPr>
        <w:t xml:space="preserve">của Giấy chứng nhận cho Bên nhận thế chấp ngay </w:t>
      </w:r>
      <w:r w:rsidRPr="00FA121E">
        <w:rPr>
          <w:i/>
          <w:lang w:val="vi-VN"/>
        </w:rPr>
        <w:t xml:space="preserve">sau </w:t>
      </w:r>
      <w:r w:rsidR="00D425A5" w:rsidRPr="00FA121E">
        <w:rPr>
          <w:i/>
          <w:lang w:val="vi-VN"/>
        </w:rPr>
        <w:t xml:space="preserve">khi ký </w:t>
      </w:r>
      <w:r w:rsidR="005A0855" w:rsidRPr="00FA121E">
        <w:rPr>
          <w:i/>
          <w:lang w:val="vi-VN"/>
        </w:rPr>
        <w:t>Hợp Đồng Thế Chấp</w:t>
      </w:r>
      <w:r w:rsidR="00D425A5" w:rsidRPr="00FA121E">
        <w:rPr>
          <w:i/>
          <w:lang w:val="vi-VN"/>
        </w:rPr>
        <w:t xml:space="preserve"> hoặc</w:t>
      </w:r>
      <w:r w:rsidR="004F6367">
        <w:rPr>
          <w:i/>
        </w:rPr>
        <w:t xml:space="preserve"> ngay sau khi nhận Bản chính của Giấy chứng nhận, hoặc </w:t>
      </w:r>
      <w:r w:rsidR="00D425A5" w:rsidRPr="00FA121E">
        <w:rPr>
          <w:i/>
          <w:lang w:val="vi-VN"/>
        </w:rPr>
        <w:t>ngay khi Bên nhận thế chấp có yêu cầu</w:t>
      </w:r>
      <w:r w:rsidR="004F6367">
        <w:rPr>
          <w:i/>
        </w:rPr>
        <w:t xml:space="preserve"> vào bất kỳ thời điểm nào</w:t>
      </w:r>
      <w:r w:rsidR="00D425A5" w:rsidRPr="00FA121E">
        <w:rPr>
          <w:i/>
          <w:lang w:val="vi-VN"/>
        </w:rPr>
        <w:t xml:space="preserve">. </w:t>
      </w:r>
    </w:p>
    <w:p w14:paraId="2DD3970D" w14:textId="77777777" w:rsidR="0006180B" w:rsidRPr="00FA121E" w:rsidRDefault="0006180B" w:rsidP="00840937">
      <w:pPr>
        <w:spacing w:after="240"/>
        <w:ind w:left="540"/>
        <w:jc w:val="both"/>
        <w:rPr>
          <w:i/>
          <w:lang w:val="vi-VN"/>
        </w:rPr>
      </w:pPr>
      <w:r w:rsidRPr="00FA121E">
        <w:rPr>
          <w:i/>
          <w:lang w:val="vi-VN"/>
        </w:rPr>
        <w:t>(iii). Thực hiện các biện pháp cần thiết để</w:t>
      </w:r>
      <w:r w:rsidR="00103B96" w:rsidRPr="00FA121E">
        <w:rPr>
          <w:i/>
          <w:lang w:val="vi-VN"/>
        </w:rPr>
        <w:t xml:space="preserve"> </w:t>
      </w:r>
      <w:r w:rsidR="00D425A5" w:rsidRPr="00FA121E">
        <w:rPr>
          <w:i/>
          <w:lang w:val="vi-VN"/>
        </w:rPr>
        <w:t xml:space="preserve">bên thứ ba đang giữ </w:t>
      </w:r>
      <w:r w:rsidRPr="00FA121E">
        <w:rPr>
          <w:i/>
          <w:lang w:val="vi-VN"/>
        </w:rPr>
        <w:t xml:space="preserve">bản chính của Giấy chứng nhận </w:t>
      </w:r>
      <w:r w:rsidR="00D425A5" w:rsidRPr="00FA121E">
        <w:rPr>
          <w:i/>
          <w:lang w:val="vi-VN"/>
        </w:rPr>
        <w:t>giao bản chính của Giấy chứng nhận cho Bên nhận thế chấp ngay khi Bên nhận thế chấp có yêu cầu</w:t>
      </w:r>
      <w:r w:rsidRPr="00FA121E">
        <w:rPr>
          <w:i/>
          <w:lang w:val="vi-VN"/>
        </w:rPr>
        <w:t>.</w:t>
      </w:r>
    </w:p>
    <w:p w14:paraId="2DD3970E" w14:textId="77777777" w:rsidR="0006180B" w:rsidRPr="00FA121E" w:rsidRDefault="0006180B" w:rsidP="00840937">
      <w:pPr>
        <w:spacing w:after="240"/>
        <w:ind w:left="540"/>
        <w:jc w:val="both"/>
        <w:rPr>
          <w:i/>
          <w:lang w:val="vi-VN"/>
        </w:rPr>
      </w:pPr>
      <w:r w:rsidRPr="00FA121E">
        <w:rPr>
          <w:i/>
          <w:lang w:val="vi-VN"/>
        </w:rPr>
        <w:lastRenderedPageBreak/>
        <w:t xml:space="preserve">(iv). </w:t>
      </w:r>
      <w:r w:rsidR="00824741" w:rsidRPr="00824741">
        <w:rPr>
          <w:i/>
          <w:lang w:val="vi-VN"/>
        </w:rPr>
        <w:t>Đăng ký biện pháp bảo đảm đối với Tài sản thế chấp theo quy định pháp luật và/hoặc theo yêu</w:t>
      </w:r>
      <w:r w:rsidR="00824741">
        <w:rPr>
          <w:i/>
        </w:rPr>
        <w:t xml:space="preserve"> </w:t>
      </w:r>
      <w:r w:rsidR="00824741" w:rsidRPr="00824741">
        <w:rPr>
          <w:i/>
          <w:lang w:val="vi-VN"/>
        </w:rPr>
        <w:t>cầu của Bên nhận thế chấp, chịu trách nhiệm thanh toán các chi phí liên quan đến việc đăng ký biện</w:t>
      </w:r>
      <w:r w:rsidR="00824741">
        <w:rPr>
          <w:i/>
        </w:rPr>
        <w:t xml:space="preserve"> </w:t>
      </w:r>
      <w:r w:rsidR="00824741" w:rsidRPr="00824741">
        <w:rPr>
          <w:i/>
          <w:lang w:val="vi-VN"/>
        </w:rPr>
        <w:t>pháp bảo đảm theo quy định của pháp luật.</w:t>
      </w:r>
      <w:r w:rsidR="00824741" w:rsidRPr="00824741" w:rsidDel="00824741">
        <w:rPr>
          <w:i/>
          <w:lang w:val="vi-VN"/>
        </w:rPr>
        <w:t xml:space="preserve"> </w:t>
      </w:r>
      <w:r w:rsidRPr="00FA121E">
        <w:rPr>
          <w:i/>
          <w:lang w:val="vi-VN"/>
        </w:rPr>
        <w:t>.</w:t>
      </w:r>
    </w:p>
    <w:p w14:paraId="2DD3970F" w14:textId="77777777" w:rsidR="0006180B" w:rsidRPr="00FA121E" w:rsidRDefault="0006180B" w:rsidP="00840937">
      <w:pPr>
        <w:spacing w:after="240"/>
        <w:ind w:left="540"/>
        <w:jc w:val="both"/>
        <w:rPr>
          <w:i/>
          <w:lang w:val="vi-VN"/>
        </w:rPr>
      </w:pPr>
      <w:r w:rsidRPr="00FA121E">
        <w:rPr>
          <w:i/>
          <w:lang w:val="vi-VN"/>
        </w:rPr>
        <w:t>(v). Thông báo bằng văn bản cho Bên nhận thế chấp về quyền của bất kỳ bên thứ ba nào đối với</w:t>
      </w:r>
      <w:r w:rsidR="00124D37" w:rsidRPr="00FA121E">
        <w:rPr>
          <w:i/>
          <w:lang w:val="vi-VN"/>
        </w:rPr>
        <w:t xml:space="preserve"> </w:t>
      </w:r>
      <w:r w:rsidRPr="00FA121E">
        <w:rPr>
          <w:i/>
          <w:lang w:val="vi-VN"/>
        </w:rPr>
        <w:t>Tài sản thế chấp (nếu có).</w:t>
      </w:r>
    </w:p>
    <w:p w14:paraId="2DD39710" w14:textId="77777777" w:rsidR="0006180B" w:rsidRPr="00FA121E" w:rsidRDefault="0006180B" w:rsidP="00840937">
      <w:pPr>
        <w:spacing w:after="240"/>
        <w:ind w:left="540"/>
        <w:jc w:val="both"/>
        <w:rPr>
          <w:i/>
          <w:lang w:val="vi-VN"/>
        </w:rPr>
      </w:pPr>
      <w:r w:rsidRPr="00FA121E">
        <w:rPr>
          <w:i/>
          <w:lang w:val="vi-VN"/>
        </w:rPr>
        <w:t>(vi). Không được chuyển nhượng, trao đổi, tặng cho, cho thuê, cho mượn, góp vốn hoặc có bất kỳ</w:t>
      </w:r>
      <w:r w:rsidR="00124D37" w:rsidRPr="00FA121E">
        <w:rPr>
          <w:i/>
          <w:lang w:val="vi-VN"/>
        </w:rPr>
        <w:t xml:space="preserve"> </w:t>
      </w:r>
      <w:r w:rsidRPr="00FA121E">
        <w:rPr>
          <w:i/>
          <w:lang w:val="vi-VN"/>
        </w:rPr>
        <w:t>hình thức nào chuyển quyền sở hữu, quyền sử dụng Tài sản thế chấp; không được sử dụng Tài sản</w:t>
      </w:r>
      <w:r w:rsidR="00124D37" w:rsidRPr="00FA121E">
        <w:rPr>
          <w:i/>
          <w:lang w:val="vi-VN"/>
        </w:rPr>
        <w:t xml:space="preserve"> </w:t>
      </w:r>
      <w:r w:rsidRPr="00FA121E">
        <w:rPr>
          <w:i/>
          <w:lang w:val="vi-VN"/>
        </w:rPr>
        <w:t>thế chấp để bảo đảm cho nghĩa vụ khác hoặc cho phép bên thứ ba nào có hành động tương tự; không được làm giảm giá trị, thay đổi mục đích sử dụng của Tài sản thế chấp, trừ trường hợp có sự chấp thuận bằng văn bản của Bên nhận thế chấp.</w:t>
      </w:r>
    </w:p>
    <w:p w14:paraId="2DD39711" w14:textId="77777777" w:rsidR="0006180B" w:rsidRDefault="0006180B" w:rsidP="00840937">
      <w:pPr>
        <w:spacing w:after="240"/>
        <w:ind w:left="540"/>
        <w:jc w:val="both"/>
        <w:rPr>
          <w:i/>
          <w:lang w:val="vi-VN"/>
        </w:rPr>
      </w:pPr>
      <w:r w:rsidRPr="00FA121E">
        <w:rPr>
          <w:i/>
          <w:lang w:val="vi-VN"/>
        </w:rPr>
        <w:t xml:space="preserve">(vii). </w:t>
      </w:r>
      <w:r w:rsidR="001B449A" w:rsidRPr="001B449A">
        <w:rPr>
          <w:i/>
          <w:lang w:val="vi-VN"/>
        </w:rPr>
        <w:t>Phải giao hoặc thực hiện những biện pháp cần thiết để yêu cầu bên thứ ba đang giữ Tài sản</w:t>
      </w:r>
      <w:r w:rsidR="001B449A">
        <w:rPr>
          <w:i/>
        </w:rPr>
        <w:t xml:space="preserve"> </w:t>
      </w:r>
      <w:r w:rsidR="001B449A" w:rsidRPr="001B449A">
        <w:rPr>
          <w:i/>
          <w:lang w:val="vi-VN"/>
        </w:rPr>
        <w:t>thế chấp giao Tài sản thế chấp cho Bên nhận thế chấp để xử lý sau khi nhận được Thông báo thu giữ</w:t>
      </w:r>
      <w:r w:rsidR="001B449A">
        <w:rPr>
          <w:i/>
        </w:rPr>
        <w:t xml:space="preserve"> </w:t>
      </w:r>
      <w:r w:rsidR="001B449A" w:rsidRPr="001B449A">
        <w:rPr>
          <w:i/>
          <w:lang w:val="vi-VN"/>
        </w:rPr>
        <w:t>Tài sản thế chấp bằng văn bản của Bên nhận thế chấp nếu Bên thế chấp không thực hiện đúng hạn và</w:t>
      </w:r>
      <w:r w:rsidR="001B449A">
        <w:rPr>
          <w:i/>
        </w:rPr>
        <w:t xml:space="preserve"> </w:t>
      </w:r>
      <w:r w:rsidR="001B449A" w:rsidRPr="001B449A">
        <w:rPr>
          <w:i/>
          <w:lang w:val="vi-VN"/>
        </w:rPr>
        <w:t>đầy đủ các nghĩa vụ được bảo đảm theo Mục 5.3 của Hợp Đồng Thế Chấp này. Bên thế chấp phải chịu</w:t>
      </w:r>
      <w:r w:rsidR="001B449A">
        <w:rPr>
          <w:i/>
        </w:rPr>
        <w:t xml:space="preserve"> </w:t>
      </w:r>
      <w:r w:rsidR="001B449A" w:rsidRPr="001B449A">
        <w:rPr>
          <w:i/>
          <w:lang w:val="vi-VN"/>
        </w:rPr>
        <w:t>các chi phí định giá, đánh giá lại Tài sản thế chấp, các chi phí liên quan đến việc xử lý Tài sản thế chấp</w:t>
      </w:r>
      <w:r w:rsidR="001B449A">
        <w:rPr>
          <w:i/>
        </w:rPr>
        <w:t xml:space="preserve"> </w:t>
      </w:r>
      <w:r w:rsidR="001B449A" w:rsidRPr="001B449A">
        <w:rPr>
          <w:i/>
          <w:lang w:val="vi-VN"/>
        </w:rPr>
        <w:t>và các chi phí khác p</w:t>
      </w:r>
      <w:r w:rsidR="001B449A">
        <w:rPr>
          <w:i/>
          <w:lang w:val="vi-VN"/>
        </w:rPr>
        <w:t>hải nộp theo quy định pháp luật</w:t>
      </w:r>
      <w:r w:rsidRPr="00FA121E">
        <w:rPr>
          <w:i/>
          <w:lang w:val="vi-VN"/>
        </w:rPr>
        <w:t>.</w:t>
      </w:r>
    </w:p>
    <w:p w14:paraId="2DD39712" w14:textId="77777777" w:rsidR="005D7094" w:rsidRPr="004F6367" w:rsidRDefault="005D7094" w:rsidP="00840937">
      <w:pPr>
        <w:spacing w:after="240"/>
        <w:ind w:left="540"/>
        <w:jc w:val="both"/>
        <w:rPr>
          <w:i/>
        </w:rPr>
      </w:pPr>
      <w:r>
        <w:rPr>
          <w:i/>
        </w:rPr>
        <w:t xml:space="preserve">(viii) </w:t>
      </w:r>
      <w:r w:rsidRPr="005D7094">
        <w:rPr>
          <w:i/>
        </w:rPr>
        <w:t>Phải thông báo bằng văn bản cho Bên nhận thế chấp về việc Tài sản thế chấp đang là tài sản</w:t>
      </w:r>
      <w:r>
        <w:rPr>
          <w:i/>
        </w:rPr>
        <w:t xml:space="preserve"> </w:t>
      </w:r>
      <w:r w:rsidRPr="005D7094">
        <w:rPr>
          <w:i/>
        </w:rPr>
        <w:t>tranh chấp trong vụ án đã được thụ lý nhưng chưa được giải quyết hoặc đang được giải quyết tại Tòa</w:t>
      </w:r>
      <w:r>
        <w:rPr>
          <w:i/>
        </w:rPr>
        <w:t xml:space="preserve"> </w:t>
      </w:r>
      <w:r w:rsidRPr="005D7094">
        <w:rPr>
          <w:i/>
        </w:rPr>
        <w:t>án có thẩm quyền; Tài sản thế chấp đang bị Tòa án áp dụng biện pháp khẩn cấp tạm thời; đang bị kê</w:t>
      </w:r>
      <w:r>
        <w:rPr>
          <w:i/>
        </w:rPr>
        <w:t xml:space="preserve"> </w:t>
      </w:r>
      <w:r w:rsidRPr="005D7094">
        <w:rPr>
          <w:i/>
        </w:rPr>
        <w:t>biên hoặc áp dụng biện pháp bảo đảm thi hành án theo quy định của pháp luật.</w:t>
      </w:r>
    </w:p>
    <w:p w14:paraId="2DD39713" w14:textId="77777777" w:rsidR="00D425A5" w:rsidRPr="00FA121E" w:rsidRDefault="0006180B" w:rsidP="00840937">
      <w:pPr>
        <w:spacing w:after="240"/>
        <w:ind w:left="540"/>
        <w:jc w:val="both"/>
        <w:rPr>
          <w:i/>
          <w:lang w:val="vi-VN"/>
        </w:rPr>
      </w:pPr>
      <w:r w:rsidRPr="00FA121E">
        <w:rPr>
          <w:i/>
          <w:lang w:val="vi-VN"/>
        </w:rPr>
        <w:t>(</w:t>
      </w:r>
      <w:r w:rsidR="005D7B53">
        <w:rPr>
          <w:i/>
        </w:rPr>
        <w:t>ix</w:t>
      </w:r>
      <w:r w:rsidRPr="00FA121E">
        <w:rPr>
          <w:i/>
          <w:lang w:val="vi-VN"/>
        </w:rPr>
        <w:t>). Thực hiện các nghĩa vụ khác theo quy định tại Hợp Đồng Thế Chấp, Hợp Đồng Tín Dụng và</w:t>
      </w:r>
      <w:r w:rsidR="00124D37" w:rsidRPr="00FA121E">
        <w:rPr>
          <w:i/>
          <w:lang w:val="vi-VN"/>
        </w:rPr>
        <w:t xml:space="preserve"> </w:t>
      </w:r>
      <w:r w:rsidRPr="00FA121E">
        <w:rPr>
          <w:i/>
          <w:lang w:val="vi-VN"/>
        </w:rPr>
        <w:t>theo quy định của pháp luật.</w:t>
      </w:r>
      <w:r w:rsidR="00D425A5" w:rsidRPr="00FA121E">
        <w:rPr>
          <w:i/>
          <w:lang w:val="vi-VN"/>
        </w:rPr>
        <w:t>”</w:t>
      </w:r>
    </w:p>
    <w:p w14:paraId="2DD39714" w14:textId="77777777" w:rsidR="00124D37" w:rsidRPr="00FA121E" w:rsidRDefault="004F6367" w:rsidP="00840937">
      <w:pPr>
        <w:numPr>
          <w:ilvl w:val="1"/>
          <w:numId w:val="4"/>
        </w:numPr>
        <w:spacing w:after="240"/>
        <w:ind w:left="540" w:hanging="540"/>
        <w:jc w:val="both"/>
        <w:rPr>
          <w:lang w:val="vi-VN"/>
        </w:rPr>
      </w:pPr>
      <w:r>
        <w:t>Hủy</w:t>
      </w:r>
      <w:r w:rsidR="00124D37" w:rsidRPr="00FA121E">
        <w:rPr>
          <w:lang w:val="vi-VN"/>
        </w:rPr>
        <w:t xml:space="preserve"> bỏ Mục </w:t>
      </w:r>
      <w:r w:rsidR="00124D37" w:rsidRPr="00840937">
        <w:rPr>
          <w:b/>
          <w:lang w:val="vi-VN"/>
        </w:rPr>
        <w:t>5.</w:t>
      </w:r>
      <w:r w:rsidR="00F3083D" w:rsidRPr="00840937">
        <w:rPr>
          <w:b/>
        </w:rPr>
        <w:t>5</w:t>
      </w:r>
      <w:r w:rsidR="00124D37" w:rsidRPr="00840937">
        <w:rPr>
          <w:b/>
          <w:lang w:val="vi-VN"/>
        </w:rPr>
        <w:t>.1.(ii)</w:t>
      </w:r>
      <w:r w:rsidR="00124D37" w:rsidRPr="00FA121E">
        <w:rPr>
          <w:lang w:val="vi-VN"/>
        </w:rPr>
        <w:t xml:space="preserve"> Hợp Đồng Thế Chấp.</w:t>
      </w:r>
    </w:p>
    <w:p w14:paraId="2DD39715" w14:textId="77777777" w:rsidR="003E24E5" w:rsidRPr="00FA121E" w:rsidRDefault="00124D37" w:rsidP="00840937">
      <w:pPr>
        <w:numPr>
          <w:ilvl w:val="1"/>
          <w:numId w:val="4"/>
        </w:numPr>
        <w:spacing w:after="240"/>
        <w:ind w:left="540" w:hanging="540"/>
        <w:jc w:val="both"/>
        <w:rPr>
          <w:lang w:val="vi-VN"/>
        </w:rPr>
      </w:pPr>
      <w:r w:rsidRPr="00FA121E">
        <w:rPr>
          <w:lang w:val="vi-VN"/>
        </w:rPr>
        <w:t>Sửa đổi</w:t>
      </w:r>
      <w:r w:rsidR="003E24E5" w:rsidRPr="00FA121E">
        <w:rPr>
          <w:lang w:val="vi-VN"/>
        </w:rPr>
        <w:t xml:space="preserve"> Mục </w:t>
      </w:r>
      <w:r w:rsidR="003E24E5" w:rsidRPr="00840937">
        <w:rPr>
          <w:b/>
          <w:lang w:val="vi-VN"/>
        </w:rPr>
        <w:t>5.</w:t>
      </w:r>
      <w:r w:rsidR="00557833" w:rsidRPr="00840937">
        <w:rPr>
          <w:b/>
        </w:rPr>
        <w:t>5</w:t>
      </w:r>
      <w:r w:rsidR="003E24E5" w:rsidRPr="00840937">
        <w:rPr>
          <w:b/>
          <w:lang w:val="vi-VN"/>
        </w:rPr>
        <w:t>.1</w:t>
      </w:r>
      <w:r w:rsidRPr="00840937">
        <w:rPr>
          <w:b/>
          <w:lang w:val="vi-VN"/>
        </w:rPr>
        <w:t>.(iv)</w:t>
      </w:r>
      <w:r w:rsidR="003E24E5" w:rsidRPr="00FA121E">
        <w:rPr>
          <w:lang w:val="vi-VN"/>
        </w:rPr>
        <w:t xml:space="preserve"> </w:t>
      </w:r>
      <w:r w:rsidR="005A0855" w:rsidRPr="00FA121E">
        <w:rPr>
          <w:lang w:val="vi-VN"/>
        </w:rPr>
        <w:t>Hợp Đồng Thế Chấp</w:t>
      </w:r>
      <w:r w:rsidR="00103B96" w:rsidRPr="00FA121E">
        <w:rPr>
          <w:lang w:val="vi-VN"/>
        </w:rPr>
        <w:t xml:space="preserve"> như sau:</w:t>
      </w:r>
    </w:p>
    <w:p w14:paraId="2DD39716" w14:textId="77777777" w:rsidR="003E24E5" w:rsidRPr="00FA121E" w:rsidRDefault="003E24E5" w:rsidP="00840937">
      <w:pPr>
        <w:pStyle w:val="ListParagraph"/>
        <w:spacing w:after="240" w:line="240" w:lineRule="auto"/>
        <w:ind w:left="540"/>
        <w:contextualSpacing w:val="0"/>
        <w:jc w:val="both"/>
        <w:rPr>
          <w:i/>
          <w:lang w:val="vi-VN"/>
        </w:rPr>
      </w:pPr>
      <w:r w:rsidRPr="00FA121E">
        <w:rPr>
          <w:rFonts w:ascii="Times New Roman" w:hAnsi="Times New Roman"/>
          <w:i/>
          <w:sz w:val="24"/>
          <w:szCs w:val="24"/>
          <w:lang w:val="vi-VN"/>
        </w:rPr>
        <w:t>“(iv) Được quyền yêu cầu Bên thế chấp hoặc bên thứ ba giữ Tài sản thế chấp</w:t>
      </w:r>
      <w:r w:rsidR="003C3551">
        <w:rPr>
          <w:rFonts w:ascii="Times New Roman" w:hAnsi="Times New Roman"/>
          <w:i/>
          <w:sz w:val="24"/>
          <w:szCs w:val="24"/>
        </w:rPr>
        <w:t xml:space="preserve"> và/hoặc bản chính của Giấy chứng nhận</w:t>
      </w:r>
      <w:r w:rsidRPr="00FA121E">
        <w:rPr>
          <w:rFonts w:ascii="Times New Roman" w:hAnsi="Times New Roman"/>
          <w:i/>
          <w:sz w:val="24"/>
          <w:szCs w:val="24"/>
          <w:lang w:val="vi-VN"/>
        </w:rPr>
        <w:t xml:space="preserve"> giao Tài sản thế chấp và</w:t>
      </w:r>
      <w:r w:rsidR="003C3551">
        <w:rPr>
          <w:rFonts w:ascii="Times New Roman" w:hAnsi="Times New Roman"/>
          <w:i/>
          <w:sz w:val="24"/>
          <w:szCs w:val="24"/>
        </w:rPr>
        <w:t>/hoặc</w:t>
      </w:r>
      <w:r w:rsidRPr="00FA121E">
        <w:rPr>
          <w:rFonts w:ascii="Times New Roman" w:hAnsi="Times New Roman"/>
          <w:i/>
          <w:sz w:val="24"/>
          <w:szCs w:val="24"/>
          <w:lang w:val="vi-VN"/>
        </w:rPr>
        <w:t xml:space="preserve"> bản chính của Giấy chứng nhận để xử lý trong các trường hợp theo quy định tại Mục 5.</w:t>
      </w:r>
      <w:r w:rsidR="00D97383">
        <w:rPr>
          <w:rFonts w:ascii="Times New Roman" w:hAnsi="Times New Roman"/>
          <w:i/>
          <w:sz w:val="24"/>
          <w:szCs w:val="24"/>
        </w:rPr>
        <w:t>6</w:t>
      </w:r>
      <w:r w:rsidRPr="00FA121E">
        <w:rPr>
          <w:rFonts w:ascii="Times New Roman" w:hAnsi="Times New Roman"/>
          <w:i/>
          <w:sz w:val="24"/>
          <w:szCs w:val="24"/>
          <w:lang w:val="vi-VN"/>
        </w:rPr>
        <w:t>.1.</w:t>
      </w:r>
      <w:r w:rsidRPr="00FA121E">
        <w:rPr>
          <w:i/>
          <w:lang w:val="vi-VN"/>
        </w:rPr>
        <w:t>”</w:t>
      </w:r>
    </w:p>
    <w:p w14:paraId="2DD39717" w14:textId="77777777" w:rsidR="003E24E5" w:rsidRPr="00FA121E" w:rsidRDefault="004F6367" w:rsidP="00840937">
      <w:pPr>
        <w:numPr>
          <w:ilvl w:val="1"/>
          <w:numId w:val="4"/>
        </w:numPr>
        <w:spacing w:after="240"/>
        <w:ind w:left="540" w:hanging="540"/>
        <w:jc w:val="both"/>
        <w:rPr>
          <w:lang w:val="vi-VN"/>
        </w:rPr>
      </w:pPr>
      <w:r w:rsidRPr="00840937">
        <w:rPr>
          <w:lang w:val="vi-VN"/>
        </w:rPr>
        <w:t>Hủy</w:t>
      </w:r>
      <w:r w:rsidR="00103B96" w:rsidRPr="00FA121E">
        <w:rPr>
          <w:lang w:val="vi-VN"/>
        </w:rPr>
        <w:t xml:space="preserve"> b</w:t>
      </w:r>
      <w:r w:rsidR="003E24E5" w:rsidRPr="00FA121E">
        <w:rPr>
          <w:lang w:val="vi-VN"/>
        </w:rPr>
        <w:t xml:space="preserve">ỏ Mục </w:t>
      </w:r>
      <w:r w:rsidR="003E24E5" w:rsidRPr="00840937">
        <w:rPr>
          <w:b/>
          <w:lang w:val="vi-VN"/>
        </w:rPr>
        <w:t>5.</w:t>
      </w:r>
      <w:r w:rsidR="003D2693" w:rsidRPr="00840937">
        <w:rPr>
          <w:b/>
        </w:rPr>
        <w:t>5</w:t>
      </w:r>
      <w:r w:rsidR="003E24E5" w:rsidRPr="00840937">
        <w:rPr>
          <w:b/>
          <w:lang w:val="vi-VN"/>
        </w:rPr>
        <w:t>.</w:t>
      </w:r>
      <w:r w:rsidR="003D2693" w:rsidRPr="00840937">
        <w:rPr>
          <w:b/>
        </w:rPr>
        <w:t>3</w:t>
      </w:r>
      <w:r w:rsidR="003D2693" w:rsidRPr="00FA121E">
        <w:rPr>
          <w:lang w:val="vi-VN"/>
        </w:rPr>
        <w:t xml:space="preserve"> </w:t>
      </w:r>
      <w:r w:rsidR="005A0855" w:rsidRPr="00FA121E">
        <w:rPr>
          <w:lang w:val="vi-VN"/>
        </w:rPr>
        <w:t>Hợp Đồng Thế Chấp</w:t>
      </w:r>
      <w:r w:rsidR="00103B96" w:rsidRPr="00FA121E">
        <w:rPr>
          <w:lang w:val="vi-VN"/>
        </w:rPr>
        <w:t>.</w:t>
      </w:r>
    </w:p>
    <w:p w14:paraId="2DD39718" w14:textId="77777777" w:rsidR="007C3F13" w:rsidRPr="00FA121E" w:rsidRDefault="007C3F13" w:rsidP="00840937">
      <w:pPr>
        <w:numPr>
          <w:ilvl w:val="0"/>
          <w:numId w:val="4"/>
        </w:numPr>
        <w:spacing w:after="240"/>
        <w:ind w:left="540" w:hanging="540"/>
        <w:jc w:val="both"/>
        <w:rPr>
          <w:b/>
          <w:lang w:val="vi-VN"/>
        </w:rPr>
      </w:pPr>
      <w:r w:rsidRPr="00FA121E">
        <w:rPr>
          <w:b/>
          <w:lang w:val="vi-VN"/>
        </w:rPr>
        <w:t>CÁC ĐIỀU KHOẢN KHÁC</w:t>
      </w:r>
    </w:p>
    <w:p w14:paraId="2DD39719" w14:textId="77777777" w:rsidR="0017246E" w:rsidRPr="00FA121E" w:rsidRDefault="00FE0B3F" w:rsidP="00840937">
      <w:pPr>
        <w:numPr>
          <w:ilvl w:val="1"/>
          <w:numId w:val="6"/>
        </w:numPr>
        <w:spacing w:after="240"/>
        <w:jc w:val="both"/>
        <w:rPr>
          <w:lang w:val="vi-VN"/>
        </w:rPr>
      </w:pPr>
      <w:r w:rsidRPr="00FA121E">
        <w:rPr>
          <w:lang w:val="vi-VN"/>
        </w:rPr>
        <w:t>Các khái niệm</w:t>
      </w:r>
      <w:r w:rsidR="002F205D" w:rsidRPr="00FA121E">
        <w:rPr>
          <w:lang w:val="vi-VN"/>
        </w:rPr>
        <w:t xml:space="preserve"> </w:t>
      </w:r>
      <w:r w:rsidR="0000480D" w:rsidRPr="00FA121E">
        <w:rPr>
          <w:lang w:val="vi-VN"/>
        </w:rPr>
        <w:t>có chữ cái đầu tiên viết hoa</w:t>
      </w:r>
      <w:r w:rsidRPr="00FA121E">
        <w:rPr>
          <w:lang w:val="vi-VN"/>
        </w:rPr>
        <w:t xml:space="preserve"> được </w:t>
      </w:r>
      <w:r w:rsidR="0000480D" w:rsidRPr="00FA121E">
        <w:rPr>
          <w:lang w:val="vi-VN"/>
        </w:rPr>
        <w:t xml:space="preserve">sử dụng trong Phụ lục này, nhưng chưa được định nghĩa trong Phụ lục này, sẽ được tham chiếu trong </w:t>
      </w:r>
      <w:r w:rsidR="005A0855" w:rsidRPr="00FA121E">
        <w:rPr>
          <w:lang w:val="vi-VN"/>
        </w:rPr>
        <w:t>Hợp Đồng Thế Chấp</w:t>
      </w:r>
      <w:r w:rsidR="0000480D" w:rsidRPr="00FA121E">
        <w:rPr>
          <w:lang w:val="vi-VN"/>
        </w:rPr>
        <w:t>.</w:t>
      </w:r>
    </w:p>
    <w:p w14:paraId="2DD3971A" w14:textId="77777777" w:rsidR="002045B0" w:rsidRPr="00FA121E" w:rsidRDefault="00B650D8" w:rsidP="00840937">
      <w:pPr>
        <w:numPr>
          <w:ilvl w:val="1"/>
          <w:numId w:val="6"/>
        </w:numPr>
        <w:spacing w:after="240"/>
        <w:jc w:val="both"/>
        <w:rPr>
          <w:lang w:val="vi-VN"/>
        </w:rPr>
      </w:pPr>
      <w:r w:rsidRPr="00FA121E">
        <w:rPr>
          <w:lang w:val="vi-VN"/>
        </w:rPr>
        <w:t>Phụ l</w:t>
      </w:r>
      <w:r w:rsidR="002D140D" w:rsidRPr="00FA121E">
        <w:rPr>
          <w:lang w:val="vi-VN"/>
        </w:rPr>
        <w:t xml:space="preserve">ục này được ký kết trên cơ sở tự nguyện và là một phần không thể tách rời của </w:t>
      </w:r>
      <w:r w:rsidR="005A0855" w:rsidRPr="00FA121E">
        <w:rPr>
          <w:lang w:val="vi-VN"/>
        </w:rPr>
        <w:t>Hợp Đồng Thế Chấp</w:t>
      </w:r>
      <w:r w:rsidR="002D140D" w:rsidRPr="00FA121E">
        <w:rPr>
          <w:lang w:val="vi-VN"/>
        </w:rPr>
        <w:t xml:space="preserve">. </w:t>
      </w:r>
      <w:r w:rsidR="00462ECE" w:rsidRPr="00FA121E">
        <w:rPr>
          <w:lang w:val="vi-VN"/>
        </w:rPr>
        <w:t>C</w:t>
      </w:r>
      <w:r w:rsidR="002045B0" w:rsidRPr="00FA121E">
        <w:rPr>
          <w:lang w:val="vi-VN"/>
        </w:rPr>
        <w:t xml:space="preserve">ác </w:t>
      </w:r>
      <w:r w:rsidR="00C72072" w:rsidRPr="00FA121E">
        <w:rPr>
          <w:lang w:val="vi-VN"/>
        </w:rPr>
        <w:t xml:space="preserve">nội dung khác quy định tại </w:t>
      </w:r>
      <w:r w:rsidR="005A0855" w:rsidRPr="00FA121E">
        <w:rPr>
          <w:lang w:val="vi-VN"/>
        </w:rPr>
        <w:t>Hợp Đồng Thế Chấp</w:t>
      </w:r>
      <w:r w:rsidR="005B0163" w:rsidRPr="00FA121E">
        <w:rPr>
          <w:lang w:val="vi-VN"/>
        </w:rPr>
        <w:t xml:space="preserve"> </w:t>
      </w:r>
      <w:r w:rsidR="00C72072" w:rsidRPr="00FA121E">
        <w:rPr>
          <w:lang w:val="vi-VN"/>
        </w:rPr>
        <w:t xml:space="preserve">không được đề cập trong Phụ lục này vẫn giữ nguyên giá trị và hiệu lực đối với </w:t>
      </w:r>
      <w:r w:rsidR="00637375" w:rsidRPr="00FA121E">
        <w:rPr>
          <w:lang w:val="vi-VN"/>
        </w:rPr>
        <w:t xml:space="preserve">Bên </w:t>
      </w:r>
      <w:r w:rsidR="005B0163" w:rsidRPr="00FA121E">
        <w:rPr>
          <w:lang w:val="vi-VN"/>
        </w:rPr>
        <w:t>thế chấp</w:t>
      </w:r>
      <w:r w:rsidR="00637375" w:rsidRPr="00FA121E">
        <w:rPr>
          <w:lang w:val="vi-VN"/>
        </w:rPr>
        <w:t xml:space="preserve"> và Bên </w:t>
      </w:r>
      <w:r w:rsidR="005B0163" w:rsidRPr="00FA121E">
        <w:rPr>
          <w:lang w:val="vi-VN"/>
        </w:rPr>
        <w:t>nhận thế chấp</w:t>
      </w:r>
      <w:r w:rsidR="00462ECE" w:rsidRPr="00FA121E">
        <w:rPr>
          <w:lang w:val="vi-VN"/>
        </w:rPr>
        <w:t>.</w:t>
      </w:r>
      <w:r w:rsidR="008C4E1C" w:rsidRPr="00FA121E">
        <w:rPr>
          <w:lang w:val="vi-VN"/>
        </w:rPr>
        <w:t xml:space="preserve"> </w:t>
      </w:r>
    </w:p>
    <w:p w14:paraId="2DD3971B" w14:textId="77777777" w:rsidR="00A05D36" w:rsidRPr="00FA121E" w:rsidRDefault="002045B0" w:rsidP="00840937">
      <w:pPr>
        <w:numPr>
          <w:ilvl w:val="1"/>
          <w:numId w:val="6"/>
        </w:numPr>
        <w:spacing w:after="240"/>
        <w:jc w:val="both"/>
        <w:rPr>
          <w:lang w:val="vi-VN"/>
        </w:rPr>
      </w:pPr>
      <w:r w:rsidRPr="00FA121E">
        <w:rPr>
          <w:lang w:val="vi-VN"/>
        </w:rPr>
        <w:lastRenderedPageBreak/>
        <w:t xml:space="preserve">Phụ </w:t>
      </w:r>
      <w:r w:rsidR="00462ECE" w:rsidRPr="00FA121E">
        <w:rPr>
          <w:lang w:val="vi-VN"/>
        </w:rPr>
        <w:t>l</w:t>
      </w:r>
      <w:r w:rsidRPr="00FA121E">
        <w:rPr>
          <w:lang w:val="vi-VN"/>
        </w:rPr>
        <w:t xml:space="preserve">ục này </w:t>
      </w:r>
      <w:r w:rsidR="00462ECE" w:rsidRPr="00FA121E">
        <w:rPr>
          <w:lang w:val="vi-VN"/>
        </w:rPr>
        <w:t xml:space="preserve">có hiệu lực kể từ ngày ký và </w:t>
      </w:r>
      <w:r w:rsidRPr="00FA121E">
        <w:rPr>
          <w:lang w:val="vi-VN"/>
        </w:rPr>
        <w:t>được lập thành 02</w:t>
      </w:r>
      <w:r w:rsidR="00ED6FA6" w:rsidRPr="00FA121E">
        <w:rPr>
          <w:lang w:val="vi-VN"/>
        </w:rPr>
        <w:t xml:space="preserve"> (hai</w:t>
      </w:r>
      <w:r w:rsidRPr="00FA121E">
        <w:rPr>
          <w:lang w:val="vi-VN"/>
        </w:rPr>
        <w:t>) bản</w:t>
      </w:r>
      <w:r w:rsidR="00ED6FA6" w:rsidRPr="00FA121E">
        <w:rPr>
          <w:lang w:val="vi-VN"/>
        </w:rPr>
        <w:t xml:space="preserve"> có giá trị pháp lý ngang nhau</w:t>
      </w:r>
      <w:r w:rsidRPr="00FA121E">
        <w:rPr>
          <w:lang w:val="vi-VN"/>
        </w:rPr>
        <w:t xml:space="preserve">, </w:t>
      </w:r>
      <w:r w:rsidR="00637375" w:rsidRPr="00FA121E">
        <w:rPr>
          <w:lang w:val="vi-VN"/>
        </w:rPr>
        <w:t xml:space="preserve">Bên </w:t>
      </w:r>
      <w:r w:rsidR="005B0163" w:rsidRPr="00FA121E">
        <w:rPr>
          <w:lang w:val="vi-VN"/>
        </w:rPr>
        <w:t>thế chấp</w:t>
      </w:r>
      <w:r w:rsidR="00637375" w:rsidRPr="00FA121E">
        <w:rPr>
          <w:lang w:val="vi-VN"/>
        </w:rPr>
        <w:t xml:space="preserve"> </w:t>
      </w:r>
      <w:r w:rsidRPr="00FA121E">
        <w:rPr>
          <w:lang w:val="vi-VN"/>
        </w:rPr>
        <w:t>giữ 01</w:t>
      </w:r>
      <w:r w:rsidR="00772F82" w:rsidRPr="00FA121E">
        <w:rPr>
          <w:lang w:val="vi-VN"/>
        </w:rPr>
        <w:t xml:space="preserve"> </w:t>
      </w:r>
      <w:r w:rsidR="00F47494" w:rsidRPr="00FA121E">
        <w:rPr>
          <w:lang w:val="vi-VN"/>
        </w:rPr>
        <w:t>(một</w:t>
      </w:r>
      <w:r w:rsidRPr="00FA121E">
        <w:rPr>
          <w:lang w:val="vi-VN"/>
        </w:rPr>
        <w:t xml:space="preserve">) </w:t>
      </w:r>
      <w:r w:rsidR="00637375" w:rsidRPr="00FA121E">
        <w:rPr>
          <w:lang w:val="vi-VN"/>
        </w:rPr>
        <w:t xml:space="preserve">bản và Bên </w:t>
      </w:r>
      <w:r w:rsidR="005B0163" w:rsidRPr="00FA121E">
        <w:rPr>
          <w:lang w:val="vi-VN"/>
        </w:rPr>
        <w:t>nhận thế chấp</w:t>
      </w:r>
      <w:r w:rsidR="00637375" w:rsidRPr="00FA121E">
        <w:rPr>
          <w:lang w:val="vi-VN"/>
        </w:rPr>
        <w:t xml:space="preserve"> giữ </w:t>
      </w:r>
      <w:r w:rsidR="00F47494" w:rsidRPr="00FA121E">
        <w:rPr>
          <w:lang w:val="vi-VN"/>
        </w:rPr>
        <w:t>01</w:t>
      </w:r>
      <w:r w:rsidR="00772F82" w:rsidRPr="00FA121E">
        <w:rPr>
          <w:lang w:val="vi-VN"/>
        </w:rPr>
        <w:t xml:space="preserve"> </w:t>
      </w:r>
      <w:r w:rsidR="00F47494" w:rsidRPr="00FA121E">
        <w:rPr>
          <w:lang w:val="vi-VN"/>
        </w:rPr>
        <w:t>(một)</w:t>
      </w:r>
      <w:r w:rsidR="00637375" w:rsidRPr="00FA121E">
        <w:rPr>
          <w:lang w:val="vi-VN"/>
        </w:rPr>
        <w:t xml:space="preserve"> </w:t>
      </w:r>
      <w:r w:rsidRPr="00FA121E">
        <w:rPr>
          <w:lang w:val="vi-VN"/>
        </w:rPr>
        <w:t>bản.</w:t>
      </w:r>
    </w:p>
    <w:p w14:paraId="2DD3971C" w14:textId="77777777" w:rsidR="00124D37" w:rsidRPr="00FA121E" w:rsidRDefault="00124D37" w:rsidP="00124D37">
      <w:pPr>
        <w:spacing w:before="60" w:after="60"/>
        <w:ind w:left="720"/>
        <w:jc w:val="both"/>
        <w:rPr>
          <w:lang w:val="vi-VN"/>
        </w:rPr>
      </w:pPr>
    </w:p>
    <w:tbl>
      <w:tblPr>
        <w:tblW w:w="0" w:type="auto"/>
        <w:tblInd w:w="468" w:type="dxa"/>
        <w:tblLook w:val="04A0" w:firstRow="1" w:lastRow="0" w:firstColumn="1" w:lastColumn="0" w:noHBand="0" w:noVBand="1"/>
      </w:tblPr>
      <w:tblGrid>
        <w:gridCol w:w="4392"/>
        <w:gridCol w:w="5913"/>
      </w:tblGrid>
      <w:tr w:rsidR="00BC2571" w:rsidRPr="00FA121E" w14:paraId="2DD39724" w14:textId="77777777" w:rsidTr="00B65049">
        <w:trPr>
          <w:trHeight w:val="1644"/>
        </w:trPr>
        <w:tc>
          <w:tcPr>
            <w:tcW w:w="4392" w:type="dxa"/>
          </w:tcPr>
          <w:p w14:paraId="2DD3971D" w14:textId="77777777" w:rsidR="00BC2571" w:rsidRPr="00FA121E" w:rsidRDefault="00124D37" w:rsidP="007B3F6D">
            <w:pPr>
              <w:tabs>
                <w:tab w:val="left" w:pos="360"/>
              </w:tabs>
              <w:spacing w:before="60" w:after="60"/>
              <w:jc w:val="center"/>
              <w:rPr>
                <w:b/>
                <w:lang w:val="vi-VN"/>
              </w:rPr>
            </w:pPr>
            <w:r w:rsidRPr="00FA121E">
              <w:rPr>
                <w:b/>
                <w:lang w:val="vi-VN"/>
              </w:rPr>
              <w:t xml:space="preserve">Đại diện </w:t>
            </w:r>
            <w:r w:rsidR="00BC2571" w:rsidRPr="00FA121E">
              <w:rPr>
                <w:b/>
                <w:lang w:val="vi-VN"/>
              </w:rPr>
              <w:t>Bên</w:t>
            </w:r>
            <w:r w:rsidRPr="00FA121E">
              <w:rPr>
                <w:b/>
                <w:lang w:val="vi-VN"/>
              </w:rPr>
              <w:t xml:space="preserve"> nhận</w:t>
            </w:r>
            <w:r w:rsidR="00BC2571" w:rsidRPr="00FA121E">
              <w:rPr>
                <w:b/>
                <w:lang w:val="vi-VN"/>
              </w:rPr>
              <w:t xml:space="preserve"> </w:t>
            </w:r>
            <w:r w:rsidR="005B0163" w:rsidRPr="00FA121E">
              <w:rPr>
                <w:b/>
                <w:lang w:val="vi-VN"/>
              </w:rPr>
              <w:t>thế chấp</w:t>
            </w:r>
          </w:p>
          <w:p w14:paraId="2DD3971E" w14:textId="77777777" w:rsidR="00BC2571" w:rsidRPr="00FA121E" w:rsidRDefault="00BC2571" w:rsidP="007B3F6D">
            <w:pPr>
              <w:tabs>
                <w:tab w:val="left" w:pos="360"/>
              </w:tabs>
              <w:spacing w:before="60" w:after="60"/>
              <w:jc w:val="center"/>
              <w:rPr>
                <w:lang w:val="vi-VN"/>
              </w:rPr>
            </w:pPr>
            <w:bookmarkStart w:id="0" w:name="_GoBack"/>
            <w:bookmarkEnd w:id="0"/>
          </w:p>
        </w:tc>
        <w:tc>
          <w:tcPr>
            <w:tcW w:w="5913" w:type="dxa"/>
          </w:tcPr>
          <w:p w14:paraId="2DD3971F" w14:textId="77777777" w:rsidR="00BC2571" w:rsidRPr="00FA121E" w:rsidRDefault="00BC2571" w:rsidP="007B3F6D">
            <w:pPr>
              <w:tabs>
                <w:tab w:val="left" w:pos="360"/>
              </w:tabs>
              <w:spacing w:before="60" w:after="60"/>
              <w:jc w:val="center"/>
              <w:rPr>
                <w:b/>
                <w:lang w:val="vi-VN"/>
              </w:rPr>
            </w:pPr>
            <w:r w:rsidRPr="00FA121E">
              <w:rPr>
                <w:b/>
                <w:lang w:val="vi-VN"/>
              </w:rPr>
              <w:t xml:space="preserve">Bên </w:t>
            </w:r>
            <w:r w:rsidR="005B0163" w:rsidRPr="00FA121E">
              <w:rPr>
                <w:b/>
                <w:lang w:val="vi-VN"/>
              </w:rPr>
              <w:t>thế chấp</w:t>
            </w:r>
          </w:p>
          <w:p w14:paraId="2DD39720" w14:textId="77777777" w:rsidR="00124D37" w:rsidRPr="00FA121E" w:rsidRDefault="00124D37" w:rsidP="007B3F6D">
            <w:pPr>
              <w:tabs>
                <w:tab w:val="left" w:pos="360"/>
              </w:tabs>
              <w:spacing w:before="60" w:after="60"/>
              <w:jc w:val="center"/>
              <w:rPr>
                <w:i/>
                <w:lang w:val="vi-VN"/>
              </w:rPr>
            </w:pPr>
            <w:r w:rsidRPr="00FA121E">
              <w:rPr>
                <w:i/>
                <w:lang w:val="vi-VN"/>
              </w:rPr>
              <w:t>(Ký và ghi rõ họ tên)</w:t>
            </w:r>
          </w:p>
          <w:p w14:paraId="2DD39721" w14:textId="77777777" w:rsidR="00BC2571" w:rsidRDefault="00BC2571" w:rsidP="007B3F6D">
            <w:pPr>
              <w:tabs>
                <w:tab w:val="left" w:pos="360"/>
              </w:tabs>
              <w:spacing w:before="60" w:after="60"/>
              <w:jc w:val="center"/>
              <w:rPr>
                <w:b/>
                <w:sz w:val="30"/>
                <w:lang w:val="vi-VN"/>
              </w:rPr>
            </w:pPr>
          </w:p>
          <w:p w14:paraId="3D015707" w14:textId="77777777" w:rsidR="00EE75E9" w:rsidRDefault="00EE75E9" w:rsidP="007B3F6D">
            <w:pPr>
              <w:tabs>
                <w:tab w:val="left" w:pos="360"/>
              </w:tabs>
              <w:spacing w:before="60" w:after="60"/>
              <w:jc w:val="center"/>
              <w:rPr>
                <w:b/>
                <w:sz w:val="30"/>
                <w:lang w:val="vi-VN"/>
              </w:rPr>
            </w:pPr>
          </w:p>
          <w:p w14:paraId="77746E46" w14:textId="6901AEB0" w:rsidR="00EE75E9" w:rsidRPr="00EE75E9" w:rsidRDefault="00EE75E9" w:rsidP="007B3F6D">
            <w:pPr>
              <w:tabs>
                <w:tab w:val="left" w:pos="360"/>
              </w:tabs>
              <w:spacing w:before="60" w:after="60"/>
              <w:jc w:val="center"/>
              <w:rPr>
                <w:b/>
                <w:sz w:val="30"/>
                <w:lang w:val="vi-VN"/>
              </w:rPr>
            </w:pPr>
            <w:r w:rsidRPr="00EE75E9">
              <w:rPr>
                <w:b/>
              </w:rPr>
              <w:fldChar w:fldCharType="begin"/>
            </w:r>
            <w:r w:rsidRPr="00EE75E9">
              <w:rPr>
                <w:b/>
              </w:rPr>
              <w:instrText xml:space="preserve"> MERGEFIELD ${c.fullName} \* MERGEFORMAT </w:instrText>
            </w:r>
            <w:r w:rsidRPr="00EE75E9">
              <w:rPr>
                <w:b/>
              </w:rPr>
              <w:fldChar w:fldCharType="separate"/>
            </w:r>
            <w:r w:rsidRPr="00EE75E9">
              <w:rPr>
                <w:b/>
                <w:noProof/>
              </w:rPr>
              <w:t>«${c.fullName}»</w:t>
            </w:r>
            <w:r w:rsidRPr="00EE75E9">
              <w:rPr>
                <w:b/>
              </w:rPr>
              <w:fldChar w:fldCharType="end"/>
            </w:r>
          </w:p>
          <w:p w14:paraId="2DD39722" w14:textId="77777777" w:rsidR="00BC2571" w:rsidRPr="00FA121E" w:rsidRDefault="00BC2571" w:rsidP="007B3F6D">
            <w:pPr>
              <w:tabs>
                <w:tab w:val="left" w:pos="360"/>
              </w:tabs>
              <w:spacing w:before="60" w:after="60"/>
              <w:jc w:val="center"/>
              <w:rPr>
                <w:b/>
                <w:lang w:val="vi-VN"/>
              </w:rPr>
            </w:pPr>
          </w:p>
          <w:p w14:paraId="2DD39723" w14:textId="77777777" w:rsidR="00BC2571" w:rsidRPr="00FA121E" w:rsidRDefault="00BC2571" w:rsidP="007B3F6D">
            <w:pPr>
              <w:tabs>
                <w:tab w:val="left" w:pos="360"/>
              </w:tabs>
              <w:spacing w:before="60" w:after="60"/>
              <w:jc w:val="center"/>
              <w:rPr>
                <w:lang w:val="vi-VN"/>
              </w:rPr>
            </w:pPr>
          </w:p>
        </w:tc>
      </w:tr>
    </w:tbl>
    <w:p w14:paraId="2DD39725" w14:textId="77777777" w:rsidR="00441873" w:rsidRPr="00FA121E" w:rsidRDefault="00441873" w:rsidP="00794EDA">
      <w:pPr>
        <w:spacing w:before="60" w:after="60"/>
        <w:jc w:val="both"/>
        <w:rPr>
          <w:lang w:val="vi-VN"/>
        </w:rPr>
      </w:pPr>
    </w:p>
    <w:sectPr w:rsidR="00441873" w:rsidRPr="00FA121E" w:rsidSect="00E25158">
      <w:headerReference w:type="default" r:id="rId11"/>
      <w:footerReference w:type="default" r:id="rId12"/>
      <w:pgSz w:w="12240" w:h="15840" w:code="1"/>
      <w:pgMar w:top="1440" w:right="720" w:bottom="180" w:left="720" w:header="446" w:footer="2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A755C" w14:textId="77777777" w:rsidR="00ED2F25" w:rsidRDefault="00ED2F25" w:rsidP="00B650D8">
      <w:r>
        <w:separator/>
      </w:r>
    </w:p>
  </w:endnote>
  <w:endnote w:type="continuationSeparator" w:id="0">
    <w:p w14:paraId="6CECFC50" w14:textId="77777777" w:rsidR="00ED2F25" w:rsidRDefault="00ED2F25" w:rsidP="00B6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3972B" w14:textId="77777777" w:rsidR="00124D37" w:rsidRPr="00124D37" w:rsidRDefault="008B5D70">
    <w:pPr>
      <w:pStyle w:val="Footer"/>
      <w:jc w:val="right"/>
    </w:pPr>
    <w:r>
      <w:rPr>
        <w:noProof/>
      </w:rPr>
      <w:drawing>
        <wp:anchor distT="0" distB="0" distL="114300" distR="114300" simplePos="0" relativeHeight="251658752" behindDoc="0" locked="0" layoutInCell="1" allowOverlap="1" wp14:anchorId="2DD39731" wp14:editId="4079302B">
          <wp:simplePos x="0" y="0"/>
          <wp:positionH relativeFrom="page">
            <wp:posOffset>-12700</wp:posOffset>
          </wp:positionH>
          <wp:positionV relativeFrom="paragraph">
            <wp:posOffset>203835</wp:posOffset>
          </wp:positionV>
          <wp:extent cx="7771130" cy="466090"/>
          <wp:effectExtent l="0" t="0" r="1270" b="0"/>
          <wp:wrapThrough wrapText="bothSides">
            <wp:wrapPolygon edited="0">
              <wp:start x="0" y="0"/>
              <wp:lineTo x="0" y="20305"/>
              <wp:lineTo x="21551" y="20305"/>
              <wp:lineTo x="21551" y="0"/>
              <wp:lineTo x="0" y="0"/>
            </wp:wrapPolygon>
          </wp:wrapThrough>
          <wp:docPr id="47" name="Picture 47" descr="letter head HDF (du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head HDF (duo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1130" cy="466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D37" w:rsidRPr="00124D37">
      <w:fldChar w:fldCharType="begin"/>
    </w:r>
    <w:r w:rsidR="00124D37" w:rsidRPr="00124D37">
      <w:instrText xml:space="preserve"> PAGE   \* MERGEFORMAT </w:instrText>
    </w:r>
    <w:r w:rsidR="00124D37" w:rsidRPr="00124D37">
      <w:fldChar w:fldCharType="separate"/>
    </w:r>
    <w:r w:rsidR="00B54360">
      <w:rPr>
        <w:noProof/>
      </w:rPr>
      <w:t>3</w:t>
    </w:r>
    <w:r w:rsidR="00124D37" w:rsidRPr="00124D37">
      <w:fldChar w:fldCharType="end"/>
    </w:r>
  </w:p>
  <w:p w14:paraId="2DD3972C" w14:textId="77777777" w:rsidR="00124D37" w:rsidRDefault="00124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6BF9F" w14:textId="77777777" w:rsidR="00ED2F25" w:rsidRDefault="00ED2F25" w:rsidP="00B650D8">
      <w:r>
        <w:separator/>
      </w:r>
    </w:p>
  </w:footnote>
  <w:footnote w:type="continuationSeparator" w:id="0">
    <w:p w14:paraId="353BD2B3" w14:textId="77777777" w:rsidR="00ED2F25" w:rsidRDefault="00ED2F25" w:rsidP="00B6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3972A" w14:textId="1EA9BFB4" w:rsidR="0017246E" w:rsidRDefault="00E25158" w:rsidP="005B0163">
    <w:r>
      <w:rPr>
        <w:noProof/>
      </w:rPr>
      <w:drawing>
        <wp:anchor distT="0" distB="0" distL="114300" distR="114300" simplePos="0" relativeHeight="251660800" behindDoc="0" locked="0" layoutInCell="1" allowOverlap="1" wp14:anchorId="381A0269" wp14:editId="1F6900BD">
          <wp:simplePos x="0" y="0"/>
          <wp:positionH relativeFrom="margin">
            <wp:align>left</wp:align>
          </wp:positionH>
          <wp:positionV relativeFrom="paragraph">
            <wp:posOffset>-156238</wp:posOffset>
          </wp:positionV>
          <wp:extent cx="1652905" cy="508635"/>
          <wp:effectExtent l="0" t="0" r="4445" b="5715"/>
          <wp:wrapThrough wrapText="bothSides">
            <wp:wrapPolygon edited="0">
              <wp:start x="0" y="0"/>
              <wp:lineTo x="0" y="21034"/>
              <wp:lineTo x="21409" y="21034"/>
              <wp:lineTo x="21409"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31" cy="5110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mc:AlternateContent>
        <mc:Choice Requires="wps">
          <w:drawing>
            <wp:anchor distT="0" distB="0" distL="114300" distR="114300" simplePos="0" relativeHeight="251657728" behindDoc="0" locked="0" layoutInCell="1" allowOverlap="1" wp14:anchorId="2DD3972F" wp14:editId="713D4C17">
              <wp:simplePos x="0" y="0"/>
              <wp:positionH relativeFrom="margin">
                <wp:align>right</wp:align>
              </wp:positionH>
              <wp:positionV relativeFrom="paragraph">
                <wp:posOffset>-108972</wp:posOffset>
              </wp:positionV>
              <wp:extent cx="2661285" cy="434975"/>
              <wp:effectExtent l="0" t="0" r="24765" b="2222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434975"/>
                      </a:xfrm>
                      <a:prstGeom prst="rect">
                        <a:avLst/>
                      </a:prstGeom>
                      <a:solidFill>
                        <a:srgbClr val="FFFFFF"/>
                      </a:solidFill>
                      <a:ln w="9525">
                        <a:solidFill>
                          <a:srgbClr val="000000"/>
                        </a:solidFill>
                        <a:miter lim="800000"/>
                        <a:headEnd/>
                        <a:tailEnd/>
                      </a:ln>
                    </wps:spPr>
                    <wps:txbx>
                      <w:txbxContent>
                        <w:p w14:paraId="2DD39733" w14:textId="77777777" w:rsidR="00676854" w:rsidRPr="005B0163" w:rsidRDefault="00676854" w:rsidP="00676854">
                          <w:pPr>
                            <w:pStyle w:val="Header"/>
                            <w:jc w:val="center"/>
                            <w:rPr>
                              <w:sz w:val="20"/>
                              <w:szCs w:val="20"/>
                            </w:rPr>
                          </w:pPr>
                          <w:r w:rsidRPr="005B0163">
                            <w:rPr>
                              <w:sz w:val="20"/>
                              <w:szCs w:val="20"/>
                            </w:rPr>
                            <w:t>Mẫu: MC_</w:t>
                          </w:r>
                          <w:r w:rsidR="00266694" w:rsidRPr="005B0163">
                            <w:rPr>
                              <w:sz w:val="20"/>
                              <w:szCs w:val="20"/>
                            </w:rPr>
                            <w:t>HDTC_</w:t>
                          </w:r>
                          <w:r w:rsidRPr="005B0163">
                            <w:rPr>
                              <w:sz w:val="20"/>
                              <w:szCs w:val="20"/>
                            </w:rPr>
                            <w:t>PL</w:t>
                          </w:r>
                          <w:r w:rsidR="00266694" w:rsidRPr="005B0163">
                            <w:rPr>
                              <w:sz w:val="20"/>
                              <w:szCs w:val="20"/>
                            </w:rPr>
                            <w:t>1</w:t>
                          </w:r>
                        </w:p>
                        <w:p w14:paraId="2DD39734" w14:textId="56B641F6" w:rsidR="00676854" w:rsidRPr="005B0163" w:rsidRDefault="00676854" w:rsidP="00676854">
                          <w:pPr>
                            <w:pStyle w:val="Header"/>
                            <w:jc w:val="center"/>
                            <w:rPr>
                              <w:sz w:val="20"/>
                              <w:szCs w:val="20"/>
                            </w:rPr>
                          </w:pPr>
                          <w:r w:rsidRPr="005B0163">
                            <w:rPr>
                              <w:sz w:val="20"/>
                              <w:szCs w:val="20"/>
                            </w:rPr>
                            <w:t xml:space="preserve">Áp dụng cho </w:t>
                          </w:r>
                          <w:r w:rsidR="00266694" w:rsidRPr="005B0163">
                            <w:rPr>
                              <w:sz w:val="20"/>
                              <w:szCs w:val="20"/>
                            </w:rPr>
                            <w:t xml:space="preserve">scheme </w:t>
                          </w:r>
                          <w:r w:rsidR="00EE75E9" w:rsidRPr="00EE75E9">
                            <w:rPr>
                              <w:sz w:val="20"/>
                              <w:szCs w:val="20"/>
                            </w:rPr>
                            <w:fldChar w:fldCharType="begin"/>
                          </w:r>
                          <w:r w:rsidR="00EE75E9" w:rsidRPr="00EE75E9">
                            <w:rPr>
                              <w:sz w:val="20"/>
                              <w:szCs w:val="20"/>
                            </w:rPr>
                            <w:instrText xml:space="preserve"> MERGEFIELD ${c.sCode} \* MERGEFORMAT </w:instrText>
                          </w:r>
                          <w:r w:rsidR="00EE75E9" w:rsidRPr="00EE75E9">
                            <w:rPr>
                              <w:sz w:val="20"/>
                              <w:szCs w:val="20"/>
                            </w:rPr>
                            <w:fldChar w:fldCharType="separate"/>
                          </w:r>
                          <w:r w:rsidR="00EE75E9" w:rsidRPr="00EE75E9">
                            <w:rPr>
                              <w:noProof/>
                              <w:sz w:val="20"/>
                              <w:szCs w:val="20"/>
                            </w:rPr>
                            <w:t>«${c.sCode}»</w:t>
                          </w:r>
                          <w:r w:rsidR="00EE75E9" w:rsidRPr="00EE75E9">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3972F" id="Rectangle 7" o:spid="_x0000_s1026" style="position:absolute;margin-left:158.35pt;margin-top:-8.6pt;width:209.55pt;height:34.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">
              <v:textbox>
                <w:txbxContent>
                  <w:p w14:paraId="2DD39733" w14:textId="77777777" w:rsidR="00676854" w:rsidRPr="005B0163" w:rsidRDefault="00676854" w:rsidP="00676854">
                    <w:pPr>
                      <w:pStyle w:val="Header"/>
                      <w:jc w:val="center"/>
                      <w:rPr>
                        <w:sz w:val="20"/>
                        <w:szCs w:val="20"/>
                      </w:rPr>
                    </w:pPr>
                    <w:r w:rsidRPr="005B0163">
                      <w:rPr>
                        <w:sz w:val="20"/>
                        <w:szCs w:val="20"/>
                      </w:rPr>
                      <w:t>Mẫu: MC_</w:t>
                    </w:r>
                    <w:r w:rsidR="00266694" w:rsidRPr="005B0163">
                      <w:rPr>
                        <w:sz w:val="20"/>
                        <w:szCs w:val="20"/>
                      </w:rPr>
                      <w:t>HDTC_</w:t>
                    </w:r>
                    <w:r w:rsidRPr="005B0163">
                      <w:rPr>
                        <w:sz w:val="20"/>
                        <w:szCs w:val="20"/>
                      </w:rPr>
                      <w:t>PL</w:t>
                    </w:r>
                    <w:r w:rsidR="00266694" w:rsidRPr="005B0163">
                      <w:rPr>
                        <w:sz w:val="20"/>
                        <w:szCs w:val="20"/>
                      </w:rPr>
                      <w:t>1</w:t>
                    </w:r>
                  </w:p>
                  <w:p w14:paraId="2DD39734" w14:textId="56B641F6" w:rsidR="00676854" w:rsidRPr="005B0163" w:rsidRDefault="00676854" w:rsidP="00676854">
                    <w:pPr>
                      <w:pStyle w:val="Header"/>
                      <w:jc w:val="center"/>
                      <w:rPr>
                        <w:sz w:val="20"/>
                        <w:szCs w:val="20"/>
                      </w:rPr>
                    </w:pPr>
                    <w:r w:rsidRPr="005B0163">
                      <w:rPr>
                        <w:sz w:val="20"/>
                        <w:szCs w:val="20"/>
                      </w:rPr>
                      <w:t xml:space="preserve">Áp dụng cho </w:t>
                    </w:r>
                    <w:r w:rsidR="00266694" w:rsidRPr="005B0163">
                      <w:rPr>
                        <w:sz w:val="20"/>
                        <w:szCs w:val="20"/>
                      </w:rPr>
                      <w:t xml:space="preserve">scheme </w:t>
                    </w:r>
                    <w:r w:rsidR="00EE75E9" w:rsidRPr="00EE75E9">
                      <w:rPr>
                        <w:sz w:val="20"/>
                        <w:szCs w:val="20"/>
                      </w:rPr>
                      <w:fldChar w:fldCharType="begin"/>
                    </w:r>
                    <w:r w:rsidR="00EE75E9" w:rsidRPr="00EE75E9">
                      <w:rPr>
                        <w:sz w:val="20"/>
                        <w:szCs w:val="20"/>
                      </w:rPr>
                      <w:instrText xml:space="preserve"> MERGEFIELD ${c.sCode} \* MERGEFORMAT </w:instrText>
                    </w:r>
                    <w:r w:rsidR="00EE75E9" w:rsidRPr="00EE75E9">
                      <w:rPr>
                        <w:sz w:val="20"/>
                        <w:szCs w:val="20"/>
                      </w:rPr>
                      <w:fldChar w:fldCharType="separate"/>
                    </w:r>
                    <w:r w:rsidR="00EE75E9" w:rsidRPr="00EE75E9">
                      <w:rPr>
                        <w:noProof/>
                        <w:sz w:val="20"/>
                        <w:szCs w:val="20"/>
                      </w:rPr>
                      <w:t>«${c.sCode}»</w:t>
                    </w:r>
                    <w:r w:rsidR="00EE75E9" w:rsidRPr="00EE75E9">
                      <w:rPr>
                        <w:sz w:val="20"/>
                        <w:szCs w:val="20"/>
                      </w:rPr>
                      <w:fldChar w:fldCharType="end"/>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2599"/>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9B3A2E"/>
    <w:multiLevelType w:val="hybridMultilevel"/>
    <w:tmpl w:val="D272E722"/>
    <w:lvl w:ilvl="0" w:tplc="911A1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E102D"/>
    <w:multiLevelType w:val="hybridMultilevel"/>
    <w:tmpl w:val="8E20FFF6"/>
    <w:lvl w:ilvl="0" w:tplc="0409000F">
      <w:start w:val="1"/>
      <w:numFmt w:val="decimal"/>
      <w:lvlText w:val="%1."/>
      <w:lvlJc w:val="left"/>
      <w:pPr>
        <w:tabs>
          <w:tab w:val="num" w:pos="720"/>
        </w:tabs>
        <w:ind w:left="720" w:hanging="360"/>
      </w:pPr>
      <w:rPr>
        <w:rFonts w:hint="default"/>
      </w:rPr>
    </w:lvl>
    <w:lvl w:ilvl="1" w:tplc="4B6AA6D4">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DD1D46"/>
    <w:multiLevelType w:val="hybridMultilevel"/>
    <w:tmpl w:val="9BE0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45ABC"/>
    <w:multiLevelType w:val="multilevel"/>
    <w:tmpl w:val="A7E0E8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413D9F"/>
    <w:multiLevelType w:val="multilevel"/>
    <w:tmpl w:val="6682E940"/>
    <w:lvl w:ilvl="0">
      <w:start w:val="3"/>
      <w:numFmt w:val="decimal"/>
      <w:lvlText w:val="%1."/>
      <w:lvlJc w:val="left"/>
      <w:pPr>
        <w:ind w:left="540" w:hanging="540"/>
      </w:pPr>
      <w:rPr>
        <w:rFonts w:hint="default"/>
        <w:b/>
      </w:rPr>
    </w:lvl>
    <w:lvl w:ilvl="1">
      <w:start w:val="1"/>
      <w:numFmt w:val="decimal"/>
      <w:lvlText w:val="2.%2."/>
      <w:lvlJc w:val="left"/>
      <w:pPr>
        <w:ind w:left="540" w:hanging="540"/>
      </w:pPr>
      <w:rPr>
        <w:rFonts w:hint="default"/>
        <w:b w:val="0"/>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7F786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B0"/>
    <w:rsid w:val="0000480D"/>
    <w:rsid w:val="000118C0"/>
    <w:rsid w:val="00015C00"/>
    <w:rsid w:val="00040050"/>
    <w:rsid w:val="00043D74"/>
    <w:rsid w:val="00046976"/>
    <w:rsid w:val="0005071C"/>
    <w:rsid w:val="0005526B"/>
    <w:rsid w:val="00057F9C"/>
    <w:rsid w:val="0006180B"/>
    <w:rsid w:val="000705B7"/>
    <w:rsid w:val="000918DA"/>
    <w:rsid w:val="000D4A3D"/>
    <w:rsid w:val="00103B96"/>
    <w:rsid w:val="00116236"/>
    <w:rsid w:val="00124D37"/>
    <w:rsid w:val="001414C6"/>
    <w:rsid w:val="0015082F"/>
    <w:rsid w:val="001523ED"/>
    <w:rsid w:val="00154184"/>
    <w:rsid w:val="00156A8F"/>
    <w:rsid w:val="0017246E"/>
    <w:rsid w:val="001953DB"/>
    <w:rsid w:val="001B449A"/>
    <w:rsid w:val="001C41E2"/>
    <w:rsid w:val="002045B0"/>
    <w:rsid w:val="002100BD"/>
    <w:rsid w:val="00211160"/>
    <w:rsid w:val="002115E9"/>
    <w:rsid w:val="00221EA5"/>
    <w:rsid w:val="00223A3D"/>
    <w:rsid w:val="00241D65"/>
    <w:rsid w:val="00263C25"/>
    <w:rsid w:val="00266694"/>
    <w:rsid w:val="002813B5"/>
    <w:rsid w:val="00297F8F"/>
    <w:rsid w:val="002D140D"/>
    <w:rsid w:val="002E27E9"/>
    <w:rsid w:val="002E43CB"/>
    <w:rsid w:val="002F205D"/>
    <w:rsid w:val="00347B00"/>
    <w:rsid w:val="00354C8B"/>
    <w:rsid w:val="003922FA"/>
    <w:rsid w:val="00395486"/>
    <w:rsid w:val="003B00CF"/>
    <w:rsid w:val="003C3551"/>
    <w:rsid w:val="003D0BDF"/>
    <w:rsid w:val="003D2693"/>
    <w:rsid w:val="003E2031"/>
    <w:rsid w:val="003E24E5"/>
    <w:rsid w:val="003E65AF"/>
    <w:rsid w:val="003E6E61"/>
    <w:rsid w:val="00407DCF"/>
    <w:rsid w:val="00413162"/>
    <w:rsid w:val="00441873"/>
    <w:rsid w:val="0044664D"/>
    <w:rsid w:val="00462ECE"/>
    <w:rsid w:val="004951D1"/>
    <w:rsid w:val="004A6379"/>
    <w:rsid w:val="004A637C"/>
    <w:rsid w:val="004B2BBC"/>
    <w:rsid w:val="004B2EB6"/>
    <w:rsid w:val="004F6367"/>
    <w:rsid w:val="00526147"/>
    <w:rsid w:val="0053465C"/>
    <w:rsid w:val="00547D0A"/>
    <w:rsid w:val="00557833"/>
    <w:rsid w:val="00566B7F"/>
    <w:rsid w:val="00592D08"/>
    <w:rsid w:val="005A0855"/>
    <w:rsid w:val="005B0163"/>
    <w:rsid w:val="005B560C"/>
    <w:rsid w:val="005D7094"/>
    <w:rsid w:val="005D7B53"/>
    <w:rsid w:val="005E52DE"/>
    <w:rsid w:val="00600DAB"/>
    <w:rsid w:val="00637375"/>
    <w:rsid w:val="00640341"/>
    <w:rsid w:val="00665FD1"/>
    <w:rsid w:val="00674A54"/>
    <w:rsid w:val="00676854"/>
    <w:rsid w:val="00686B31"/>
    <w:rsid w:val="006B3956"/>
    <w:rsid w:val="006B6479"/>
    <w:rsid w:val="006C3C4A"/>
    <w:rsid w:val="006C4E11"/>
    <w:rsid w:val="006C7924"/>
    <w:rsid w:val="006F1DEE"/>
    <w:rsid w:val="006F2487"/>
    <w:rsid w:val="00755334"/>
    <w:rsid w:val="007567F5"/>
    <w:rsid w:val="00772F82"/>
    <w:rsid w:val="00773406"/>
    <w:rsid w:val="00774F38"/>
    <w:rsid w:val="00791A14"/>
    <w:rsid w:val="00794EDA"/>
    <w:rsid w:val="007A0411"/>
    <w:rsid w:val="007A09FA"/>
    <w:rsid w:val="007B3F6D"/>
    <w:rsid w:val="007C3F13"/>
    <w:rsid w:val="007D1F0D"/>
    <w:rsid w:val="007E1B11"/>
    <w:rsid w:val="007E4BDA"/>
    <w:rsid w:val="007F6BC8"/>
    <w:rsid w:val="00802016"/>
    <w:rsid w:val="00817F77"/>
    <w:rsid w:val="00821C59"/>
    <w:rsid w:val="00821EDB"/>
    <w:rsid w:val="00824741"/>
    <w:rsid w:val="00840937"/>
    <w:rsid w:val="00895D22"/>
    <w:rsid w:val="008A041A"/>
    <w:rsid w:val="008A44B8"/>
    <w:rsid w:val="008B5D70"/>
    <w:rsid w:val="008C219A"/>
    <w:rsid w:val="008C2BAA"/>
    <w:rsid w:val="008C4E1C"/>
    <w:rsid w:val="008D1D1B"/>
    <w:rsid w:val="008D3284"/>
    <w:rsid w:val="008E0D84"/>
    <w:rsid w:val="00913118"/>
    <w:rsid w:val="0092432B"/>
    <w:rsid w:val="00931D51"/>
    <w:rsid w:val="00933069"/>
    <w:rsid w:val="00934FEA"/>
    <w:rsid w:val="00936F3B"/>
    <w:rsid w:val="00953B22"/>
    <w:rsid w:val="0095460E"/>
    <w:rsid w:val="009870DC"/>
    <w:rsid w:val="009B3A6F"/>
    <w:rsid w:val="009F0751"/>
    <w:rsid w:val="00A034FD"/>
    <w:rsid w:val="00A05D36"/>
    <w:rsid w:val="00A15915"/>
    <w:rsid w:val="00A36D0C"/>
    <w:rsid w:val="00A74851"/>
    <w:rsid w:val="00A75066"/>
    <w:rsid w:val="00A86810"/>
    <w:rsid w:val="00AA72A4"/>
    <w:rsid w:val="00AB3BED"/>
    <w:rsid w:val="00AE5822"/>
    <w:rsid w:val="00AE6209"/>
    <w:rsid w:val="00AE6702"/>
    <w:rsid w:val="00B2431C"/>
    <w:rsid w:val="00B27E44"/>
    <w:rsid w:val="00B427D6"/>
    <w:rsid w:val="00B444F2"/>
    <w:rsid w:val="00B54360"/>
    <w:rsid w:val="00B65049"/>
    <w:rsid w:val="00B650D8"/>
    <w:rsid w:val="00B66629"/>
    <w:rsid w:val="00B92C7A"/>
    <w:rsid w:val="00BB117B"/>
    <w:rsid w:val="00BC2571"/>
    <w:rsid w:val="00BF1064"/>
    <w:rsid w:val="00BF6E59"/>
    <w:rsid w:val="00C0665F"/>
    <w:rsid w:val="00C47754"/>
    <w:rsid w:val="00C72072"/>
    <w:rsid w:val="00C80F7F"/>
    <w:rsid w:val="00C82FED"/>
    <w:rsid w:val="00CA164A"/>
    <w:rsid w:val="00CA4FD3"/>
    <w:rsid w:val="00CC4C5D"/>
    <w:rsid w:val="00CD6D91"/>
    <w:rsid w:val="00D01535"/>
    <w:rsid w:val="00D137C0"/>
    <w:rsid w:val="00D257CA"/>
    <w:rsid w:val="00D425A5"/>
    <w:rsid w:val="00D42CA9"/>
    <w:rsid w:val="00D44A70"/>
    <w:rsid w:val="00D740E0"/>
    <w:rsid w:val="00D94C3F"/>
    <w:rsid w:val="00D97383"/>
    <w:rsid w:val="00DB6BB6"/>
    <w:rsid w:val="00DE1D30"/>
    <w:rsid w:val="00E008D1"/>
    <w:rsid w:val="00E12E4F"/>
    <w:rsid w:val="00E161FA"/>
    <w:rsid w:val="00E24C0A"/>
    <w:rsid w:val="00E25158"/>
    <w:rsid w:val="00E53550"/>
    <w:rsid w:val="00E53E32"/>
    <w:rsid w:val="00E57C0C"/>
    <w:rsid w:val="00E76D29"/>
    <w:rsid w:val="00E833DA"/>
    <w:rsid w:val="00E9508C"/>
    <w:rsid w:val="00EA3F78"/>
    <w:rsid w:val="00EC557A"/>
    <w:rsid w:val="00ED2F25"/>
    <w:rsid w:val="00ED6FA6"/>
    <w:rsid w:val="00EE3D50"/>
    <w:rsid w:val="00EE75E9"/>
    <w:rsid w:val="00EF2F13"/>
    <w:rsid w:val="00F3083D"/>
    <w:rsid w:val="00F3723D"/>
    <w:rsid w:val="00F47494"/>
    <w:rsid w:val="00F474A7"/>
    <w:rsid w:val="00F55D34"/>
    <w:rsid w:val="00F741B3"/>
    <w:rsid w:val="00FA121E"/>
    <w:rsid w:val="00FD6CE6"/>
    <w:rsid w:val="00FE0B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396FE"/>
  <w15:chartTrackingRefBased/>
  <w15:docId w15:val="{6FBD8D7C-383F-43B9-BA82-6EF9D78D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5B0"/>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BBC"/>
    <w:rPr>
      <w:rFonts w:ascii="Tahoma" w:hAnsi="Tahoma" w:cs="Tahoma"/>
      <w:sz w:val="16"/>
      <w:szCs w:val="16"/>
    </w:rPr>
  </w:style>
  <w:style w:type="character" w:customStyle="1" w:styleId="BalloonTextChar">
    <w:name w:val="Balloon Text Char"/>
    <w:link w:val="BalloonText"/>
    <w:uiPriority w:val="99"/>
    <w:semiHidden/>
    <w:rsid w:val="004B2BBC"/>
    <w:rPr>
      <w:rFonts w:ascii="Tahoma" w:eastAsia="Times New Roman" w:hAnsi="Tahoma" w:cs="Tahoma"/>
      <w:sz w:val="16"/>
      <w:szCs w:val="16"/>
    </w:rPr>
  </w:style>
  <w:style w:type="table" w:styleId="TableGrid">
    <w:name w:val="Table Grid"/>
    <w:basedOn w:val="TableNormal"/>
    <w:uiPriority w:val="59"/>
    <w:rsid w:val="00CA1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B117B"/>
    <w:rPr>
      <w:sz w:val="16"/>
      <w:szCs w:val="16"/>
    </w:rPr>
  </w:style>
  <w:style w:type="paragraph" w:styleId="CommentText">
    <w:name w:val="annotation text"/>
    <w:basedOn w:val="Normal"/>
    <w:link w:val="CommentTextChar"/>
    <w:uiPriority w:val="99"/>
    <w:unhideWhenUsed/>
    <w:rsid w:val="00BB117B"/>
    <w:rPr>
      <w:sz w:val="20"/>
      <w:szCs w:val="20"/>
    </w:rPr>
  </w:style>
  <w:style w:type="character" w:customStyle="1" w:styleId="CommentTextChar">
    <w:name w:val="Comment Text Char"/>
    <w:link w:val="CommentText"/>
    <w:uiPriority w:val="99"/>
    <w:rsid w:val="00BB117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BB117B"/>
    <w:rPr>
      <w:b/>
      <w:bCs/>
    </w:rPr>
  </w:style>
  <w:style w:type="character" w:customStyle="1" w:styleId="CommentSubjectChar">
    <w:name w:val="Comment Subject Char"/>
    <w:link w:val="CommentSubject"/>
    <w:uiPriority w:val="99"/>
    <w:semiHidden/>
    <w:rsid w:val="00BB117B"/>
    <w:rPr>
      <w:rFonts w:ascii="Times New Roman" w:eastAsia="Times New Roman" w:hAnsi="Times New Roman"/>
      <w:b/>
      <w:bCs/>
    </w:rPr>
  </w:style>
  <w:style w:type="paragraph" w:styleId="Header">
    <w:name w:val="header"/>
    <w:basedOn w:val="Normal"/>
    <w:link w:val="HeaderChar"/>
    <w:uiPriority w:val="99"/>
    <w:unhideWhenUsed/>
    <w:rsid w:val="00B650D8"/>
    <w:pPr>
      <w:tabs>
        <w:tab w:val="center" w:pos="4680"/>
        <w:tab w:val="right" w:pos="9360"/>
      </w:tabs>
    </w:pPr>
  </w:style>
  <w:style w:type="character" w:customStyle="1" w:styleId="HeaderChar">
    <w:name w:val="Header Char"/>
    <w:link w:val="Header"/>
    <w:uiPriority w:val="99"/>
    <w:rsid w:val="00B650D8"/>
    <w:rPr>
      <w:rFonts w:ascii="Times New Roman" w:eastAsia="Times New Roman" w:hAnsi="Times New Roman"/>
      <w:sz w:val="24"/>
      <w:szCs w:val="24"/>
    </w:rPr>
  </w:style>
  <w:style w:type="paragraph" w:styleId="Footer">
    <w:name w:val="footer"/>
    <w:basedOn w:val="Normal"/>
    <w:link w:val="FooterChar"/>
    <w:uiPriority w:val="99"/>
    <w:unhideWhenUsed/>
    <w:rsid w:val="00B650D8"/>
    <w:pPr>
      <w:tabs>
        <w:tab w:val="center" w:pos="4680"/>
        <w:tab w:val="right" w:pos="9360"/>
      </w:tabs>
    </w:pPr>
  </w:style>
  <w:style w:type="character" w:customStyle="1" w:styleId="FooterChar">
    <w:name w:val="Footer Char"/>
    <w:link w:val="Footer"/>
    <w:uiPriority w:val="99"/>
    <w:rsid w:val="00B650D8"/>
    <w:rPr>
      <w:rFonts w:ascii="Times New Roman" w:eastAsia="Times New Roman" w:hAnsi="Times New Roman"/>
      <w:sz w:val="24"/>
      <w:szCs w:val="24"/>
    </w:rPr>
  </w:style>
  <w:style w:type="paragraph" w:styleId="ListParagraph">
    <w:name w:val="List Paragraph"/>
    <w:basedOn w:val="Normal"/>
    <w:uiPriority w:val="34"/>
    <w:qFormat/>
    <w:rsid w:val="003E24E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F397-FF35-42B5-922A-F9D7A3BD0F70}">
  <ds:schemaRefs>
    <ds:schemaRef ds:uri="http://schemas.microsoft.com/sharepoint/v3/contenttype/forms"/>
  </ds:schemaRefs>
</ds:datastoreItem>
</file>

<file path=customXml/itemProps2.xml><?xml version="1.0" encoding="utf-8"?>
<ds:datastoreItem xmlns:ds="http://schemas.openxmlformats.org/officeDocument/2006/customXml" ds:itemID="{89B0BCB9-D8AD-407F-8CAD-E54E04E552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483FB7-CD81-41E4-B041-63B9C51E0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7C5042-977B-3349-8C76-BFA1E960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Khanh Trang</dc:creator>
  <cp:keywords/>
  <cp:lastModifiedBy>Microsoft Office User</cp:lastModifiedBy>
  <cp:revision>12</cp:revision>
  <cp:lastPrinted>2017-03-14T08:33:00Z</cp:lastPrinted>
  <dcterms:created xsi:type="dcterms:W3CDTF">2018-09-10T09:16:00Z</dcterms:created>
  <dcterms:modified xsi:type="dcterms:W3CDTF">2019-11-22T03:39:00Z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