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20" w:before="240"/>
      </w:pPr>
      <w:r>
        <w:rPr>
          <w:rFonts w:ascii="Times New Roman" w:cs="Times New Roman" w:eastAsia="Times New Roman" w:hAnsi="Times New Roman"/>
          <w:b/>
          <w:bCs/>
          <w:color w:val="000000"/>
          <w:sz w:val="32"/>
          <w:szCs w:val="32"/>
        </w:rPr>
        <w:t xml:space="preserve">Filing-strategy memo: one patent or several, and what each path costs</w:t>
      </w:r>
    </w:p>
    <w:p>
      <w:pPr>
        <w:keepLines w:val="false"/>
        <w:spacing w:after="160" w:line="276"/>
        <w:jc w:val="left"/>
      </w:pPr>
      <w:r>
        <w:rPr>
          <w:rFonts w:ascii="Times New Roman" w:cs="Times New Roman" w:eastAsia="Times New Roman" w:hAnsi="Times New Roman"/>
          <w:sz w:val="24"/>
          <w:szCs w:val="24"/>
        </w:rPr>
        <w:t xml:space="preserve">This memo is drafting and budgeting support, not a freedom-to-operate opinion. Date of this memo: 2026-10-27. Entity status assumed throughout: small entity (micro entity is not available because the applicant's gross income exceeds the micro entity limit, per the fee worksheets). Every dollar figure is the small entity amount recorded in this package from the USPTO fee schedule as read on 2026-10-25; fees change by rulemaking, so verify the current schedule at filing. Patent Center computes the real total at submission.</w:t>
      </w:r>
    </w:p>
    <w:p>
      <w:pPr>
        <w:pStyle w:val="Heading2"/>
        <w:keepNext/>
        <w:spacing w:after="120" w:before="200"/>
      </w:pPr>
      <w:r>
        <w:rPr>
          <w:rFonts w:ascii="Times New Roman" w:cs="Times New Roman" w:eastAsia="Times New Roman" w:hAnsi="Times New Roman"/>
          <w:b/>
          <w:bCs/>
          <w:color w:val="000000"/>
          <w:sz w:val="28"/>
          <w:szCs w:val="28"/>
        </w:rPr>
        <w:t xml:space="preserve">1. The question</w:t>
      </w:r>
    </w:p>
    <w:p>
      <w:pPr>
        <w:keepLines w:val="false"/>
        <w:spacing w:after="160" w:line="276"/>
        <w:jc w:val="left"/>
      </w:pPr>
      <w:r>
        <w:rPr>
          <w:rFonts w:ascii="Times New Roman" w:cs="Times New Roman" w:eastAsia="Times New Roman" w:hAnsi="Times New Roman"/>
          <w:sz w:val="24"/>
          <w:szCs w:val="24"/>
        </w:rPr>
        <w:t xml:space="preserve">The application now covers two related but distinct inventive groups. The decision is whether to file them as one patent application or split them into more than one, and what each choice costs at filing and over the life of the patents.</w:t>
      </w:r>
    </w:p>
    <w:p>
      <w:pPr>
        <w:pStyle w:val="Heading2"/>
        <w:keepNext/>
        <w:spacing w:after="120" w:before="200"/>
      </w:pPr>
      <w:r>
        <w:rPr>
          <w:rFonts w:ascii="Times New Roman" w:cs="Times New Roman" w:eastAsia="Times New Roman" w:hAnsi="Times New Roman"/>
          <w:b/>
          <w:bCs/>
          <w:color w:val="000000"/>
          <w:sz w:val="28"/>
          <w:szCs w:val="28"/>
        </w:rPr>
        <w:t xml:space="preserve">2. What this application contains</w:t>
      </w:r>
    </w:p>
    <w:p>
      <w:pPr>
        <w:pStyle w:val="ListParagraph"/>
        <w:numPr>
          <w:ilvl w:val="0"/>
          <w:numId w:val="2"/>
        </w:numPr>
        <w:spacing w:after="80" w:line="264"/>
      </w:pPr>
      <w:r>
        <w:rPr>
          <w:rFonts w:ascii="Times New Roman" w:cs="Times New Roman" w:eastAsia="Times New Roman" w:hAnsi="Times New Roman"/>
          <w:sz w:val="24"/>
          <w:szCs w:val="24"/>
        </w:rPr>
        <w:t xml:space="preserve">Group A (mature, strong): the read-only, screen-aware guidance loop with on-device redaction, tenant-governed data egress, proven-workflow templates, screen-derived clarification, and the destructive-operation display gate. Claims 1 to 21, independent claims 1, 11 and 17. More reduced to practice, lighter prior-art exposure.</w:t>
      </w:r>
    </w:p>
    <w:p>
      <w:pPr>
        <w:pStyle w:val="ListParagraph"/>
        <w:numPr>
          <w:ilvl w:val="0"/>
          <w:numId w:val="2"/>
        </w:numPr>
        <w:spacing w:after="80" w:line="264"/>
      </w:pPr>
      <w:r>
        <w:rPr>
          <w:rFonts w:ascii="Times New Roman" w:cs="Times New Roman" w:eastAsia="Times New Roman" w:hAnsi="Times New Roman"/>
          <w:sz w:val="24"/>
          <w:szCs w:val="24"/>
        </w:rPr>
        <w:t xml:space="preserve">Group B (new on 2026-10-27, moderate): the multi-task project engine. A large goal is planned once into a dependency-annotated task map with a screen-visible done-state per task and a project end-state; each task's steps are expanded just-in-time, seeded from a forward-learnings ledger; each task runs through Group A's read-only vision-verified loop. Claims 22 to 29, independent claims 22 (method), 28 (system) and 29 (medium). Newer, two legs still constructive, faces hierarchical-task-network and agent-planning prior art plus the new Squint reference (US 12,567,270 B1).</w:t>
      </w:r>
    </w:p>
    <w:p>
      <w:pPr>
        <w:pStyle w:val="Heading2"/>
        <w:keepNext/>
        <w:spacing w:after="120" w:before="200"/>
      </w:pPr>
      <w:r>
        <w:rPr>
          <w:rFonts w:ascii="Times New Roman" w:cs="Times New Roman" w:eastAsia="Times New Roman" w:hAnsi="Times New Roman"/>
          <w:b/>
          <w:bCs/>
          <w:color w:val="000000"/>
          <w:sz w:val="28"/>
          <w:szCs w:val="28"/>
        </w:rPr>
        <w:t xml:space="preserve">3. Recommendation in one line</w:t>
      </w:r>
    </w:p>
    <w:p>
      <w:pPr>
        <w:keepLines w:val="false"/>
        <w:spacing w:after="160" w:line="276"/>
        <w:jc w:val="left"/>
      </w:pPr>
      <w:r>
        <w:rPr>
          <w:rFonts w:ascii="Times New Roman" w:cs="Times New Roman" w:eastAsia="Times New Roman" w:hAnsi="Times New Roman"/>
          <w:sz w:val="24"/>
          <w:szCs w:val="24"/>
        </w:rPr>
        <w:t xml:space="preserve">Do not file two separate applications on day one. File once first, and let a second patent come out of this one later, as a divisional or continuation, only when Group B has proven worth a second patent's lifetime cost.</w:t>
      </w:r>
    </w:p>
    <w:p>
      <w:pPr>
        <w:pStyle w:val="Heading2"/>
        <w:keepNext/>
        <w:spacing w:after="120" w:before="200"/>
      </w:pPr>
      <w:r>
        <w:rPr>
          <w:rFonts w:ascii="Times New Roman" w:cs="Times New Roman" w:eastAsia="Times New Roman" w:hAnsi="Times New Roman"/>
          <w:b/>
          <w:bCs/>
          <w:color w:val="000000"/>
          <w:sz w:val="28"/>
          <w:szCs w:val="28"/>
        </w:rPr>
        <w:t xml:space="preserve">4. Why one filing first, not two</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They share a real technical core. Claim 22 runs each project task through the same redaction-gated, per-frame vision-verified loop of claim 1. That shared special technical feature is the unity-of-invention argument and it is genuine, so the two groups belong together at the start.</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One date, one set of base fees, one prosecution. Two day-one applications double the filing, search and examination fees and double the office-action work.</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The provisional defers the decision without losing anything. A provisional filed now carries the full disclosure of both groups, is cheap, and locks the priority date for everything for twelve months. The single-versus-split choice can then be made with a year of market and prosecution signal in hand, and either path still claims the provisional's date.</w:t>
      </w:r>
    </w:p>
    <w:p>
      <w:pPr>
        <w:pStyle w:val="Heading2"/>
        <w:keepNext/>
        <w:spacing w:after="120" w:before="200"/>
      </w:pPr>
      <w:r>
        <w:rPr>
          <w:rFonts w:ascii="Times New Roman" w:cs="Times New Roman" w:eastAsia="Times New Roman" w:hAnsi="Times New Roman"/>
          <w:b/>
          <w:bCs/>
          <w:color w:val="000000"/>
          <w:sz w:val="28"/>
          <w:szCs w:val="28"/>
        </w:rPr>
        <w:t xml:space="preserve">5. Why a second patent usually appears later anyway</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Restriction is likely. With six independent claims spanning the single-task loop and the multi-task project engine, the examiner may issue a restriction requirement and require election of one group. The non-elected group then proceeds as a divisional that keeps the original priority date. So more than one patent normally arises downstream from one filing, not from parallel day-one filings.</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Do not let the weaker group slow the stronger one. Group A is more reduced to practice and faces lighter art; Group B is newer with two constructive legs. If a restriction comes, electing Group A lets it issue faster while Group B matures in the divisional or a continuation.</w:t>
      </w:r>
    </w:p>
    <w:p>
      <w:pPr>
        <w:pStyle w:val="Heading2"/>
        <w:keepNext/>
        <w:spacing w:after="120" w:before="200"/>
      </w:pPr>
      <w:r>
        <w:rPr>
          <w:rFonts w:ascii="Times New Roman" w:cs="Times New Roman" w:eastAsia="Times New Roman" w:hAnsi="Times New Roman"/>
          <w:b/>
          <w:bCs/>
          <w:color w:val="000000"/>
          <w:sz w:val="28"/>
          <w:szCs w:val="28"/>
        </w:rPr>
        <w:t xml:space="preserve">6. Cost comparison</w:t>
      </w:r>
    </w:p>
    <w:p>
      <w:pPr>
        <w:pStyle w:val="Heading3"/>
        <w:keepNext/>
        <w:spacing w:after="120" w:before="200"/>
      </w:pPr>
      <w:r>
        <w:rPr>
          <w:rFonts w:ascii="Times New Roman" w:cs="Times New Roman" w:eastAsia="Times New Roman" w:hAnsi="Times New Roman"/>
          <w:b/>
          <w:bCs/>
          <w:color w:val="000000"/>
          <w:sz w:val="26"/>
          <w:szCs w:val="26"/>
        </w:rPr>
        <w:t xml:space="preserve">6.1 Fee building blocks (small entity, electronic filing)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76"/>
        <w:gridCol w:w="2034"/>
        <w:gridCol w:w="2850"/>
      </w:tblGrid>
      <w:tr>
        <w:trPr>
          <w:tblHeader/>
        </w:trPr>
        <w:tc>
          <w:tcPr>
            <w:tcW w:type="dxa" w:w="4476"/>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Item</w:t>
            </w:r>
          </w:p>
        </w:tc>
        <w:tc>
          <w:tcPr>
            <w:tcW w:type="dxa" w:w="2034"/>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Small entity amount (USD)</w:t>
            </w:r>
          </w:p>
        </w:tc>
        <w:tc>
          <w:tcPr>
            <w:tcW w:type="dxa" w:w="285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Note</w:t>
            </w:r>
          </w:p>
        </w:tc>
      </w:tr>
      <w:tr>
        <w:trPr>
          <w:tblHeader w:val="false"/>
        </w:trPr>
        <w:tc>
          <w:tcPr>
            <w:tcW w:type="dxa" w:w="447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Provisional filing fee</w:t>
            </w:r>
          </w:p>
        </w:tc>
        <w:tc>
          <w:tcPr>
            <w:tcW w:type="dxa" w:w="203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130</w:t>
            </w:r>
          </w:p>
        </w:tc>
        <w:tc>
          <w:tcPr>
            <w:tcW w:type="dxa" w:w="28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Per provisional application.</w:t>
            </w:r>
          </w:p>
        </w:tc>
      </w:tr>
      <w:tr>
        <w:trPr>
          <w:tblHeader w:val="false"/>
        </w:trPr>
        <w:tc>
          <w:tcPr>
            <w:tcW w:type="dxa" w:w="447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Utility base (filing 70 + search 308 + examination 352)</w:t>
            </w:r>
          </w:p>
        </w:tc>
        <w:tc>
          <w:tcPr>
            <w:tcW w:type="dxa" w:w="203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730</w:t>
            </w:r>
          </w:p>
        </w:tc>
        <w:tc>
          <w:tcPr>
            <w:tcW w:type="dxa" w:w="28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Per nonprovisional application.</w:t>
            </w:r>
          </w:p>
        </w:tc>
      </w:tr>
      <w:tr>
        <w:trPr>
          <w:tblHeader w:val="false"/>
        </w:trPr>
        <w:tc>
          <w:tcPr>
            <w:tcW w:type="dxa" w:w="447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Each claim in excess of 20</w:t>
            </w:r>
          </w:p>
        </w:tc>
        <w:tc>
          <w:tcPr>
            <w:tcW w:type="dxa" w:w="203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80 each</w:t>
            </w:r>
          </w:p>
        </w:tc>
        <w:tc>
          <w:tcPr>
            <w:tcW w:type="dxa" w:w="28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Applies per application.</w:t>
            </w:r>
          </w:p>
        </w:tc>
      </w:tr>
      <w:tr>
        <w:trPr>
          <w:tblHeader w:val="false"/>
        </w:trPr>
        <w:tc>
          <w:tcPr>
            <w:tcW w:type="dxa" w:w="447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Each independent claim in excess of 3</w:t>
            </w:r>
          </w:p>
        </w:tc>
        <w:tc>
          <w:tcPr>
            <w:tcW w:type="dxa" w:w="203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240 each</w:t>
            </w:r>
          </w:p>
        </w:tc>
        <w:tc>
          <w:tcPr>
            <w:tcW w:type="dxa" w:w="28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Applies per application.</w:t>
            </w:r>
          </w:p>
        </w:tc>
      </w:tr>
      <w:tr>
        <w:trPr>
          <w:tblHeader w:val="false"/>
        </w:trPr>
        <w:tc>
          <w:tcPr>
            <w:tcW w:type="dxa" w:w="447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Issue fee, at allowance</w:t>
            </w:r>
          </w:p>
        </w:tc>
        <w:tc>
          <w:tcPr>
            <w:tcW w:type="dxa" w:w="203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516</w:t>
            </w:r>
          </w:p>
        </w:tc>
        <w:tc>
          <w:tcPr>
            <w:tcW w:type="dxa" w:w="28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Per patent.</w:t>
            </w:r>
          </w:p>
        </w:tc>
      </w:tr>
      <w:tr>
        <w:trPr>
          <w:tblHeader w:val="false"/>
        </w:trPr>
        <w:tc>
          <w:tcPr>
            <w:tcW w:type="dxa" w:w="447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Maintenance fees at 3.5, 7.5 and 11.5 years</w:t>
            </w:r>
          </w:p>
        </w:tc>
        <w:tc>
          <w:tcPr>
            <w:tcW w:type="dxa" w:w="203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per schedule</w:t>
            </w:r>
          </w:p>
        </w:tc>
        <w:tc>
          <w:tcPr>
            <w:tcW w:type="dxa" w:w="28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Per patent, for about twenty years.</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The key point: filing fees are the small part. The costs that scale with the number of patents are the issue fee and the maintenance fees, which are charged per patent, and, if a practitioner is retained, the prosecution cost, which is charged per application and is usually far larger than any filing fee.</w:t>
      </w:r>
    </w:p>
    <w:p>
      <w:pPr>
        <w:pStyle w:val="Heading3"/>
        <w:keepNext/>
        <w:spacing w:after="120" w:before="200"/>
      </w:pPr>
      <w:r>
        <w:rPr>
          <w:rFonts w:ascii="Times New Roman" w:cs="Times New Roman" w:eastAsia="Times New Roman" w:hAnsi="Times New Roman"/>
          <w:b/>
          <w:bCs/>
          <w:color w:val="000000"/>
          <w:sz w:val="26"/>
          <w:szCs w:val="26"/>
        </w:rPr>
        <w:t xml:space="preserve">6.2 The four realistic paths, cash at filing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51"/>
        <w:gridCol w:w="1725"/>
        <w:gridCol w:w="3984"/>
      </w:tblGrid>
      <w:tr>
        <w:trPr>
          <w:tblHeader/>
        </w:trPr>
        <w:tc>
          <w:tcPr>
            <w:tcW w:type="dxa" w:w="3651"/>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Path</w:t>
            </w:r>
          </w:p>
        </w:tc>
        <w:tc>
          <w:tcPr>
            <w:tcW w:type="dxa" w:w="1725"/>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Cash at filing</w:t>
            </w:r>
          </w:p>
        </w:tc>
        <w:tc>
          <w:tcPr>
            <w:tcW w:type="dxa" w:w="3984"/>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What you get</w:t>
            </w:r>
          </w:p>
        </w:tc>
      </w:tr>
      <w:tr>
        <w:trPr>
          <w:tblHeader w:val="false"/>
        </w:trPr>
        <w:tc>
          <w:tcPr>
            <w:tcW w:type="dxa" w:w="365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One utility, all 29 claims now</w:t>
            </w:r>
          </w:p>
        </w:tc>
        <w:tc>
          <w:tcPr>
            <w:tcW w:type="dxa" w:w="172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2,170</w:t>
            </w:r>
          </w:p>
        </w:tc>
        <w:tc>
          <w:tcPr>
            <w:tcW w:type="dxa" w:w="398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base 730 plus 1,440 excess (9 claims and 3 independents over the limits). The excess is paid now.</w:t>
            </w:r>
          </w:p>
        </w:tc>
      </w:tr>
      <w:tr>
        <w:trPr>
          <w:tblHeader w:val="false"/>
        </w:trPr>
        <w:tc>
          <w:tcPr>
            <w:tcW w:type="dxa" w:w="365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B. One utility, trimmed to 20 claims and 3 independents</w:t>
            </w:r>
          </w:p>
        </w:tc>
        <w:tc>
          <w:tcPr>
            <w:tcW w:type="dxa" w:w="172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730</w:t>
            </w:r>
          </w:p>
        </w:tc>
        <w:tc>
          <w:tcPr>
            <w:tcW w:type="dxa" w:w="398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 excess fees. Hold the project-engine parallels (claims 27, 28, 29) for a later continuation.</w:t>
            </w:r>
          </w:p>
        </w:tc>
      </w:tr>
      <w:tr>
        <w:trPr>
          <w:tblHeader w:val="false"/>
        </w:trPr>
        <w:tc>
          <w:tcPr>
            <w:tcW w:type="dxa" w:w="365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 Provisional now, then one utility within 12 months</w:t>
            </w:r>
          </w:p>
        </w:tc>
        <w:tc>
          <w:tcPr>
            <w:tcW w:type="dxa" w:w="172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130 now, then 730 or 2,170</w:t>
            </w:r>
          </w:p>
        </w:tc>
        <w:tc>
          <w:tcPr>
            <w:tcW w:type="dxa" w:w="398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The 130 locks the full date for both groups and buys a year; then file B or A.</w:t>
            </w:r>
          </w:p>
        </w:tc>
      </w:tr>
      <w:tr>
        <w:trPr>
          <w:tblHeader w:val="false"/>
        </w:trPr>
        <w:tc>
          <w:tcPr>
            <w:tcW w:type="dxa" w:w="365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 Two separate utilities now</w:t>
            </w:r>
          </w:p>
        </w:tc>
        <w:tc>
          <w:tcPr>
            <w:tcW w:type="dxa" w:w="172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about 1,540</w:t>
            </w:r>
          </w:p>
        </w:tc>
        <w:tc>
          <w:tcPr>
            <w:tcW w:type="dxa" w:w="398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Group A (about 21 claims, 3 independents) about 810, plus Group B (about 8 claims, 3 independents) 730. Splitting keeps each application under the thresholds, so it avoids the excess-claim fees.</w:t>
            </w:r>
          </w:p>
        </w:tc>
      </w:tr>
    </w:tbl>
    <w:p>
      <w:pPr>
        <w:spacing w:after="120"/>
      </w:pPr>
    </w:p>
    <w:p>
      <w:pPr>
        <w:pStyle w:val="Heading3"/>
        <w:keepNext/>
        <w:spacing w:after="120" w:before="200"/>
      </w:pPr>
      <w:r>
        <w:rPr>
          <w:rFonts w:ascii="Times New Roman" w:cs="Times New Roman" w:eastAsia="Times New Roman" w:hAnsi="Times New Roman"/>
          <w:b/>
          <w:bCs/>
          <w:color w:val="000000"/>
          <w:sz w:val="26"/>
          <w:szCs w:val="26"/>
        </w:rPr>
        <w:t xml:space="preserve">6.3 The counter-intuitive part</w:t>
      </w:r>
    </w:p>
    <w:p>
      <w:pPr>
        <w:keepLines w:val="false"/>
        <w:spacing w:after="160" w:line="276"/>
        <w:jc w:val="left"/>
      </w:pPr>
      <w:r>
        <w:rPr>
          <w:rFonts w:ascii="Times New Roman" w:cs="Times New Roman" w:eastAsia="Times New Roman" w:hAnsi="Times New Roman"/>
          <w:sz w:val="24"/>
          <w:szCs w:val="24"/>
        </w:rPr>
        <w:t xml:space="preserve">At the filing line, two lean applications (path D, about 1,540) are cheaper than one combined 29-claim application (path A, 2,170), because keeping each application under 20 claims and 3 independent claims avoids the 1,440 in excess-claim fees. So the idea that "multiple is always more expensive" is false on day one.</w:t>
      </w:r>
    </w:p>
    <w:p>
      <w:pPr>
        <w:pStyle w:val="Heading3"/>
        <w:keepNext/>
        <w:spacing w:after="120" w:before="200"/>
      </w:pPr>
      <w:r>
        <w:rPr>
          <w:rFonts w:ascii="Times New Roman" w:cs="Times New Roman" w:eastAsia="Times New Roman" w:hAnsi="Times New Roman"/>
          <w:b/>
          <w:bCs/>
          <w:color w:val="000000"/>
          <w:sz w:val="26"/>
          <w:szCs w:val="26"/>
        </w:rPr>
        <w:t xml:space="preserve">6.4 Over the life of the patents, multiple is the expensive path</w:t>
      </w:r>
    </w:p>
    <w:p>
      <w:pPr>
        <w:pStyle w:val="ListParagraph"/>
        <w:numPr>
          <w:ilvl w:val="0"/>
          <w:numId w:val="2"/>
        </w:numPr>
        <w:spacing w:after="80" w:line="264"/>
      </w:pPr>
      <w:r>
        <w:rPr>
          <w:rFonts w:ascii="Times New Roman" w:cs="Times New Roman" w:eastAsia="Times New Roman" w:hAnsi="Times New Roman"/>
          <w:sz w:val="24"/>
          <w:szCs w:val="24"/>
        </w:rPr>
        <w:t xml:space="preserve">Two patents mean two issue fees (516 each) and two full maintenance streams for about twenty years, roughly double the ongoing cost.</w:t>
      </w:r>
    </w:p>
    <w:p>
      <w:pPr>
        <w:pStyle w:val="ListParagraph"/>
        <w:numPr>
          <w:ilvl w:val="0"/>
          <w:numId w:val="2"/>
        </w:numPr>
        <w:spacing w:after="80" w:line="264"/>
      </w:pPr>
      <w:r>
        <w:rPr>
          <w:rFonts w:ascii="Times New Roman" w:cs="Times New Roman" w:eastAsia="Times New Roman" w:hAnsi="Times New Roman"/>
          <w:sz w:val="24"/>
          <w:szCs w:val="24"/>
        </w:rPr>
        <w:t xml:space="preserve">If counsel is retained, two patents mean two prosecutions, that is two sets of office-action responses, typically thousands of dollars each, far more than any filing-fee difference.</w:t>
      </w:r>
    </w:p>
    <w:p>
      <w:pPr>
        <w:pStyle w:val="ListParagraph"/>
        <w:numPr>
          <w:ilvl w:val="0"/>
          <w:numId w:val="2"/>
        </w:numPr>
        <w:spacing w:after="80" w:line="264"/>
      </w:pPr>
      <w:r>
        <w:rPr>
          <w:rFonts w:ascii="Times New Roman" w:cs="Times New Roman" w:eastAsia="Times New Roman" w:hAnsi="Times New Roman"/>
          <w:sz w:val="24"/>
          <w:szCs w:val="24"/>
        </w:rPr>
        <w:t xml:space="preserve">A restriction-driven divisional later becomes a second patent with the same per-patent issue and maintenance costs. So even "file one now" can grow into two patents, but you pay the second patent's lifetime costs only if the first proves worth extending.</w:t>
      </w:r>
    </w:p>
    <w:p>
      <w:pPr>
        <w:pStyle w:val="Heading2"/>
        <w:keepNext/>
        <w:spacing w:after="120" w:before="200"/>
      </w:pPr>
      <w:r>
        <w:rPr>
          <w:rFonts w:ascii="Times New Roman" w:cs="Times New Roman" w:eastAsia="Times New Roman" w:hAnsi="Times New Roman"/>
          <w:b/>
          <w:bCs/>
          <w:color w:val="000000"/>
          <w:sz w:val="28"/>
          <w:szCs w:val="28"/>
        </w:rPr>
        <w:t xml:space="preserve">7. Recommended sequence, cost-wise</w:t>
      </w:r>
    </w:p>
    <w:p>
      <w:pPr>
        <w:keepLines w:val="false"/>
        <w:spacing w:after="160" w:line="276"/>
        <w:jc w:val="left"/>
      </w:pPr>
      <w:r>
        <w:rPr>
          <w:rFonts w:ascii="Times New Roman" w:cs="Times New Roman" w:eastAsia="Times New Roman" w:hAnsi="Times New Roman"/>
          <w:sz w:val="24"/>
          <w:szCs w:val="24"/>
        </w:rPr>
        <w:t xml:space="preserve">File the provisional now (130), then one trimmed utility within twelve months (730), which is about 860 in government fees to lock the full date for everything and start a single examination. Split into a second patent (divisional or continuation) only when Group B has proven worth a second lifetime cost, not before. Filing two patents up front (path D) spends less at the counter but commits you to two prosecutions and two twenty-year maintenance bills before you know either is worth it.</w:t>
      </w:r>
    </w:p>
    <w:p>
      <w:pPr>
        <w:keepLines w:val="false"/>
        <w:spacing w:after="160" w:line="276"/>
        <w:jc w:val="left"/>
      </w:pPr>
      <w:r>
        <w:rPr>
          <w:rFonts w:ascii="Times New Roman" w:cs="Times New Roman" w:eastAsia="Times New Roman" w:hAnsi="Times New Roman"/>
          <w:sz w:val="24"/>
          <w:szCs w:val="24"/>
        </w:rPr>
        <w:t xml:space="preserve">Put differently: file once, pay once to examine, and let the second patent be a decision you buy later with evidence, rather than a cost you commit to blind.</w:t>
      </w:r>
    </w:p>
    <w:p>
      <w:pPr>
        <w:pStyle w:val="Heading2"/>
        <w:keepNext/>
        <w:spacing w:after="120" w:before="200"/>
      </w:pPr>
      <w:r>
        <w:rPr>
          <w:rFonts w:ascii="Times New Roman" w:cs="Times New Roman" w:eastAsia="Times New Roman" w:hAnsi="Times New Roman"/>
          <w:b/>
          <w:bCs/>
          <w:color w:val="000000"/>
          <w:sz w:val="28"/>
          <w:szCs w:val="28"/>
        </w:rPr>
        <w:t xml:space="preserve">8. The decisions that remain with the inventor or a registered practitioner</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Whether to absorb the 1,440 excess-claim fees now (path A, so every claim is examined together immediately) or trim and hold (path B or C).</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If trimming, which claims to remove first. The fee worksheet identifies the system and medium parallels of the project engine (claims 28 and 29) and the depth dependent (claim 27) as the candidates, because the specification supports re-presenting any removed claim in a later continuation.</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The timing and framing of any restriction response and divisional.</w:t>
      </w:r>
    </w:p>
    <w:p>
      <w:pPr>
        <w:tabs>
          <w:tab w:val="left" w:pos="540"/>
        </w:tabs>
        <w:spacing w:after="80" w:line="264"/>
        <w:ind w:left="540" w:hanging="54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Whether to retain a registered patent practitioner for prosecution. Filing pro se is permitted; prosecution is where practitioner help has the greatest effect and the greatest cost.</w:t>
      </w:r>
    </w:p>
    <w:p>
      <w:pPr>
        <w:keepLines w:val="false"/>
        <w:spacing w:after="160" w:line="276"/>
        <w:jc w:val="left"/>
      </w:pPr>
      <w:r>
        <w:rPr>
          <w:rFonts w:ascii="Times New Roman" w:cs="Times New Roman" w:eastAsia="Times New Roman" w:hAnsi="Times New Roman"/>
          <w:sz w:val="24"/>
          <w:szCs w:val="24"/>
        </w:rPr>
        <w:t xml:space="preserve">See README-WHAT-IS-WHAT.md for the three packages and the incorporate-now, no continuation-in-part reasoning, and the per-package fee-worksheet.md for the authoritative fee lines.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555555"/>
        <w:sz w:val="18"/>
        <w:szCs w:val="18"/>
      </w:rPr>
      <w:t xml:space="preserve">Prepared for Ravi Kiran Raju Yerra. Attorney review recommended before filing. Not legal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spacing w:after="80" w:before="160"/>
      <w:outlineLvl w:val="3"/>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Filing-strategy memo: one patent or several, and what each path costs</dc:title>
  <dc:creator>Ravi Kiran Raju Yerra</dc:creator>
  <dc:description>Prepared for Ravi Kiran Raju Yerra. Attorney review recommended before filing. Not legal advice.</dc:description>
  <cp:lastModifiedBy>Un-named</cp:lastModifiedBy>
  <cp:revision>1</cp:revision>
  <dcterms:created xsi:type="dcterms:W3CDTF">2026-10-28T11:49:21.696Z</dcterms:created>
  <dcterms:modified xsi:type="dcterms:W3CDTF">2026-10-28T11:49:21.697Z</dcterms:modified>
</cp:coreProperties>
</file>

<file path=docProps/custom.xml><?xml version="1.0" encoding="utf-8"?>
<Properties xmlns="http://schemas.openxmlformats.org/officeDocument/2006/custom-properties" xmlns:vt="http://schemas.openxmlformats.org/officeDocument/2006/docPropsVTypes"/>
</file>