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spacing w:after="120" w:before="240"/>
      </w:pPr>
      <w:r>
        <w:rPr>
          <w:rFonts w:ascii="Times New Roman" w:cs="Times New Roman" w:eastAsia="Times New Roman" w:hAnsi="Times New Roman"/>
          <w:b/>
          <w:bCs/>
          <w:color w:val="000000"/>
          <w:sz w:val="32"/>
          <w:szCs w:val="32"/>
        </w:rPr>
        <w:t xml:space="preserve">Filing instructions: nonprovisional utility application claiming the benefit of the provisional</w:t>
      </w:r>
    </w:p>
    <w:p>
      <w:pPr>
        <w:keepLines w:val="false"/>
        <w:spacing w:after="160" w:line="276"/>
        <w:jc w:val="left"/>
      </w:pPr>
      <w:r>
        <w:rPr>
          <w:rFonts w:ascii="Times New Roman" w:cs="Times New Roman" w:eastAsia="Times New Roman" w:hAnsi="Times New Roman"/>
          <w:sz w:val="24"/>
          <w:szCs w:val="24"/>
        </w:rPr>
        <w:t xml:space="preserve">This package files the nonprovisional utility application under 35 U.S.C. 111(a) that claims the benefit of the provisional application filed from patent-package/final/provisional. It is identical to the standalone utility package except for the benefit claim. Every claim that is supported by the provisional's specification receives the provisional's filing date as its effective filing date; the specification in both packages is the same text, so every claim is supported.</w:t>
      </w:r>
    </w:p>
    <w:p>
      <w:pPr>
        <w:keepLines w:val="false"/>
        <w:spacing w:after="160" w:line="276"/>
        <w:jc w:val="left"/>
      </w:pPr>
      <w:r>
        <w:rPr>
          <w:rFonts w:ascii="Times New Roman" w:cs="Times New Roman" w:eastAsia="Times New Roman" w:hAnsi="Times New Roman"/>
          <w:sz w:val="24"/>
          <w:szCs w:val="24"/>
        </w:rPr>
        <w:t xml:space="preserve">Exactly two values are entered by hand in this package, both copied from the provisional application's filing receipt: the provisional application number (format 63/xxx,xxx) and the provisional filing date. They appear in two places: the first paragraph of the specification ("Cross-Reference to Related Applications", in specification.md and in application-body.md and their DOCX files) and the Domestic Benefit section of the ADS (application-data-sheet.md section 7). Everything else is already filled.</w:t>
      </w:r>
    </w:p>
    <w:p>
      <w:pPr>
        <w:keepLines w:val="false"/>
        <w:spacing w:after="160" w:line="276"/>
        <w:jc w:val="left"/>
      </w:pPr>
      <w:r>
        <w:rPr>
          <w:rFonts w:ascii="Times New Roman" w:cs="Times New Roman" w:eastAsia="Times New Roman" w:hAnsi="Times New Roman"/>
          <w:sz w:val="24"/>
          <w:szCs w:val="24"/>
        </w:rPr>
        <w:t xml:space="preserve">The deadline is absolute: this application must be filed within twelve months of the provisional filing date (35 U.S.C. 119(e)(1)). Mark that date now. If the provisional expires unfiled, the provisional's date is lost and any public disclosure in the meantime becomes prior art abroad and, after one year, in the United States as well.</w:t>
      </w:r>
    </w:p>
    <w:p>
      <w:pPr>
        <w:keepLines w:val="false"/>
        <w:spacing w:after="160" w:line="276"/>
        <w:jc w:val="left"/>
      </w:pPr>
      <w:r>
        <w:rPr>
          <w:rFonts w:ascii="Times New Roman" w:cs="Times New Roman" w:eastAsia="Times New Roman" w:hAnsi="Times New Roman"/>
          <w:sz w:val="24"/>
          <w:szCs w:val="24"/>
        </w:rPr>
        <w:t xml:space="preserve">Applicant and filer: Ravi Kiran Raju Yerra, sole inventor, filing pro se (no attorney, no customer number), small entity. Correspondence: 604 Wexford Dr, Celina, TX 75009, USA; yerraslife@gmail.com; +1-408-718-4217.</w:t>
      </w:r>
    </w:p>
    <w:p>
      <w:pPr>
        <w:pStyle w:val="Heading2"/>
        <w:keepNext/>
        <w:spacing w:after="120" w:before="200"/>
      </w:pPr>
      <w:r>
        <w:rPr>
          <w:rFonts w:ascii="Times New Roman" w:cs="Times New Roman" w:eastAsia="Times New Roman" w:hAnsi="Times New Roman"/>
          <w:b/>
          <w:bCs/>
          <w:color w:val="000000"/>
          <w:sz w:val="28"/>
          <w:szCs w:val="28"/>
        </w:rPr>
        <w:t xml:space="preserve">1. What is in this package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73"/>
        <w:gridCol w:w="3303"/>
        <w:gridCol w:w="3084"/>
      </w:tblGrid>
      <w:tr>
        <w:trPr>
          <w:tblHeader/>
        </w:trPr>
        <w:tc>
          <w:tcPr>
            <w:tcW w:type="dxa" w:w="2973"/>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File</w:t>
            </w:r>
          </w:p>
        </w:tc>
        <w:tc>
          <w:tcPr>
            <w:tcW w:type="dxa" w:w="3303"/>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What it is</w:t>
            </w:r>
          </w:p>
        </w:tc>
        <w:tc>
          <w:tcPr>
            <w:tcW w:type="dxa" w:w="3084"/>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Goes to the USPTO?</w:t>
            </w:r>
          </w:p>
        </w:tc>
      </w:tr>
      <w:tr>
        <w:trPr>
          <w:tblHeader w:val="false"/>
        </w:trPr>
        <w:tc>
          <w:tcPr>
            <w:tcW w:type="dxa" w:w="2973"/>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specification.md and editable/specification.docx</w:t>
            </w:r>
          </w:p>
        </w:tc>
        <w:tc>
          <w:tcPr>
            <w:tcW w:type="dxa" w:w="3303"/>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The specification: title, cross-reference to the provisional application (two values to enter), federally sponsored research statement, technical field, background, summary, brief description of the drawings, detailed description (paragraphs [0001] to [0112])</w:t>
            </w:r>
          </w:p>
        </w:tc>
        <w:tc>
          <w:tcPr>
            <w:tcW w:type="dxa" w:w="308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Yes, as part of the application body</w:t>
            </w:r>
          </w:p>
        </w:tc>
      </w:tr>
      <w:tr>
        <w:trPr>
          <w:tblHeader w:val="false"/>
        </w:trPr>
        <w:tc>
          <w:tcPr>
            <w:tcW w:type="dxa" w:w="2973"/>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claims.md and editable/claims.docx</w:t>
            </w:r>
          </w:p>
        </w:tc>
        <w:tc>
          <w:tcPr>
            <w:tcW w:type="dxa" w:w="3303"/>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Claims 1 to 29 (independent claims 1, 11, 17, 22, 28 and 29), followed by Appendix A (candidate additional claims, not filed) and Appendix B (practitioner notes with the reduction-to-practice status of each claim, not filed)</w:t>
            </w:r>
          </w:p>
        </w:tc>
        <w:tc>
          <w:tcPr>
            <w:tcW w:type="dxa" w:w="308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Claims 1 to 29 yes; the appendices no</w:t>
            </w:r>
          </w:p>
        </w:tc>
      </w:tr>
      <w:tr>
        <w:trPr>
          <w:tblHeader w:val="false"/>
        </w:trPr>
        <w:tc>
          <w:tcPr>
            <w:tcW w:type="dxa" w:w="2973"/>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abstract.md and editable/abstract.docx</w:t>
            </w:r>
          </w:p>
        </w:tc>
        <w:tc>
          <w:tcPr>
            <w:tcW w:type="dxa" w:w="3303"/>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The abstract, 149 words</w:t>
            </w:r>
          </w:p>
        </w:tc>
        <w:tc>
          <w:tcPr>
            <w:tcW w:type="dxa" w:w="308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Yes</w:t>
            </w:r>
          </w:p>
        </w:tc>
      </w:tr>
      <w:tr>
        <w:trPr>
          <w:tblHeader w:val="false"/>
        </w:trPr>
        <w:tc>
          <w:tcPr>
            <w:tcW w:type="dxa" w:w="2973"/>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application-body.md and editable/application-body.docx</w:t>
            </w:r>
          </w:p>
        </w:tc>
        <w:tc>
          <w:tcPr>
            <w:tcW w:type="dxa" w:w="3303"/>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Specification, claims 1 to 29 and abstract in one DOCX in filing order, without the appendices. This is the file to upload.</w:t>
            </w:r>
          </w:p>
        </w:tc>
        <w:tc>
          <w:tcPr>
            <w:tcW w:type="dxa" w:w="308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Yes, this is the upload</w:t>
            </w:r>
          </w:p>
        </w:tc>
      </w:tr>
      <w:tr>
        <w:trPr>
          <w:tblHeader w:val="false"/>
        </w:trPr>
        <w:tc>
          <w:tcPr>
            <w:tcW w:type="dxa" w:w="2973"/>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drawings/drawings.pdf</w:t>
            </w:r>
          </w:p>
        </w:tc>
        <w:tc>
          <w:tcPr>
            <w:tcW w:type="dxa" w:w="3303"/>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FIG. 1 to FIG. 13 on thirteen US-Letter sheets (editable sources FIG-1.svg to FIG-13.svg alongside; FIG. 8A and FIG. 8B share one sheet)</w:t>
            </w:r>
          </w:p>
        </w:tc>
        <w:tc>
          <w:tcPr>
            <w:tcW w:type="dxa" w:w="308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Yes</w:t>
            </w:r>
          </w:p>
        </w:tc>
      </w:tr>
      <w:tr>
        <w:trPr>
          <w:tblHeader w:val="false"/>
        </w:trPr>
        <w:tc>
          <w:tcPr>
            <w:tcW w:type="dxa" w:w="2973"/>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application-data-sheet.md</w:t>
            </w:r>
          </w:p>
        </w:tc>
        <w:tc>
          <w:tcPr>
            <w:tcW w:type="dxa" w:w="3303"/>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Every value to enter in the web ADS or PTO/AIA/14</w:t>
            </w:r>
          </w:p>
        </w:tc>
        <w:tc>
          <w:tcPr>
            <w:tcW w:type="dxa" w:w="308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Yes, as the ADS</w:t>
            </w:r>
          </w:p>
        </w:tc>
      </w:tr>
      <w:tr>
        <w:trPr>
          <w:tblHeader w:val="false"/>
        </w:trPr>
        <w:tc>
          <w:tcPr>
            <w:tcW w:type="dxa" w:w="2973"/>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inventor-declaration.md</w:t>
            </w:r>
          </w:p>
        </w:tc>
        <w:tc>
          <w:tcPr>
            <w:tcW w:type="dxa" w:w="3303"/>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Content of PTO/AIA/01, which the inventor signs</w:t>
            </w:r>
          </w:p>
        </w:tc>
        <w:tc>
          <w:tcPr>
            <w:tcW w:type="dxa" w:w="308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Yes, as the signed PTO/AIA/01</w:t>
            </w:r>
          </w:p>
        </w:tc>
      </w:tr>
      <w:tr>
        <w:trPr>
          <w:tblHeader w:val="false"/>
        </w:trPr>
        <w:tc>
          <w:tcPr>
            <w:tcW w:type="dxa" w:w="2973"/>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ids-and-references.md</w:t>
            </w:r>
          </w:p>
        </w:tc>
        <w:tc>
          <w:tcPr>
            <w:tcW w:type="dxa" w:w="3303"/>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Content of PTO/SB/08a and 08b, the reference list, and the must-pull list</w:t>
            </w:r>
          </w:p>
        </w:tc>
        <w:tc>
          <w:tcPr>
            <w:tcW w:type="dxa" w:w="308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Yes, as the IDS plus copies of the non-patent literature</w:t>
            </w:r>
          </w:p>
        </w:tc>
      </w:tr>
      <w:tr>
        <w:trPr>
          <w:tblHeader w:val="false"/>
        </w:trPr>
        <w:tc>
          <w:tcPr>
            <w:tcW w:type="dxa" w:w="2973"/>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fee-worksheet.md</w:t>
            </w:r>
          </w:p>
        </w:tc>
        <w:tc>
          <w:tcPr>
            <w:tcW w:type="dxa" w:w="3303"/>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Itemized small entity fees</w:t>
            </w:r>
          </w:p>
        </w:tc>
        <w:tc>
          <w:tcPr>
            <w:tcW w:type="dxa" w:w="308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No; used to check the Patent Center fee screen</w:t>
            </w:r>
          </w:p>
        </w:tc>
      </w:tr>
      <w:tr>
        <w:trPr>
          <w:tblHeader w:val="false"/>
        </w:trPr>
        <w:tc>
          <w:tcPr>
            <w:tcW w:type="dxa" w:w="2973"/>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FILING-INSTRUCTIONS.md</w:t>
            </w:r>
          </w:p>
        </w:tc>
        <w:tc>
          <w:tcPr>
            <w:tcW w:type="dxa" w:w="3303"/>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This document</w:t>
            </w:r>
          </w:p>
        </w:tc>
        <w:tc>
          <w:tcPr>
            <w:tcW w:type="dxa" w:w="308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No</w:t>
            </w:r>
          </w:p>
        </w:tc>
      </w:tr>
    </w:tbl>
    <w:p>
      <w:pPr>
        <w:spacing w:after="120"/>
      </w:pPr>
    </w:p>
    <w:p>
      <w:pPr>
        <w:pStyle w:val="Heading2"/>
        <w:keepNext/>
        <w:spacing w:after="120" w:before="200"/>
      </w:pPr>
      <w:r>
        <w:rPr>
          <w:rFonts w:ascii="Times New Roman" w:cs="Times New Roman" w:eastAsia="Times New Roman" w:hAnsi="Times New Roman"/>
          <w:b/>
          <w:bCs/>
          <w:color w:val="000000"/>
          <w:sz w:val="28"/>
          <w:szCs w:val="28"/>
        </w:rPr>
        <w:t xml:space="preserve">2. Before opening Patent Center</w:t>
      </w:r>
    </w:p>
    <w:p>
      <w:pPr>
        <w:tabs>
          <w:tab w:val="left" w:pos="540"/>
        </w:tabs>
        <w:spacing w:after="80" w:line="264"/>
        <w:ind w:left="540" w:hanging="540"/>
      </w:pPr>
      <w:r>
        <w:rPr>
          <w:rFonts w:ascii="Times New Roman" w:cs="Times New Roman" w:eastAsia="Times New Roman" w:hAnsi="Times New Roman"/>
          <w:sz w:val="24"/>
          <w:szCs w:val="24"/>
        </w:rPr>
        <w:t xml:space="preserve">1.	</w:t>
      </w:r>
      <w:r>
        <w:rPr>
          <w:rFonts w:ascii="Times New Roman" w:cs="Times New Roman" w:eastAsia="Times New Roman" w:hAnsi="Times New Roman"/>
          <w:sz w:val="24"/>
          <w:szCs w:val="24"/>
        </w:rPr>
        <w:t xml:space="preserve">Read the application as it will be filed: editable/application-body.docx and drawings/drawings.pdf. The declaration states that the inventor reviewed the application; sign only after reading it.</w:t>
      </w:r>
    </w:p>
    <w:p>
      <w:pPr>
        <w:tabs>
          <w:tab w:val="left" w:pos="540"/>
        </w:tabs>
        <w:spacing w:after="80" w:line="264"/>
        <w:ind w:left="540" w:hanging="540"/>
      </w:pPr>
      <w:r>
        <w:rPr>
          <w:rFonts w:ascii="Times New Roman" w:cs="Times New Roman" w:eastAsia="Times New Roman" w:hAnsi="Times New Roman"/>
          <w:sz w:val="24"/>
          <w:szCs w:val="24"/>
        </w:rPr>
        <w:t xml:space="preserve">2.	</w:t>
      </w:r>
      <w:r>
        <w:rPr>
          <w:rFonts w:ascii="Times New Roman" w:cs="Times New Roman" w:eastAsia="Times New Roman" w:hAnsi="Times New Roman"/>
          <w:sz w:val="24"/>
          <w:szCs w:val="24"/>
        </w:rPr>
        <w:t xml:space="preserve">Decide the claim-count question: file the 29 claims as built (1,440 USD of excess-claim fees as recorded; fee-worksheet.md sections 1 and 4), trim to 20 claims and 3 independent claims to avoid those fees (fee-worksheet.md section 4 names the candidates), or add Appendix A candidate claims (further fees and a probable restriction requirement; fee-worksheet.md section 5). This package is built for 29 claims with 6 independent claims; if the set is trimmed, rebuild the packages so that every count below is regenerated.</w:t>
      </w:r>
    </w:p>
    <w:p>
      <w:pPr>
        <w:tabs>
          <w:tab w:val="left" w:pos="540"/>
        </w:tabs>
        <w:spacing w:after="80" w:line="264"/>
        <w:ind w:left="540" w:hanging="540"/>
      </w:pPr>
      <w:r>
        <w:rPr>
          <w:rFonts w:ascii="Times New Roman" w:cs="Times New Roman" w:eastAsia="Times New Roman" w:hAnsi="Times New Roman"/>
          <w:sz w:val="24"/>
          <w:szCs w:val="24"/>
        </w:rPr>
        <w:t xml:space="preserve">3.	</w:t>
      </w:r>
      <w:r>
        <w:rPr>
          <w:rFonts w:ascii="Times New Roman" w:cs="Times New Roman" w:eastAsia="Times New Roman" w:hAnsi="Times New Roman"/>
          <w:sz w:val="24"/>
          <w:szCs w:val="24"/>
        </w:rPr>
        <w:t xml:space="preserve">Confirm small entity status still holds on the day of filing: no assignment, license or obligation to a non-small entity.</w:t>
      </w:r>
    </w:p>
    <w:p>
      <w:pPr>
        <w:tabs>
          <w:tab w:val="left" w:pos="540"/>
        </w:tabs>
        <w:spacing w:after="80" w:line="264"/>
        <w:ind w:left="540" w:hanging="540"/>
      </w:pPr>
      <w:r>
        <w:rPr>
          <w:rFonts w:ascii="Times New Roman" w:cs="Times New Roman" w:eastAsia="Times New Roman" w:hAnsi="Times New Roman"/>
          <w:sz w:val="24"/>
          <w:szCs w:val="24"/>
        </w:rPr>
        <w:t xml:space="preserve">4.	</w:t>
      </w:r>
      <w:r>
        <w:rPr>
          <w:rFonts w:ascii="Times New Roman" w:cs="Times New Roman" w:eastAsia="Times New Roman" w:hAnsi="Times New Roman"/>
          <w:sz w:val="24"/>
          <w:szCs w:val="24"/>
        </w:rPr>
        <w:t xml:space="preserve">Establish the earliest date on which the invention was publicly disclosed, used publicly or offered for sale (the product is live at admireveda.com). Under 35 U.S.C. 102(b)(1)(A) the inventor's own disclosure within one year before the filing date is not prior art against the application in the United States, but most other countries have no such grace period. File before the one-year anniversary of the earliest such date, and treat foreign protection as already limited by any public disclosure.</w:t>
      </w:r>
    </w:p>
    <w:p>
      <w:pPr>
        <w:tabs>
          <w:tab w:val="left" w:pos="540"/>
        </w:tabs>
        <w:spacing w:after="80" w:line="264"/>
        <w:ind w:left="540" w:hanging="540"/>
      </w:pPr>
      <w:r>
        <w:rPr>
          <w:rFonts w:ascii="Times New Roman" w:cs="Times New Roman" w:eastAsia="Times New Roman" w:hAnsi="Times New Roman"/>
          <w:sz w:val="24"/>
          <w:szCs w:val="24"/>
        </w:rPr>
        <w:t xml:space="preserve">5.	</w:t>
      </w:r>
      <w:r>
        <w:rPr>
          <w:rFonts w:ascii="Times New Roman" w:cs="Times New Roman" w:eastAsia="Times New Roman" w:hAnsi="Times New Roman"/>
          <w:sz w:val="24"/>
          <w:szCs w:val="24"/>
        </w:rPr>
        <w:t xml:space="preserve">Complete the must-pull items in ids-and-references.md section 6 if time allows; otherwise file the IDS with what is confirmed and supplement within three months.</w:t>
      </w:r>
    </w:p>
    <w:p>
      <w:pPr>
        <w:tabs>
          <w:tab w:val="left" w:pos="540"/>
        </w:tabs>
        <w:spacing w:after="80" w:line="264"/>
        <w:ind w:left="540" w:hanging="540"/>
      </w:pPr>
      <w:r>
        <w:rPr>
          <w:rFonts w:ascii="Times New Roman" w:cs="Times New Roman" w:eastAsia="Times New Roman" w:hAnsi="Times New Roman"/>
          <w:sz w:val="24"/>
          <w:szCs w:val="24"/>
        </w:rPr>
        <w:t xml:space="preserve">6.	</w:t>
      </w:r>
      <w:r>
        <w:rPr>
          <w:rFonts w:ascii="Times New Roman" w:cs="Times New Roman" w:eastAsia="Times New Roman" w:hAnsi="Times New Roman"/>
          <w:sz w:val="24"/>
          <w:szCs w:val="24"/>
        </w:rPr>
        <w:t xml:space="preserve">Decide the nonpublication question (application-data-sheet.md section 5). The package leaves it unchecked.</w:t>
      </w:r>
    </w:p>
    <w:p>
      <w:pPr>
        <w:tabs>
          <w:tab w:val="left" w:pos="540"/>
        </w:tabs>
        <w:spacing w:after="80" w:line="264"/>
        <w:ind w:left="540" w:hanging="540"/>
      </w:pPr>
      <w:r>
        <w:rPr>
          <w:rFonts w:ascii="Times New Roman" w:cs="Times New Roman" w:eastAsia="Times New Roman" w:hAnsi="Times New Roman"/>
          <w:sz w:val="24"/>
          <w:szCs w:val="24"/>
        </w:rPr>
        <w:t xml:space="preserve">7.	</w:t>
      </w:r>
      <w:r>
        <w:rPr>
          <w:rFonts w:ascii="Times New Roman" w:cs="Times New Roman" w:eastAsia="Times New Roman" w:hAnsi="Times New Roman"/>
          <w:sz w:val="24"/>
          <w:szCs w:val="24"/>
        </w:rPr>
        <w:t xml:space="preserve">Delete the review line from the document that will be filed: open editable/application-body.docx in Word, double-click the page header, delete the line "Prepared for Ravi Kiran Raju Yerra. Attorney review recommended before filing. Not legal advice.", close the header and save. This is the only edit the filed document needs. The same applies if the three separate DOCX files are uploaded instead of the combined body.</w:t>
      </w:r>
    </w:p>
    <w:p>
      <w:pPr>
        <w:pStyle w:val="Heading2"/>
        <w:keepNext/>
        <w:spacing w:after="120" w:before="200"/>
      </w:pPr>
      <w:r>
        <w:rPr>
          <w:rFonts w:ascii="Times New Roman" w:cs="Times New Roman" w:eastAsia="Times New Roman" w:hAnsi="Times New Roman"/>
          <w:b/>
          <w:bCs/>
          <w:color w:val="000000"/>
          <w:sz w:val="28"/>
          <w:szCs w:val="28"/>
        </w:rPr>
        <w:t xml:space="preserve">3. Create and verify a USPTO.gov account for Patent Center</w:t>
      </w:r>
    </w:p>
    <w:p>
      <w:pPr>
        <w:tabs>
          <w:tab w:val="left" w:pos="540"/>
        </w:tabs>
        <w:spacing w:after="80" w:line="264"/>
        <w:ind w:left="540" w:hanging="540"/>
      </w:pPr>
      <w:r>
        <w:rPr>
          <w:rFonts w:ascii="Times New Roman" w:cs="Times New Roman" w:eastAsia="Times New Roman" w:hAnsi="Times New Roman"/>
          <w:sz w:val="24"/>
          <w:szCs w:val="24"/>
        </w:rPr>
        <w:t xml:space="preserve">1.	</w:t>
      </w:r>
      <w:r>
        <w:rPr>
          <w:rFonts w:ascii="Times New Roman" w:cs="Times New Roman" w:eastAsia="Times New Roman" w:hAnsi="Times New Roman"/>
          <w:sz w:val="24"/>
          <w:szCs w:val="24"/>
        </w:rPr>
        <w:t xml:space="preserve">Go to the USPTO website and create a USPTO.gov account (MyUSPTO) using yerraslife@gmail.com. Turn on two-step authentication.</w:t>
      </w:r>
    </w:p>
    <w:p>
      <w:pPr>
        <w:tabs>
          <w:tab w:val="left" w:pos="540"/>
        </w:tabs>
        <w:spacing w:after="80" w:line="264"/>
        <w:ind w:left="540" w:hanging="540"/>
      </w:pPr>
      <w:r>
        <w:rPr>
          <w:rFonts w:ascii="Times New Roman" w:cs="Times New Roman" w:eastAsia="Times New Roman" w:hAnsi="Times New Roman"/>
          <w:sz w:val="24"/>
          <w:szCs w:val="24"/>
        </w:rPr>
        <w:t xml:space="preserve">2.	</w:t>
      </w:r>
      <w:r>
        <w:rPr>
          <w:rFonts w:ascii="Times New Roman" w:cs="Times New Roman" w:eastAsia="Times New Roman" w:hAnsi="Times New Roman"/>
          <w:sz w:val="24"/>
          <w:szCs w:val="24"/>
        </w:rPr>
        <w:t xml:space="preserve">Verify your identity for Patent Center. The USPTO uses an identity-verification provider (currently ID.me, online with a government ID and a selfie) or, as an alternative, a notarized paper identity verification form mailed to the USPTO. Online verification usually completes the same day; the paper route takes weeks. Verified status gives you the "Registered" Patent Center role, which lets you file, see the application after filing, receive notices and pay later fees. Unverified guest filing exists but is not suitable, because a guest cannot view the application afterwards.</w:t>
      </w:r>
    </w:p>
    <w:p>
      <w:pPr>
        <w:tabs>
          <w:tab w:val="left" w:pos="540"/>
        </w:tabs>
        <w:spacing w:after="80" w:line="264"/>
        <w:ind w:left="540" w:hanging="540"/>
      </w:pPr>
      <w:r>
        <w:rPr>
          <w:rFonts w:ascii="Times New Roman" w:cs="Times New Roman" w:eastAsia="Times New Roman" w:hAnsi="Times New Roman"/>
          <w:sz w:val="24"/>
          <w:szCs w:val="24"/>
        </w:rPr>
        <w:t xml:space="preserve">3.	</w:t>
      </w:r>
      <w:r>
        <w:rPr>
          <w:rFonts w:ascii="Times New Roman" w:cs="Times New Roman" w:eastAsia="Times New Roman" w:hAnsi="Times New Roman"/>
          <w:sz w:val="24"/>
          <w:szCs w:val="24"/>
        </w:rPr>
        <w:t xml:space="preserve">You are the applicant and the inventor, so no practitioner sponsorship is needed. Do not add anyone else as a sponsor or practitioner.</w:t>
      </w:r>
    </w:p>
    <w:p>
      <w:pPr>
        <w:tabs>
          <w:tab w:val="left" w:pos="540"/>
        </w:tabs>
        <w:spacing w:after="80" w:line="264"/>
        <w:ind w:left="540" w:hanging="540"/>
      </w:pPr>
      <w:r>
        <w:rPr>
          <w:rFonts w:ascii="Times New Roman" w:cs="Times New Roman" w:eastAsia="Times New Roman" w:hAnsi="Times New Roman"/>
          <w:sz w:val="24"/>
          <w:szCs w:val="24"/>
        </w:rPr>
        <w:t xml:space="preserve">4.	</w:t>
      </w:r>
      <w:r>
        <w:rPr>
          <w:rFonts w:ascii="Times New Roman" w:cs="Times New Roman" w:eastAsia="Times New Roman" w:hAnsi="Times New Roman"/>
          <w:sz w:val="24"/>
          <w:szCs w:val="24"/>
        </w:rPr>
        <w:t xml:space="preserve">Sign in to Patent Center and confirm you can open "New submission".</w:t>
      </w:r>
    </w:p>
    <w:p>
      <w:pPr>
        <w:pStyle w:val="Heading2"/>
        <w:keepNext/>
        <w:spacing w:after="120" w:before="200"/>
      </w:pPr>
      <w:r>
        <w:rPr>
          <w:rFonts w:ascii="Times New Roman" w:cs="Times New Roman" w:eastAsia="Times New Roman" w:hAnsi="Times New Roman"/>
          <w:b/>
          <w:bCs/>
          <w:color w:val="000000"/>
          <w:sz w:val="28"/>
          <w:szCs w:val="28"/>
        </w:rPr>
        <w:t xml:space="preserve">4. Documents to upload, in order</w:t>
      </w:r>
    </w:p>
    <w:p>
      <w:pPr>
        <w:keepLines w:val="false"/>
        <w:spacing w:after="160" w:line="276"/>
        <w:jc w:val="left"/>
      </w:pPr>
      <w:r>
        <w:rPr>
          <w:rFonts w:ascii="Times New Roman" w:cs="Times New Roman" w:eastAsia="Times New Roman" w:hAnsi="Times New Roman"/>
          <w:sz w:val="24"/>
          <w:szCs w:val="24"/>
        </w:rPr>
        <w:t xml:space="preserve">Prepare these files on your computer before starting the submission.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2197"/>
        <w:gridCol w:w="2636"/>
        <w:gridCol w:w="2636"/>
        <w:gridCol w:w="1191"/>
      </w:tblGrid>
      <w:tr>
        <w:trPr>
          <w:tblHeader/>
        </w:trPr>
        <w:tc>
          <w:tcPr>
            <w:tcW w:type="dxa" w:w="700"/>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Order</w:t>
            </w:r>
          </w:p>
        </w:tc>
        <w:tc>
          <w:tcPr>
            <w:tcW w:type="dxa" w:w="2197"/>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Document</w:t>
            </w:r>
          </w:p>
        </w:tc>
        <w:tc>
          <w:tcPr>
            <w:tcW w:type="dxa" w:w="2636"/>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File</w:t>
            </w:r>
          </w:p>
        </w:tc>
        <w:tc>
          <w:tcPr>
            <w:tcW w:type="dxa" w:w="2636"/>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Patent Center document description</w:t>
            </w:r>
          </w:p>
        </w:tc>
        <w:tc>
          <w:tcPr>
            <w:tcW w:type="dxa" w:w="1191"/>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Format</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1</w:t>
            </w:r>
          </w:p>
        </w:tc>
        <w:tc>
          <w:tcPr>
            <w:tcW w:type="dxa" w:w="2197"/>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Application body (specification, claims, abstract)</w:t>
            </w:r>
          </w:p>
        </w:tc>
        <w:tc>
          <w:tcPr>
            <w:tcW w:type="dxa" w:w="2636"/>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editable/application-body.docx (review line removed)</w:t>
            </w:r>
          </w:p>
        </w:tc>
        <w:tc>
          <w:tcPr>
            <w:tcW w:type="dxa" w:w="2636"/>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Specification, Claims, Abstract; Patent Center detects the three sections from the headings and asks you to confirm them</w:t>
            </w:r>
          </w:p>
        </w:tc>
        <w:tc>
          <w:tcPr>
            <w:tcW w:type="dxa" w:w="1191"/>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DOCX</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2</w:t>
            </w:r>
          </w:p>
        </w:tc>
        <w:tc>
          <w:tcPr>
            <w:tcW w:type="dxa" w:w="2197"/>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Drawings</w:t>
            </w:r>
          </w:p>
        </w:tc>
        <w:tc>
          <w:tcPr>
            <w:tcW w:type="dxa" w:w="2636"/>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drawings/drawings.pdf</w:t>
            </w:r>
          </w:p>
        </w:tc>
        <w:tc>
          <w:tcPr>
            <w:tcW w:type="dxa" w:w="2636"/>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Drawings (only black and white line drawings)</w:t>
            </w:r>
          </w:p>
        </w:tc>
        <w:tc>
          <w:tcPr>
            <w:tcW w:type="dxa" w:w="1191"/>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PDF, 13 sheets</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3</w:t>
            </w:r>
          </w:p>
        </w:tc>
        <w:tc>
          <w:tcPr>
            <w:tcW w:type="dxa" w:w="2197"/>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Application Data Sheet</w:t>
            </w:r>
          </w:p>
        </w:tc>
        <w:tc>
          <w:tcPr>
            <w:tcW w:type="dxa" w:w="2636"/>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Entered in the web ADS from application-data-sheet.md, or PTO/AIA/14 filled from it</w:t>
            </w:r>
          </w:p>
        </w:tc>
        <w:tc>
          <w:tcPr>
            <w:tcW w:type="dxa" w:w="2636"/>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Application Data Sheet</w:t>
            </w:r>
          </w:p>
        </w:tc>
        <w:tc>
          <w:tcPr>
            <w:tcW w:type="dxa" w:w="1191"/>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Web form, or the original fillable PDF</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4</w:t>
            </w:r>
          </w:p>
        </w:tc>
        <w:tc>
          <w:tcPr>
            <w:tcW w:type="dxa" w:w="2197"/>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Inventor's declaration</w:t>
            </w:r>
          </w:p>
        </w:tc>
        <w:tc>
          <w:tcPr>
            <w:tcW w:type="dxa" w:w="2636"/>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PTO/AIA/01 completed and signed from inventor-declaration.md</w:t>
            </w:r>
          </w:p>
        </w:tc>
        <w:tc>
          <w:tcPr>
            <w:tcW w:type="dxa" w:w="2636"/>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Oath or Declaration filed</w:t>
            </w:r>
          </w:p>
        </w:tc>
        <w:tc>
          <w:tcPr>
            <w:tcW w:type="dxa" w:w="1191"/>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PDF</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5</w:t>
            </w:r>
          </w:p>
        </w:tc>
        <w:tc>
          <w:tcPr>
            <w:tcW w:type="dxa" w:w="2197"/>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Information Disclosure Statement</w:t>
            </w:r>
          </w:p>
        </w:tc>
        <w:tc>
          <w:tcPr>
            <w:tcW w:type="dxa" w:w="2636"/>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PTO/SB/08a and 08b completed from ids-and-references.md, or the Patent Center IDS web form</w:t>
            </w:r>
          </w:p>
        </w:tc>
        <w:tc>
          <w:tcPr>
            <w:tcW w:type="dxa" w:w="2636"/>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Information Disclosure Statement (IDS)</w:t>
            </w:r>
          </w:p>
        </w:tc>
        <w:tc>
          <w:tcPr>
            <w:tcW w:type="dxa" w:w="1191"/>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Web form or PDF</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6</w:t>
            </w:r>
          </w:p>
        </w:tc>
        <w:tc>
          <w:tcPr>
            <w:tcW w:type="dxa" w:w="2197"/>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Copies of non-patent literature</w:t>
            </w:r>
          </w:p>
        </w:tc>
        <w:tc>
          <w:tcPr>
            <w:tcW w:type="dxa" w:w="2636"/>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One PDF per item N1 to N17 in ids-and-references.md</w:t>
            </w:r>
          </w:p>
        </w:tc>
        <w:tc>
          <w:tcPr>
            <w:tcW w:type="dxa" w:w="2636"/>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Non Patent Literature</w:t>
            </w:r>
          </w:p>
        </w:tc>
        <w:tc>
          <w:tcPr>
            <w:tcW w:type="dxa" w:w="1191"/>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PDF, one file per item</w:t>
            </w:r>
          </w:p>
        </w:tc>
      </w:tr>
    </w:tbl>
    <w:p>
      <w:pPr>
        <w:spacing w:after="120"/>
      </w:pPr>
    </w:p>
    <w:p>
      <w:pPr>
        <w:keepLines w:val="false"/>
        <w:spacing w:after="160" w:line="276"/>
        <w:jc w:val="left"/>
      </w:pPr>
      <w:r>
        <w:rPr>
          <w:rFonts w:ascii="Times New Roman" w:cs="Times New Roman" w:eastAsia="Times New Roman" w:hAnsi="Times New Roman"/>
          <w:sz w:val="24"/>
          <w:szCs w:val="24"/>
        </w:rPr>
        <w:t xml:space="preserve">DOCX versus PDF. The USPTO charges a non-DOCX surcharge (37 CFR 1.16(u); 172 USD small entity as recorded, verify current USPTO fee schedule at filing) when the specification, claims or abstract of a nonprovisional application are filed in a format other than DOCX. Upload the application body as DOCX to avoid it. Patent Center validates the DOCX, converts it, and shows the result; review the rendered pages before submitting, in particular the claim numbers 1 to 29, the paragraph numbers [0001] to [0112] and the figure references FIG. 1 to FIG. 13. If Patent Center flags a formatting warning, read it; warnings about fonts or tables are informational, errors must be corrected in Word and the file re-uploaded. After filing, download the USPTO-rendered PDF of the application from Patent Center and keep it with the DOCX. The drawings, declaration and IDS are filed as PDF; no surcharge applies to them.</w:t>
      </w:r>
    </w:p>
    <w:p>
      <w:pPr>
        <w:pStyle w:val="Heading2"/>
        <w:keepNext/>
        <w:spacing w:after="120" w:before="200"/>
      </w:pPr>
      <w:r>
        <w:rPr>
          <w:rFonts w:ascii="Times New Roman" w:cs="Times New Roman" w:eastAsia="Times New Roman" w:hAnsi="Times New Roman"/>
          <w:b/>
          <w:bCs/>
          <w:color w:val="000000"/>
          <w:sz w:val="28"/>
          <w:szCs w:val="28"/>
        </w:rPr>
        <w:t xml:space="preserve">5. Patent Center, step by step</w:t>
      </w:r>
    </w:p>
    <w:p>
      <w:pPr>
        <w:tabs>
          <w:tab w:val="left" w:pos="540"/>
        </w:tabs>
        <w:spacing w:after="80" w:line="264"/>
        <w:ind w:left="540" w:hanging="540"/>
      </w:pPr>
      <w:r>
        <w:rPr>
          <w:rFonts w:ascii="Times New Roman" w:cs="Times New Roman" w:eastAsia="Times New Roman" w:hAnsi="Times New Roman"/>
          <w:sz w:val="24"/>
          <w:szCs w:val="24"/>
        </w:rPr>
        <w:t xml:space="preserve">1.	</w:t>
      </w:r>
      <w:r>
        <w:rPr>
          <w:rFonts w:ascii="Times New Roman" w:cs="Times New Roman" w:eastAsia="Times New Roman" w:hAnsi="Times New Roman"/>
          <w:sz w:val="24"/>
          <w:szCs w:val="24"/>
        </w:rPr>
        <w:t xml:space="preserve">Sign in to Patent Center. Choose "New submission", then "Regular (utility, design, plant)" or the equivalent wording in the current interface, then application type "Utility" and filing type "Nonprovisional application under 35 U.S.C. 111(a)".</w:t>
      </w:r>
    </w:p>
    <w:p>
      <w:pPr>
        <w:tabs>
          <w:tab w:val="left" w:pos="540"/>
        </w:tabs>
        <w:spacing w:after="80" w:line="264"/>
        <w:ind w:left="540" w:hanging="540"/>
      </w:pPr>
      <w:r>
        <w:rPr>
          <w:rFonts w:ascii="Times New Roman" w:cs="Times New Roman" w:eastAsia="Times New Roman" w:hAnsi="Times New Roman"/>
          <w:sz w:val="24"/>
          <w:szCs w:val="24"/>
        </w:rPr>
        <w:t xml:space="preserve">2.	</w:t>
      </w:r>
      <w:r>
        <w:rPr>
          <w:rFonts w:ascii="Times New Roman" w:cs="Times New Roman" w:eastAsia="Times New Roman" w:hAnsi="Times New Roman"/>
          <w:sz w:val="24"/>
          <w:szCs w:val="24"/>
        </w:rPr>
        <w:t xml:space="preserve">Application Data Sheet: choose the web ADS. Enter every field from application-data-sheet.md: secrecy order no; inventor (given name Ravi Kiran Raju, family name Yerra, US residency, Celina, Texas, mailing address 604 Wexford Dr, Celina, TX 75009, US); correspondence (no customer number; name and address as above; yerraslife@gmail.com; 408-718-4217); title "Screen-Aware, Read-Only Task Guidance with On-Device Redaction and Tenant-Governed Data Egress"; small entity asserted; nonprovisional; utility; 13 drawing sheets; suggested figure 2; publication requests both unchecked; no representative; domestic benefit and foreign priority per the ADS document; access authorization left at the default; applicant is the inventor; no assignee; S-signature /Ravi Kiran Raju Yerra/.</w:t>
      </w:r>
    </w:p>
    <w:p>
      <w:pPr>
        <w:tabs>
          <w:tab w:val="left" w:pos="540"/>
        </w:tabs>
        <w:spacing w:after="80" w:line="264"/>
        <w:ind w:left="540" w:hanging="540"/>
      </w:pPr>
      <w:r>
        <w:rPr>
          <w:rFonts w:ascii="Times New Roman" w:cs="Times New Roman" w:eastAsia="Times New Roman" w:hAnsi="Times New Roman"/>
          <w:sz w:val="24"/>
          <w:szCs w:val="24"/>
        </w:rPr>
        <w:t xml:space="preserve">3.	</w:t>
      </w:r>
      <w:r>
        <w:rPr>
          <w:rFonts w:ascii="Times New Roman" w:cs="Times New Roman" w:eastAsia="Times New Roman" w:hAnsi="Times New Roman"/>
          <w:sz w:val="24"/>
          <w:szCs w:val="24"/>
        </w:rPr>
        <w:t xml:space="preserve">Upload documents: add editable/application-body.docx and confirm the section mapping (Specification, Claims, Abstract) that Patent Center proposes. Add drawings/drawings.pdf as Drawings. Add the signed PTO/AIA/01 as Oath or Declaration filed. Add the IDS (web form or SB/08 PDF) and one PDF per non-patent literature item.</w:t>
      </w:r>
    </w:p>
    <w:p>
      <w:pPr>
        <w:tabs>
          <w:tab w:val="left" w:pos="540"/>
        </w:tabs>
        <w:spacing w:after="80" w:line="264"/>
        <w:ind w:left="540" w:hanging="540"/>
      </w:pPr>
      <w:r>
        <w:rPr>
          <w:rFonts w:ascii="Times New Roman" w:cs="Times New Roman" w:eastAsia="Times New Roman" w:hAnsi="Times New Roman"/>
          <w:sz w:val="24"/>
          <w:szCs w:val="24"/>
        </w:rPr>
        <w:t xml:space="preserve">4.	</w:t>
      </w:r>
      <w:r>
        <w:rPr>
          <w:rFonts w:ascii="Times New Roman" w:cs="Times New Roman" w:eastAsia="Times New Roman" w:hAnsi="Times New Roman"/>
          <w:sz w:val="24"/>
          <w:szCs w:val="24"/>
        </w:rPr>
        <w:t xml:space="preserve">Fees: select entity status "Small". Check the fee lines against fee-worksheet.md: basic filing fee (electronic, small entity) 70, search fee 308, examination fee 352, claims in excess of 20 at 80 each for 9 claims (720), independent claims in excess of 3 at 240 each for 3 claims (720), total 2,170 (as recorded; verify current USPTO fee schedule at filing). The two excess-claim lines must show exactly 9 and 3, and there must be no non-DOCX surcharge line. If the lines differ, go back and fix the cause before paying.</w:t>
      </w:r>
    </w:p>
    <w:p>
      <w:pPr>
        <w:tabs>
          <w:tab w:val="left" w:pos="540"/>
        </w:tabs>
        <w:spacing w:after="80" w:line="264"/>
        <w:ind w:left="540" w:hanging="540"/>
      </w:pPr>
      <w:r>
        <w:rPr>
          <w:rFonts w:ascii="Times New Roman" w:cs="Times New Roman" w:eastAsia="Times New Roman" w:hAnsi="Times New Roman"/>
          <w:sz w:val="24"/>
          <w:szCs w:val="24"/>
        </w:rPr>
        <w:t xml:space="preserve">5.	</w:t>
      </w:r>
      <w:r>
        <w:rPr>
          <w:rFonts w:ascii="Times New Roman" w:cs="Times New Roman" w:eastAsia="Times New Roman" w:hAnsi="Times New Roman"/>
          <w:sz w:val="24"/>
          <w:szCs w:val="24"/>
        </w:rPr>
        <w:t xml:space="preserve">Review the whole submission summary: inventor name, title, entity status, document list, fee total.</w:t>
      </w:r>
    </w:p>
    <w:p>
      <w:pPr>
        <w:tabs>
          <w:tab w:val="left" w:pos="540"/>
        </w:tabs>
        <w:spacing w:after="80" w:line="264"/>
        <w:ind w:left="540" w:hanging="540"/>
      </w:pPr>
      <w:r>
        <w:rPr>
          <w:rFonts w:ascii="Times New Roman" w:cs="Times New Roman" w:eastAsia="Times New Roman" w:hAnsi="Times New Roman"/>
          <w:sz w:val="24"/>
          <w:szCs w:val="24"/>
        </w:rPr>
        <w:t xml:space="preserve">6.	</w:t>
      </w:r>
      <w:r>
        <w:rPr>
          <w:rFonts w:ascii="Times New Roman" w:cs="Times New Roman" w:eastAsia="Times New Roman" w:hAnsi="Times New Roman"/>
          <w:sz w:val="24"/>
          <w:szCs w:val="24"/>
        </w:rPr>
        <w:t xml:space="preserve">Submit and pay (credit or debit card, bank transfer, or deposit account).</w:t>
      </w:r>
    </w:p>
    <w:p>
      <w:pPr>
        <w:tabs>
          <w:tab w:val="left" w:pos="540"/>
        </w:tabs>
        <w:spacing w:after="80" w:line="264"/>
        <w:ind w:left="540" w:hanging="540"/>
      </w:pPr>
      <w:r>
        <w:rPr>
          <w:rFonts w:ascii="Times New Roman" w:cs="Times New Roman" w:eastAsia="Times New Roman" w:hAnsi="Times New Roman"/>
          <w:sz w:val="24"/>
          <w:szCs w:val="24"/>
        </w:rPr>
        <w:t xml:space="preserve">7.	</w:t>
      </w:r>
      <w:r>
        <w:rPr>
          <w:rFonts w:ascii="Times New Roman" w:cs="Times New Roman" w:eastAsia="Times New Roman" w:hAnsi="Times New Roman"/>
          <w:sz w:val="24"/>
          <w:szCs w:val="24"/>
        </w:rPr>
        <w:t xml:space="preserve">Immediately save the Electronic Acknowledgement Receipt (EAR). It shows the application number (format 18/xxx,xxx for a nonprovisional filed in the current series; the series number depends on the filing date), the confirmation number (four digits, used together with the application number on all later papers), the filing date and the list of documents received. The application is "patent pending" from this moment and may be marked as such.</w:t>
      </w:r>
    </w:p>
    <w:p>
      <w:pPr>
        <w:pStyle w:val="Heading2"/>
        <w:keepNext/>
        <w:spacing w:after="120" w:before="200"/>
      </w:pPr>
      <w:r>
        <w:rPr>
          <w:rFonts w:ascii="Times New Roman" w:cs="Times New Roman" w:eastAsia="Times New Roman" w:hAnsi="Times New Roman"/>
          <w:b/>
          <w:bCs/>
          <w:color w:val="000000"/>
          <w:sz w:val="28"/>
          <w:szCs w:val="28"/>
        </w:rPr>
        <w:t xml:space="preserve">6. After submission</w:t>
      </w:r>
    </w:p>
    <w:p>
      <w:pPr>
        <w:tabs>
          <w:tab w:val="left" w:pos="540"/>
        </w:tabs>
        <w:spacing w:after="80" w:line="264"/>
        <w:ind w:left="540" w:hanging="540"/>
      </w:pPr>
      <w:r>
        <w:rPr>
          <w:rFonts w:ascii="Times New Roman" w:cs="Times New Roman" w:eastAsia="Times New Roman" w:hAnsi="Times New Roman"/>
          <w:sz w:val="24"/>
          <w:szCs w:val="24"/>
        </w:rPr>
        <w:t xml:space="preserve">1.	</w:t>
      </w:r>
      <w:r>
        <w:rPr>
          <w:rFonts w:ascii="Times New Roman" w:cs="Times New Roman" w:eastAsia="Times New Roman" w:hAnsi="Times New Roman"/>
          <w:sz w:val="24"/>
          <w:szCs w:val="24"/>
        </w:rPr>
        <w:t xml:space="preserve">Filing Receipt. The USPTO issues the official Filing Receipt some weeks after submission; it appears in Patent Center and is sent to the correspondence address. Check it line by line against the EAR and the ADS: inventor name, title, application number, confirmation number, filing date, entity status (should read small), total claims 29, independent claims 6, drawing sheets 13. Request correction in Patent Center if anything is wrong; errors in the Filing Receipt are corrected without fee when the USPTO made them.</w:t>
      </w:r>
    </w:p>
    <w:p>
      <w:pPr>
        <w:tabs>
          <w:tab w:val="left" w:pos="540"/>
        </w:tabs>
        <w:spacing w:after="80" w:line="264"/>
        <w:ind w:left="540" w:hanging="540"/>
      </w:pPr>
      <w:r>
        <w:rPr>
          <w:rFonts w:ascii="Times New Roman" w:cs="Times New Roman" w:eastAsia="Times New Roman" w:hAnsi="Times New Roman"/>
          <w:sz w:val="24"/>
          <w:szCs w:val="24"/>
        </w:rPr>
        <w:t xml:space="preserve">2.	</w:t>
      </w:r>
      <w:r>
        <w:rPr>
          <w:rFonts w:ascii="Times New Roman" w:cs="Times New Roman" w:eastAsia="Times New Roman" w:hAnsi="Times New Roman"/>
          <w:sz w:val="24"/>
          <w:szCs w:val="24"/>
        </w:rPr>
        <w:t xml:space="preserve">Foreign filing license. The Filing Receipt states whether a foreign filing license under 35 U.S.C. 184 is granted. Do not file in another country or under the PCT before the license is granted or six months have passed from the filing date.</w:t>
      </w:r>
    </w:p>
    <w:p>
      <w:pPr>
        <w:tabs>
          <w:tab w:val="left" w:pos="540"/>
        </w:tabs>
        <w:spacing w:after="80" w:line="264"/>
        <w:ind w:left="540" w:hanging="540"/>
      </w:pPr>
      <w:r>
        <w:rPr>
          <w:rFonts w:ascii="Times New Roman" w:cs="Times New Roman" w:eastAsia="Times New Roman" w:hAnsi="Times New Roman"/>
          <w:sz w:val="24"/>
          <w:szCs w:val="24"/>
        </w:rPr>
        <w:t xml:space="preserve">3.	</w:t>
      </w:r>
      <w:r>
        <w:rPr>
          <w:rFonts w:ascii="Times New Roman" w:cs="Times New Roman" w:eastAsia="Times New Roman" w:hAnsi="Times New Roman"/>
          <w:sz w:val="24"/>
          <w:szCs w:val="24"/>
        </w:rPr>
        <w:t xml:space="preserve">Notices. If something was missing or defective, a Notice to File Missing Parts or a Notice to File Corrected Application Papers sets a two-month period to fix it; respond within the period. With this package complete, none is expected.</w:t>
      </w:r>
    </w:p>
    <w:p>
      <w:pPr>
        <w:tabs>
          <w:tab w:val="left" w:pos="540"/>
        </w:tabs>
        <w:spacing w:after="80" w:line="264"/>
        <w:ind w:left="540" w:hanging="540"/>
      </w:pPr>
      <w:r>
        <w:rPr>
          <w:rFonts w:ascii="Times New Roman" w:cs="Times New Roman" w:eastAsia="Times New Roman" w:hAnsi="Times New Roman"/>
          <w:sz w:val="24"/>
          <w:szCs w:val="24"/>
        </w:rPr>
        <w:t xml:space="preserve">4.	</w:t>
      </w:r>
      <w:r>
        <w:rPr>
          <w:rFonts w:ascii="Times New Roman" w:cs="Times New Roman" w:eastAsia="Times New Roman" w:hAnsi="Times New Roman"/>
          <w:sz w:val="24"/>
          <w:szCs w:val="24"/>
        </w:rPr>
        <w:t xml:space="preserve">Correspondence. Office actions and notices arrive in Patent Center and, with e-Office Action opted in, by email notification. Each sets a response deadline; most Office actions allow three months, extendable to six with extension fees. Missing a deadline abandons the application.</w:t>
      </w:r>
    </w:p>
    <w:p>
      <w:pPr>
        <w:tabs>
          <w:tab w:val="left" w:pos="540"/>
        </w:tabs>
        <w:spacing w:after="80" w:line="264"/>
        <w:ind w:left="540" w:hanging="540"/>
      </w:pPr>
      <w:r>
        <w:rPr>
          <w:rFonts w:ascii="Times New Roman" w:cs="Times New Roman" w:eastAsia="Times New Roman" w:hAnsi="Times New Roman"/>
          <w:sz w:val="24"/>
          <w:szCs w:val="24"/>
        </w:rPr>
        <w:t xml:space="preserve">5.	</w:t>
      </w:r>
      <w:r>
        <w:rPr>
          <w:rFonts w:ascii="Times New Roman" w:cs="Times New Roman" w:eastAsia="Times New Roman" w:hAnsi="Times New Roman"/>
          <w:sz w:val="24"/>
          <w:szCs w:val="24"/>
        </w:rPr>
        <w:t xml:space="preserve">Publication. The application publishes about 18 months after the filing date unless a nonpublication request was made. Publication starts provisional rights (35 U.S.C. 154(d)).</w:t>
      </w:r>
    </w:p>
    <w:p>
      <w:pPr>
        <w:tabs>
          <w:tab w:val="left" w:pos="540"/>
        </w:tabs>
        <w:spacing w:after="80" w:line="264"/>
        <w:ind w:left="540" w:hanging="540"/>
      </w:pPr>
      <w:r>
        <w:rPr>
          <w:rFonts w:ascii="Times New Roman" w:cs="Times New Roman" w:eastAsia="Times New Roman" w:hAnsi="Times New Roman"/>
          <w:sz w:val="24"/>
          <w:szCs w:val="24"/>
        </w:rPr>
        <w:t xml:space="preserve">6.	</w:t>
      </w:r>
      <w:r>
        <w:rPr>
          <w:rFonts w:ascii="Times New Roman" w:cs="Times New Roman" w:eastAsia="Times New Roman" w:hAnsi="Times New Roman"/>
          <w:sz w:val="24"/>
          <w:szCs w:val="24"/>
        </w:rPr>
        <w:t xml:space="preserve">Examination. A first Office action typically arrives one to three years after filing, depending on the art unit. The prioritized examination program (Track One, 37 CFR 1.102(e)) is available for an additional fee if a faster first action is wanted; it can be requested at filing or with a request for continued examination.</w:t>
      </w:r>
    </w:p>
    <w:p>
      <w:pPr>
        <w:pStyle w:val="Heading2"/>
        <w:keepNext/>
        <w:spacing w:after="120" w:before="200"/>
      </w:pPr>
      <w:r>
        <w:rPr>
          <w:rFonts w:ascii="Times New Roman" w:cs="Times New Roman" w:eastAsia="Times New Roman" w:hAnsi="Times New Roman"/>
          <w:b/>
          <w:bCs/>
          <w:color w:val="000000"/>
          <w:sz w:val="28"/>
          <w:szCs w:val="28"/>
        </w:rPr>
        <w:t xml:space="preserve">7. Calendar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61"/>
        <w:gridCol w:w="5299"/>
      </w:tblGrid>
      <w:tr>
        <w:trPr>
          <w:tblHeader/>
        </w:trPr>
        <w:tc>
          <w:tcPr>
            <w:tcW w:type="dxa" w:w="4061"/>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Date</w:t>
            </w:r>
          </w:p>
        </w:tc>
        <w:tc>
          <w:tcPr>
            <w:tcW w:type="dxa" w:w="5299"/>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What</w:t>
            </w:r>
          </w:p>
        </w:tc>
      </w:tr>
      <w:tr>
        <w:trPr>
          <w:tblHeader w:val="false"/>
        </w:trPr>
        <w:tc>
          <w:tcPr>
            <w:tcW w:type="dxa" w:w="4061"/>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Filing date</w:t>
            </w:r>
          </w:p>
        </w:tc>
        <w:tc>
          <w:tcPr>
            <w:tcW w:type="dxa" w:w="5299"/>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Application number and confirmation number issued; "patent pending"</w:t>
            </w:r>
          </w:p>
        </w:tc>
      </w:tr>
      <w:tr>
        <w:trPr>
          <w:tblHeader w:val="false"/>
        </w:trPr>
        <w:tc>
          <w:tcPr>
            <w:tcW w:type="dxa" w:w="4061"/>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Filing date plus 3 months</w:t>
            </w:r>
          </w:p>
        </w:tc>
        <w:tc>
          <w:tcPr>
            <w:tcW w:type="dxa" w:w="5299"/>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Last day to file or supplement the IDS without fee or statement (37 CFR 1.97(b))</w:t>
            </w:r>
          </w:p>
        </w:tc>
      </w:tr>
      <w:tr>
        <w:trPr>
          <w:tblHeader w:val="false"/>
        </w:trPr>
        <w:tc>
          <w:tcPr>
            <w:tcW w:type="dxa" w:w="4061"/>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Filing date plus 12 months</w:t>
            </w:r>
          </w:p>
        </w:tc>
        <w:tc>
          <w:tcPr>
            <w:tcW w:type="dxa" w:w="5299"/>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Last day to file foreign applications or a PCT application claiming priority to this application under the Paris Convention (35 U.S.C. 119(a); PCT Article 8). A hard deadline; after it, foreign rights depend on each country's own rules and are generally lost once the application is published.</w:t>
            </w:r>
          </w:p>
        </w:tc>
      </w:tr>
      <w:tr>
        <w:trPr>
          <w:tblHeader w:val="false"/>
        </w:trPr>
        <w:tc>
          <w:tcPr>
            <w:tcW w:type="dxa" w:w="4061"/>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Filing date plus about 18 months</w:t>
            </w:r>
          </w:p>
        </w:tc>
        <w:tc>
          <w:tcPr>
            <w:tcW w:type="dxa" w:w="5299"/>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Publication of the application (unless a nonpublication request was made)</w:t>
            </w:r>
          </w:p>
        </w:tc>
      </w:tr>
      <w:tr>
        <w:trPr>
          <w:tblHeader w:val="false"/>
        </w:trPr>
        <w:tc>
          <w:tcPr>
            <w:tcW w:type="dxa" w:w="4061"/>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Each Office action</w:t>
            </w:r>
          </w:p>
        </w:tc>
        <w:tc>
          <w:tcPr>
            <w:tcW w:type="dxa" w:w="5299"/>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Response due within the period set, usually 3 months, extendable to 6 with fees</w:t>
            </w:r>
          </w:p>
        </w:tc>
      </w:tr>
      <w:tr>
        <w:trPr>
          <w:tblHeader w:val="false"/>
        </w:trPr>
        <w:tc>
          <w:tcPr>
            <w:tcW w:type="dxa" w:w="4061"/>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Notice of Allowance</w:t>
            </w:r>
          </w:p>
        </w:tc>
        <w:tc>
          <w:tcPr>
            <w:tcW w:type="dxa" w:w="5299"/>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Issue fee due within 3 months, not extendable</w:t>
            </w:r>
          </w:p>
        </w:tc>
      </w:tr>
      <w:tr>
        <w:trPr>
          <w:tblHeader w:val="false"/>
        </w:trPr>
        <w:tc>
          <w:tcPr>
            <w:tcW w:type="dxa" w:w="4061"/>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Patent issue date plus 3.5, 7.5 and 11.5 years</w:t>
            </w:r>
          </w:p>
        </w:tc>
        <w:tc>
          <w:tcPr>
            <w:tcW w:type="dxa" w:w="5299"/>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Maintenance fees</w:t>
            </w:r>
          </w:p>
        </w:tc>
      </w:tr>
    </w:tbl>
    <w:p>
      <w:pPr>
        <w:spacing w:after="120"/>
      </w:pPr>
    </w:p>
    <w:p>
      <w:pPr>
        <w:pStyle w:val="Heading2"/>
        <w:keepNext/>
        <w:spacing w:after="120" w:before="200"/>
      </w:pPr>
      <w:r>
        <w:rPr>
          <w:rFonts w:ascii="Times New Roman" w:cs="Times New Roman" w:eastAsia="Times New Roman" w:hAnsi="Times New Roman"/>
          <w:b/>
          <w:bCs/>
          <w:color w:val="000000"/>
          <w:sz w:val="28"/>
          <w:szCs w:val="28"/>
        </w:rPr>
        <w:t xml:space="preserve">8. The benefit claim: the two values to enter and the deadlines</w:t>
      </w:r>
    </w:p>
    <w:p>
      <w:pPr>
        <w:keepLines w:val="false"/>
        <w:spacing w:after="160" w:line="276"/>
        <w:jc w:val="left"/>
      </w:pPr>
      <w:r>
        <w:rPr>
          <w:rFonts w:ascii="Times New Roman" w:cs="Times New Roman" w:eastAsia="Times New Roman" w:hAnsi="Times New Roman"/>
          <w:sz w:val="24"/>
          <w:szCs w:val="24"/>
        </w:rPr>
        <w:t xml:space="preserve">This package already claims the benefit of the provisional application. Complete the benefit claim as follows; these are the only two values entered by hand anywhere in this package.</w:t>
      </w:r>
    </w:p>
    <w:p>
      <w:pPr>
        <w:tabs>
          <w:tab w:val="left" w:pos="540"/>
        </w:tabs>
        <w:spacing w:after="80" w:line="264"/>
        <w:ind w:left="540" w:hanging="540"/>
      </w:pPr>
      <w:r>
        <w:rPr>
          <w:rFonts w:ascii="Times New Roman" w:cs="Times New Roman" w:eastAsia="Times New Roman" w:hAnsi="Times New Roman"/>
          <w:sz w:val="24"/>
          <w:szCs w:val="24"/>
        </w:rPr>
        <w:t xml:space="preserve">1.	</w:t>
      </w:r>
      <w:r>
        <w:rPr>
          <w:rFonts w:ascii="Times New Roman" w:cs="Times New Roman" w:eastAsia="Times New Roman" w:hAnsi="Times New Roman"/>
          <w:sz w:val="24"/>
          <w:szCs w:val="24"/>
        </w:rPr>
        <w:t xml:space="preserve">Open the provisional application's filing receipt (the Electronic Acknowledgement Receipt from the day of submission, or the official Filing Receipt in Patent Center). Copy the application number (format 63/xxx,xxx) and the filing date (the date the provisional was filed, not the date the receipt was printed).</w:t>
      </w:r>
    </w:p>
    <w:p>
      <w:pPr>
        <w:tabs>
          <w:tab w:val="left" w:pos="540"/>
        </w:tabs>
        <w:spacing w:after="80" w:line="264"/>
        <w:ind w:left="540" w:hanging="540"/>
      </w:pPr>
      <w:r>
        <w:rPr>
          <w:rFonts w:ascii="Times New Roman" w:cs="Times New Roman" w:eastAsia="Times New Roman" w:hAnsi="Times New Roman"/>
          <w:sz w:val="24"/>
          <w:szCs w:val="24"/>
        </w:rPr>
        <w:t xml:space="preserve">2.	</w:t>
      </w:r>
      <w:r>
        <w:rPr>
          <w:rFonts w:ascii="Times New Roman" w:cs="Times New Roman" w:eastAsia="Times New Roman" w:hAnsi="Times New Roman"/>
          <w:sz w:val="24"/>
          <w:szCs w:val="24"/>
        </w:rPr>
        <w:t xml:space="preserve">Specification. In editable/application-body.docx (and, to keep the masters consistent, in specification.md, application-body.md and editable/specification.docx) replace "[ENTER PROVISIONAL APPLICATION NUMBER FROM FILING RECEIPT]" with the number and "[ENTER PROVISIONAL FILING DATE]" with the date written out (for example "January 15, 2027"), so that the first paragraph reads: "This application claims the benefit of U.S. Provisional Application No. 63/xxx,xxx, filed Month D, YYYY." Search the document for "[ENTER" afterwards to confirm no marker remains.</w:t>
      </w:r>
    </w:p>
    <w:p>
      <w:pPr>
        <w:tabs>
          <w:tab w:val="left" w:pos="540"/>
        </w:tabs>
        <w:spacing w:after="80" w:line="264"/>
        <w:ind w:left="540" w:hanging="540"/>
      </w:pPr>
      <w:r>
        <w:rPr>
          <w:rFonts w:ascii="Times New Roman" w:cs="Times New Roman" w:eastAsia="Times New Roman" w:hAnsi="Times New Roman"/>
          <w:sz w:val="24"/>
          <w:szCs w:val="24"/>
        </w:rPr>
        <w:t xml:space="preserve">3.	</w:t>
      </w:r>
      <w:r>
        <w:rPr>
          <w:rFonts w:ascii="Times New Roman" w:cs="Times New Roman" w:eastAsia="Times New Roman" w:hAnsi="Times New Roman"/>
          <w:sz w:val="24"/>
          <w:szCs w:val="24"/>
        </w:rPr>
        <w:t xml:space="preserve">ADS. In the web ADS section "Domestic Benefit/National Stage Information" enter: Prior application status "Pending"; Application number (this application) left blank; Continuity type "Claims benefit of provisional application" (35 U.S.C. 119(e)); Prior application number: the provisional number; Filing date: the provisional filing date in YYYY-MM-DD form. application-data-sheet.md section 7 carries the same two markers.</w:t>
      </w:r>
    </w:p>
    <w:p>
      <w:pPr>
        <w:tabs>
          <w:tab w:val="left" w:pos="540"/>
        </w:tabs>
        <w:spacing w:after="80" w:line="264"/>
        <w:ind w:left="540" w:hanging="540"/>
      </w:pPr>
      <w:r>
        <w:rPr>
          <w:rFonts w:ascii="Times New Roman" w:cs="Times New Roman" w:eastAsia="Times New Roman" w:hAnsi="Times New Roman"/>
          <w:sz w:val="24"/>
          <w:szCs w:val="24"/>
        </w:rPr>
        <w:t xml:space="preserve">4.	</w:t>
      </w:r>
      <w:r>
        <w:rPr>
          <w:rFonts w:ascii="Times New Roman" w:cs="Times New Roman" w:eastAsia="Times New Roman" w:hAnsi="Times New Roman"/>
          <w:sz w:val="24"/>
          <w:szCs w:val="24"/>
        </w:rPr>
        <w:t xml:space="preserve">Deadlines, both hard:</w:t>
      </w:r>
    </w:p>
    <w:p>
      <w:pPr>
        <w:keepLines w:val="false"/>
        <w:spacing w:after="160" w:line="276"/>
        <w:jc w:val="left"/>
      </w:pPr>
      <w:r>
        <w:rPr>
          <w:rFonts w:ascii="Times New Roman" w:cs="Times New Roman" w:eastAsia="Times New Roman" w:hAnsi="Times New Roman"/>
          <w:sz w:val="24"/>
          <w:szCs w:val="24"/>
        </w:rPr>
        <w:t xml:space="preserve">The nonprovisional application must be filed no later than twelve months after the provisional filing date (35 U.S.C. 119(e)(1)). If the last day is a Saturday, Sunday or federal holiday the period runs to the next business day, but do not plan on it. A provisional cannot be extended; if the twelve months are missed by up to two months, only a petition under 37 CFR 1.78(b) with a fee and a statement of unintentional delay can restore the benefit. The benefit claim must be presented in the ADS within the later of four months from the filing date of this application or sixteen months from the provisional filing date (37 CFR 1.78(a)(4)). Entering it in the ADS at filing satisfies this; a claim added later needs a petition under 37 CFR 1.78(c) with a fee.</w:t>
      </w:r>
    </w:p>
    <w:p>
      <w:pPr>
        <w:tabs>
          <w:tab w:val="left" w:pos="540"/>
        </w:tabs>
        <w:spacing w:after="80" w:line="264"/>
        <w:ind w:left="540" w:hanging="540"/>
      </w:pPr>
      <w:r>
        <w:rPr>
          <w:rFonts w:ascii="Times New Roman" w:cs="Times New Roman" w:eastAsia="Times New Roman" w:hAnsi="Times New Roman"/>
          <w:sz w:val="24"/>
          <w:szCs w:val="24"/>
        </w:rPr>
        <w:t xml:space="preserve">5.	</w:t>
      </w:r>
      <w:r>
        <w:rPr>
          <w:rFonts w:ascii="Times New Roman" w:cs="Times New Roman" w:eastAsia="Times New Roman" w:hAnsi="Times New Roman"/>
          <w:sz w:val="24"/>
          <w:szCs w:val="24"/>
        </w:rPr>
        <w:t xml:space="preserve">The provisional and this application both name Ravi Kiran Raju Yerra as sole inventor, which satisfies the common-inventor requirement of 35 U.S.C. 119(e).</w:t>
      </w:r>
    </w:p>
    <w:p>
      <w:pPr>
        <w:tabs>
          <w:tab w:val="left" w:pos="540"/>
        </w:tabs>
        <w:spacing w:after="80" w:line="264"/>
        <w:ind w:left="540" w:hanging="540"/>
      </w:pPr>
      <w:r>
        <w:rPr>
          <w:rFonts w:ascii="Times New Roman" w:cs="Times New Roman" w:eastAsia="Times New Roman" w:hAnsi="Times New Roman"/>
          <w:sz w:val="24"/>
          <w:szCs w:val="24"/>
        </w:rPr>
        <w:t xml:space="preserve">6.	</w:t>
      </w:r>
      <w:r>
        <w:rPr>
          <w:rFonts w:ascii="Times New Roman" w:cs="Times New Roman" w:eastAsia="Times New Roman" w:hAnsi="Times New Roman"/>
          <w:sz w:val="24"/>
          <w:szCs w:val="24"/>
        </w:rPr>
        <w:t xml:space="preserve">After filing, check the Filing Receipt: it must list the provisional application under "Domestic Priority data as claimed by applicant" with the correct number and date. If it does not, file a corrected ADS within the period in item 4 and request a corrected Filing Receipt.</w:t>
      </w:r>
    </w:p>
    <w:p>
      <w:pPr>
        <w:tabs>
          <w:tab w:val="left" w:pos="540"/>
        </w:tabs>
        <w:spacing w:after="80" w:line="264"/>
        <w:ind w:left="540" w:hanging="540"/>
      </w:pPr>
      <w:r>
        <w:rPr>
          <w:rFonts w:ascii="Times New Roman" w:cs="Times New Roman" w:eastAsia="Times New Roman" w:hAnsi="Times New Roman"/>
          <w:sz w:val="24"/>
          <w:szCs w:val="24"/>
        </w:rPr>
        <w:t xml:space="preserve">7.	</w:t>
      </w:r>
      <w:r>
        <w:rPr>
          <w:rFonts w:ascii="Times New Roman" w:cs="Times New Roman" w:eastAsia="Times New Roman" w:hAnsi="Times New Roman"/>
          <w:sz w:val="24"/>
          <w:szCs w:val="24"/>
        </w:rPr>
        <w:t xml:space="preserve">The provisional application itself requires nothing further. It is never examined and goes abandoned automatically at twelve months; its contents stay confidential unless this application, which refers to it, is published, after which the provisional's file becomes available to the public.</w:t>
      </w:r>
    </w:p>
    <w:p>
      <w:pPr>
        <w:pStyle w:val="Heading2"/>
        <w:keepNext/>
        <w:spacing w:after="120" w:before="200"/>
      </w:pPr>
      <w:r>
        <w:rPr>
          <w:rFonts w:ascii="Times New Roman" w:cs="Times New Roman" w:eastAsia="Times New Roman" w:hAnsi="Times New Roman"/>
          <w:b/>
          <w:bCs/>
          <w:color w:val="000000"/>
          <w:sz w:val="28"/>
          <w:szCs w:val="28"/>
        </w:rPr>
        <w:t xml:space="preserve">9. Mistakes to avoid</w:t>
      </w:r>
    </w:p>
    <w:p>
      <w:pPr>
        <w:tabs>
          <w:tab w:val="left" w:pos="540"/>
        </w:tabs>
        <w:spacing w:after="80" w:line="264"/>
        <w:ind w:left="540" w:hanging="540"/>
      </w:pPr>
      <w:r>
        <w:rPr>
          <w:rFonts w:ascii="Times New Roman" w:cs="Times New Roman" w:eastAsia="Times New Roman" w:hAnsi="Times New Roman"/>
          <w:sz w:val="24"/>
          <w:szCs w:val="24"/>
        </w:rPr>
        <w:t xml:space="preserve">1.	</w:t>
      </w:r>
      <w:r>
        <w:rPr>
          <w:rFonts w:ascii="Times New Roman" w:cs="Times New Roman" w:eastAsia="Times New Roman" w:hAnsi="Times New Roman"/>
          <w:sz w:val="24"/>
          <w:szCs w:val="24"/>
        </w:rPr>
        <w:t xml:space="preserve">Uploading claims.docx with Appendix A and Appendix B still attached. Upload editable/application-body.docx, which omits both, or delete the appendices first.</w:t>
      </w:r>
    </w:p>
    <w:p>
      <w:pPr>
        <w:tabs>
          <w:tab w:val="left" w:pos="540"/>
        </w:tabs>
        <w:spacing w:after="80" w:line="264"/>
        <w:ind w:left="540" w:hanging="540"/>
      </w:pPr>
      <w:r>
        <w:rPr>
          <w:rFonts w:ascii="Times New Roman" w:cs="Times New Roman" w:eastAsia="Times New Roman" w:hAnsi="Times New Roman"/>
          <w:sz w:val="24"/>
          <w:szCs w:val="24"/>
        </w:rPr>
        <w:t xml:space="preserve">2.	</w:t>
      </w:r>
      <w:r>
        <w:rPr>
          <w:rFonts w:ascii="Times New Roman" w:cs="Times New Roman" w:eastAsia="Times New Roman" w:hAnsi="Times New Roman"/>
          <w:sz w:val="24"/>
          <w:szCs w:val="24"/>
        </w:rPr>
        <w:t xml:space="preserve">Leaving the review line in the page header of the filed DOCX.</w:t>
      </w:r>
    </w:p>
    <w:p>
      <w:pPr>
        <w:tabs>
          <w:tab w:val="left" w:pos="540"/>
        </w:tabs>
        <w:spacing w:after="80" w:line="264"/>
        <w:ind w:left="540" w:hanging="540"/>
      </w:pPr>
      <w:r>
        <w:rPr>
          <w:rFonts w:ascii="Times New Roman" w:cs="Times New Roman" w:eastAsia="Times New Roman" w:hAnsi="Times New Roman"/>
          <w:sz w:val="24"/>
          <w:szCs w:val="24"/>
        </w:rPr>
        <w:t xml:space="preserve">3.	</w:t>
      </w:r>
      <w:r>
        <w:rPr>
          <w:rFonts w:ascii="Times New Roman" w:cs="Times New Roman" w:eastAsia="Times New Roman" w:hAnsi="Times New Roman"/>
          <w:sz w:val="24"/>
          <w:szCs w:val="24"/>
        </w:rPr>
        <w:t xml:space="preserve">Filing the application body as PDF (surcharge).</w:t>
      </w:r>
    </w:p>
    <w:p>
      <w:pPr>
        <w:tabs>
          <w:tab w:val="left" w:pos="540"/>
        </w:tabs>
        <w:spacing w:after="80" w:line="264"/>
        <w:ind w:left="540" w:hanging="540"/>
      </w:pPr>
      <w:r>
        <w:rPr>
          <w:rFonts w:ascii="Times New Roman" w:cs="Times New Roman" w:eastAsia="Times New Roman" w:hAnsi="Times New Roman"/>
          <w:sz w:val="24"/>
          <w:szCs w:val="24"/>
        </w:rPr>
        <w:t xml:space="preserve">4.	</w:t>
      </w:r>
      <w:r>
        <w:rPr>
          <w:rFonts w:ascii="Times New Roman" w:cs="Times New Roman" w:eastAsia="Times New Roman" w:hAnsi="Times New Roman"/>
          <w:sz w:val="24"/>
          <w:szCs w:val="24"/>
        </w:rPr>
        <w:t xml:space="preserve">Selecting the wrong entity status (micro is not available; large pays more than double).</w:t>
      </w:r>
    </w:p>
    <w:p>
      <w:pPr>
        <w:tabs>
          <w:tab w:val="left" w:pos="540"/>
        </w:tabs>
        <w:spacing w:after="80" w:line="264"/>
        <w:ind w:left="540" w:hanging="540"/>
      </w:pPr>
      <w:r>
        <w:rPr>
          <w:rFonts w:ascii="Times New Roman" w:cs="Times New Roman" w:eastAsia="Times New Roman" w:hAnsi="Times New Roman"/>
          <w:sz w:val="24"/>
          <w:szCs w:val="24"/>
        </w:rPr>
        <w:t xml:space="preserve">5.	</w:t>
      </w:r>
      <w:r>
        <w:rPr>
          <w:rFonts w:ascii="Times New Roman" w:cs="Times New Roman" w:eastAsia="Times New Roman" w:hAnsi="Times New Roman"/>
          <w:sz w:val="24"/>
          <w:szCs w:val="24"/>
        </w:rPr>
        <w:t xml:space="preserve">Signing the declaration before reading the final application, or having anyone other than the inventor sign it.</w:t>
      </w:r>
    </w:p>
    <w:p>
      <w:pPr>
        <w:tabs>
          <w:tab w:val="left" w:pos="540"/>
        </w:tabs>
        <w:spacing w:after="80" w:line="264"/>
        <w:ind w:left="540" w:hanging="540"/>
      </w:pPr>
      <w:r>
        <w:rPr>
          <w:rFonts w:ascii="Times New Roman" w:cs="Times New Roman" w:eastAsia="Times New Roman" w:hAnsi="Times New Roman"/>
          <w:sz w:val="24"/>
          <w:szCs w:val="24"/>
        </w:rPr>
        <w:t xml:space="preserve">6.	</w:t>
      </w:r>
      <w:r>
        <w:rPr>
          <w:rFonts w:ascii="Times New Roman" w:cs="Times New Roman" w:eastAsia="Times New Roman" w:hAnsi="Times New Roman"/>
          <w:sz w:val="24"/>
          <w:szCs w:val="24"/>
        </w:rPr>
        <w:t xml:space="preserve">Omitting the signed declaration (surcharge and a notice to file it).</w:t>
      </w:r>
    </w:p>
    <w:p>
      <w:pPr>
        <w:tabs>
          <w:tab w:val="left" w:pos="540"/>
        </w:tabs>
        <w:spacing w:after="80" w:line="264"/>
        <w:ind w:left="540" w:hanging="540"/>
      </w:pPr>
      <w:r>
        <w:rPr>
          <w:rFonts w:ascii="Times New Roman" w:cs="Times New Roman" w:eastAsia="Times New Roman" w:hAnsi="Times New Roman"/>
          <w:sz w:val="24"/>
          <w:szCs w:val="24"/>
        </w:rPr>
        <w:t xml:space="preserve">7.	</w:t>
      </w:r>
      <w:r>
        <w:rPr>
          <w:rFonts w:ascii="Times New Roman" w:cs="Times New Roman" w:eastAsia="Times New Roman" w:hAnsi="Times New Roman"/>
          <w:sz w:val="24"/>
          <w:szCs w:val="24"/>
        </w:rPr>
        <w:t xml:space="preserve">Entering the inventor name differently in the ADS and the declaration. It is "Ravi Kiran Raju" (given) and "Yerra" (family) in both.</w:t>
      </w:r>
    </w:p>
    <w:p>
      <w:pPr>
        <w:tabs>
          <w:tab w:val="left" w:pos="540"/>
        </w:tabs>
        <w:spacing w:after="80" w:line="264"/>
        <w:ind w:left="540" w:hanging="540"/>
      </w:pPr>
      <w:r>
        <w:rPr>
          <w:rFonts w:ascii="Times New Roman" w:cs="Times New Roman" w:eastAsia="Times New Roman" w:hAnsi="Times New Roman"/>
          <w:sz w:val="24"/>
          <w:szCs w:val="24"/>
        </w:rPr>
        <w:t xml:space="preserve">8.	</w:t>
      </w:r>
      <w:r>
        <w:rPr>
          <w:rFonts w:ascii="Times New Roman" w:cs="Times New Roman" w:eastAsia="Times New Roman" w:hAnsi="Times New Roman"/>
          <w:sz w:val="24"/>
          <w:szCs w:val="24"/>
        </w:rPr>
        <w:t xml:space="preserve">Forgetting to download the Electronic Acknowledgement Receipt and, later, the Filing Receipt.</w:t>
      </w:r>
    </w:p>
    <w:p>
      <w:pPr>
        <w:tabs>
          <w:tab w:val="left" w:pos="540"/>
        </w:tabs>
        <w:spacing w:after="80" w:line="264"/>
        <w:ind w:left="540" w:hanging="540"/>
      </w:pPr>
      <w:r>
        <w:rPr>
          <w:rFonts w:ascii="Times New Roman" w:cs="Times New Roman" w:eastAsia="Times New Roman" w:hAnsi="Times New Roman"/>
          <w:sz w:val="24"/>
          <w:szCs w:val="24"/>
        </w:rPr>
        <w:t xml:space="preserve">9.	</w:t>
      </w:r>
      <w:r>
        <w:rPr>
          <w:rFonts w:ascii="Times New Roman" w:cs="Times New Roman" w:eastAsia="Times New Roman" w:hAnsi="Times New Roman"/>
          <w:sz w:val="24"/>
          <w:szCs w:val="24"/>
        </w:rPr>
        <w:t xml:space="preserve">Letting the twelve-month foreign filing window pass without a decision.</w:t>
      </w:r>
    </w:p>
    <w:p>
      <w:pPr>
        <w:tabs>
          <w:tab w:val="left" w:pos="540"/>
        </w:tabs>
        <w:spacing w:after="80" w:line="264"/>
        <w:ind w:left="540" w:hanging="540"/>
      </w:pPr>
      <w:r>
        <w:rPr>
          <w:rFonts w:ascii="Times New Roman" w:cs="Times New Roman" w:eastAsia="Times New Roman" w:hAnsi="Times New Roman"/>
          <w:sz w:val="24"/>
          <w:szCs w:val="24"/>
        </w:rPr>
        <w:t xml:space="preserve">10.	</w:t>
      </w:r>
      <w:r>
        <w:rPr>
          <w:rFonts w:ascii="Times New Roman" w:cs="Times New Roman" w:eastAsia="Times New Roman" w:hAnsi="Times New Roman"/>
          <w:sz w:val="24"/>
          <w:szCs w:val="24"/>
        </w:rPr>
        <w:t xml:space="preserve">Leaving either "[ENTER ...]" marker in the filed specification or omitting the benefit claim from the ADS.</w:t>
      </w:r>
    </w:p>
    <w:p>
      <w:pPr>
        <w:pStyle w:val="Heading2"/>
        <w:keepNext/>
        <w:spacing w:after="120" w:before="200"/>
      </w:pPr>
      <w:r>
        <w:rPr>
          <w:rFonts w:ascii="Times New Roman" w:cs="Times New Roman" w:eastAsia="Times New Roman" w:hAnsi="Times New Roman"/>
          <w:b/>
          <w:bCs/>
          <w:color w:val="000000"/>
          <w:sz w:val="28"/>
          <w:szCs w:val="28"/>
        </w:rPr>
        <w:t xml:space="preserve">10. Final checklist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8660"/>
      </w:tblGrid>
      <w:tr>
        <w:trPr>
          <w:tblHeader/>
        </w:trPr>
        <w:tc>
          <w:tcPr>
            <w:tcW w:type="dxa" w:w="700"/>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Done</w:t>
            </w:r>
          </w:p>
        </w:tc>
        <w:tc>
          <w:tcPr>
            <w:tcW w:type="dxa" w:w="8660"/>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Item</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p>
        </w:tc>
        <w:tc>
          <w:tcPr>
            <w:tcW w:type="dxa" w:w="866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USPTO.gov account created and identity verified; Patent Center opens "New submission"</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p>
        </w:tc>
        <w:tc>
          <w:tcPr>
            <w:tcW w:type="dxa" w:w="866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application-body.docx read in full by the inventor; review line removed from its header</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p>
        </w:tc>
        <w:tc>
          <w:tcPr>
            <w:tcW w:type="dxa" w:w="866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drawings/drawings.pdf, 13 sheets, FIG. 1 to FIG. 13</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p>
        </w:tc>
        <w:tc>
          <w:tcPr>
            <w:tcW w:type="dxa" w:w="866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Web ADS entered from application-data-sheet.md (or PTO/AIA/14 filled, original fillable PDF)</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p>
        </w:tc>
        <w:tc>
          <w:tcPr>
            <w:tcW w:type="dxa" w:w="866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PTO/AIA/01 completed from inventor-declaration.md and signed by Ravi Kiran Raju Yerra</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p>
        </w:tc>
        <w:tc>
          <w:tcPr>
            <w:tcW w:type="dxa" w:w="866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IDS completed from ids-and-references.md; one PDF per non-patent literature item</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p>
        </w:tc>
        <w:tc>
          <w:tcPr>
            <w:tcW w:type="dxa" w:w="866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Entity status small; fee total matches fee-worksheet.md; excess-claim lines show 9 claims and 3 independent claims; no non-DOCX line</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p>
        </w:tc>
        <w:tc>
          <w:tcPr>
            <w:tcW w:type="dxa" w:w="866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Submitted; Electronic Acknowledgement Receipt saved; application number and confirmation number recorded</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p>
        </w:tc>
        <w:tc>
          <w:tcPr>
            <w:tcW w:type="dxa" w:w="866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Provisional application number and filing date entered in the specification cross-reference and in the ADS; a search for "[ENTER" in application-body.docx finds nothing</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p>
        </w:tc>
        <w:tc>
          <w:tcPr>
            <w:tcW w:type="dxa" w:w="866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Filed no later than twelve months after the provisional filing date</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p>
        </w:tc>
        <w:tc>
          <w:tcPr>
            <w:tcW w:type="dxa" w:w="866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Calendar entries made: IDS window, 12-month foreign filing deadline, Filing Receipt check including the domestic priority line</w:t>
            </w:r>
          </w:p>
        </w:tc>
      </w:tr>
    </w:tbl>
    <w:p>
      <w:pPr>
        <w:spacing w:after="12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55555"/>
        <w:sz w:val="18"/>
        <w:szCs w:val="18"/>
      </w:rPr>
      <w:t xml:space="preserve">Page </w:t>
    </w:r>
    <w:r>
      <w:rPr>
        <w:rFonts w:ascii="Times New Roman" w:cs="Times New Roman" w:eastAsia="Times New Roman" w:hAnsi="Times New Roman"/>
        <w:color w:val="55555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Times New Roman" w:cs="Times New Roman" w:eastAsia="Times New Roman" w:hAnsi="Times New Roman"/>
        <w:color w:val="555555"/>
        <w:sz w:val="18"/>
        <w:szCs w:val="18"/>
      </w:rPr>
      <w:t xml:space="preserve">Prepared for Ravi Kiran Raju Yerra. Attorney review recommended before filing. Not legal advice.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spacing w:after="120" w:before="200"/>
      <w:outlineLvl w:val="1"/>
    </w:pPr>
    <w:rPr>
      <w:rFonts w:ascii="Times New Roman" w:cs="Times New Roman" w:eastAsia="Times New Roman" w:hAnsi="Times New Roman"/>
      <w:b/>
      <w:bCs/>
      <w:color w:val="000000"/>
      <w:sz w:val="28"/>
      <w:szCs w:val="28"/>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color w:val="000000"/>
      <w:sz w:val="26"/>
      <w:szCs w:val="26"/>
    </w:rPr>
  </w:style>
  <w:style w:type="paragraph" w:styleId="Heading4">
    <w:name w:val="Heading 4"/>
    <w:basedOn w:val="Normal"/>
    <w:next w:val="Normal"/>
    <w:qFormat/>
    <w:pPr>
      <w:spacing w:after="80" w:before="160"/>
      <w:outlineLvl w:val="3"/>
    </w:pPr>
    <w:rPr>
      <w:rFonts w:ascii="Times New Roman" w:cs="Times New Roman" w:eastAsia="Times New Roman" w:hAnsi="Times New Roman"/>
      <w:b/>
      <w:bCs/>
      <w:i/>
      <w:i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Filing instructions: nonprovisional utility application claiming the benefit of the provisional</dc:title>
  <dc:creator>Ravi Kiran Raju Yerra</dc:creator>
  <dc:description>Prepared for Ravi Kiran Raju Yerra. Attorney review recommended before filing. Not legal advice.</dc:description>
  <cp:lastModifiedBy>Un-named</cp:lastModifiedBy>
  <cp:revision>1</cp:revision>
  <dcterms:created xsi:type="dcterms:W3CDTF">2026-10-28T04:54:52.923Z</dcterms:created>
  <dcterms:modified xsi:type="dcterms:W3CDTF">2026-10-28T04:54:52.924Z</dcterms:modified>
</cp:coreProperties>
</file>

<file path=docProps/custom.xml><?xml version="1.0" encoding="utf-8"?>
<Properties xmlns="http://schemas.openxmlformats.org/officeDocument/2006/custom-properties" xmlns:vt="http://schemas.openxmlformats.org/officeDocument/2006/docPropsVTypes"/>
</file>