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keepNext/>
        <w:spacing w:after="120" w:before="240"/>
      </w:pPr>
      <w:r>
        <w:rPr>
          <w:rFonts w:ascii="Times New Roman" w:cs="Times New Roman" w:eastAsia="Times New Roman" w:hAnsi="Times New Roman"/>
          <w:b/>
          <w:bCs/>
          <w:color w:val="000000"/>
          <w:sz w:val="32"/>
          <w:szCs w:val="32"/>
        </w:rPr>
        <w:t xml:space="preserve">Filing instructions: nonprovisional utility application (standalone, no benefit claim)</w:t>
      </w:r>
    </w:p>
    <w:p>
      <w:pPr>
        <w:keepLines w:val="false"/>
        <w:spacing w:after="160" w:line="276"/>
        <w:jc w:val="left"/>
      </w:pPr>
      <w:r>
        <w:rPr>
          <w:rFonts w:ascii="Times New Roman" w:cs="Times New Roman" w:eastAsia="Times New Roman" w:hAnsi="Times New Roman"/>
          <w:sz w:val="24"/>
          <w:szCs w:val="24"/>
        </w:rPr>
        <w:t xml:space="preserve">This package files a nonprovisional utility application under 35 U.S.C. 111(a) directly, without a provisional application before it. The filing date of this application is the effective filing date of every claim. If instead a provisional application has already been filed (patent-package/final/provisional), use patent-package/final/utility-with-priority, which is this package with the benefit claim added, and do not use this one.</w:t>
      </w:r>
    </w:p>
    <w:p>
      <w:pPr>
        <w:keepLines w:val="false"/>
        <w:spacing w:after="160" w:line="276"/>
        <w:jc w:val="left"/>
      </w:pPr>
      <w:r>
        <w:rPr>
          <w:rFonts w:ascii="Times New Roman" w:cs="Times New Roman" w:eastAsia="Times New Roman" w:hAnsi="Times New Roman"/>
          <w:sz w:val="24"/>
          <w:szCs w:val="24"/>
        </w:rPr>
        <w:t xml:space="preserve">Applicant and filer: Ravi Kiran Raju Yerra, sole inventor, filing pro se (no attorney, no customer number), small entity. Correspondence: 604 Wexford Dr, Celina, TX 75009, USA; yerraslife@gmail.com; +1-408-718-4217.</w:t>
      </w:r>
    </w:p>
    <w:p>
      <w:pPr>
        <w:pStyle w:val="Heading2"/>
        <w:keepNext/>
        <w:spacing w:after="120" w:before="200"/>
      </w:pPr>
      <w:r>
        <w:rPr>
          <w:rFonts w:ascii="Times New Roman" w:cs="Times New Roman" w:eastAsia="Times New Roman" w:hAnsi="Times New Roman"/>
          <w:b/>
          <w:bCs/>
          <w:color w:val="000000"/>
          <w:sz w:val="28"/>
          <w:szCs w:val="28"/>
        </w:rPr>
        <w:t xml:space="preserve">1. What is in this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73"/>
        <w:gridCol w:w="3303"/>
        <w:gridCol w:w="3084"/>
      </w:tblGrid>
      <w:tr>
        <w:trPr>
          <w:tblHeader/>
        </w:trPr>
        <w:tc>
          <w:tcPr>
            <w:tcW w:type="dxa" w:w="297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3303"/>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 it is</w:t>
            </w:r>
          </w:p>
        </w:tc>
        <w:tc>
          <w:tcPr>
            <w:tcW w:type="dxa" w:w="3084"/>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Goes to the USPTO?</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specification.md and editable/specification.docx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specification: title, cross-reference, federally sponsored research statement, technical field, background, summary, brief description of the drawings, detailed description (paragraphs [0001] to [0112])</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part of the application body</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claims.md and editable/claims.docx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1 to 29 (independent claims 1, 11, 17, 22, 28 and 29), followed by Appendix A (candidate additional claims, not filed) and Appendix B (practitioner notes with the reduction-to-practice status of each claim, not filed)</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Claims 1 to 29 yes; the appendices no</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abstract.md and editable/abstract.docx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The abstract, 149 words</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application-body.md and editable/application-body.docx</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1 to 29 and abstract in one DOCX in filing order, without the appendices. This is the file to upload.</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this is the upload</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FIG. 1 to FIG. 13 on thirteen US-Letter sheets (editable sources FIG-1.svg to FIG-13.svg alongside; FIG. 8A and FIG. 8B share one sheet)</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application-data-sheet.md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Every value to enter in the web ADS or PTO/AIA/14</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the ADS</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inventor-declaration.md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Content of PTO/AIA/01, which the inventor signs</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the signed PTO/AIA/01</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ids-and-references.md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Content of PTO/SB/08a and 08b, the reference list, and the must-pull list</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Yes, as the IDS plus copies of the non-patent literature</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fee-worksheet.md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Itemized small entity fees</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 used to check the Patent Center fee screen</w:t>
            </w:r>
          </w:p>
        </w:tc>
      </w:tr>
      <w:tr>
        <w:trPr>
          <w:tblHeader w:val="false"/>
        </w:trPr>
        <w:tc>
          <w:tcPr>
            <w:tcW w:type="dxa" w:w="297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FILING-INSTRUCTIONS.md</w:t>
            </w:r>
          </w:p>
        </w:tc>
        <w:tc>
          <w:tcPr>
            <w:tcW w:type="dxa" w:w="3303"/>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This document</w:t>
            </w:r>
          </w:p>
        </w:tc>
        <w:tc>
          <w:tcPr>
            <w:tcW w:type="dxa" w:w="3084"/>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2. Before opening Patent Center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Read the application as it will be filed: editable/application-body.docx and drawings/drawings.pdf. The declaration states that the inventor reviewed the application; sign only after reading it.</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Decide the claim-count question: file the 29 claims as built (1,440 USD of excess-claim fees as recorded; fee-worksheet.md sections 1 and 4), trim to 20 claims and 3 independent claims to avoid those fees (fee-worksheet.md section 4 names the candidates), or add Appendix A candidate claims (further fees and a probable restriction requirement; fee-worksheet.md section 5). This package is built for 29 claims with 6 independent claims; if the set is trimmed, rebuild the packages so that every count below is regenerated.</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Confirm small entity status still holds on the day of filing: no assignment, license or obligation to a non-small entity.</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Establish the earliest date on which the invention was publicly disclosed, used publicly or offered for sale (the product is live at admireveda.com). Under 35 U.S.C. 102(b)(1)(A) the inventor's own disclosure within one year before the filing date is not prior art against the application in the United States, but most other countries have no such grace period. File before the one-year anniversary of the earliest such date, and treat foreign protection as already limited by any public disclosure.</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Complete the must-pull items in ids-and-references.md section 6 if time allows; otherwise file the IDS with what is confirmed and supplement within three months.</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Decide the nonpublication question (application-data-sheet.md section 5). The package leaves it unchecked.</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Delete the review line from the document that will be filed: open editable/application-body.docx in Word, double-click the page header, delete the line "Prepared for Ravi Kiran Raju Yerra. Attorney review recommended before filing. Not legal advice.", close the header and save. This is the only edit the filed document needs. The same applies if the three separate DOCX files are uploaded instead of the combined body.</w:t>
      </w:r>
    </w:p>
    <w:p>
      <w:pPr>
        <w:pStyle w:val="Heading2"/>
        <w:keepNext/>
        <w:spacing w:after="120" w:before="200"/>
      </w:pPr>
      <w:r>
        <w:rPr>
          <w:rFonts w:ascii="Times New Roman" w:cs="Times New Roman" w:eastAsia="Times New Roman" w:hAnsi="Times New Roman"/>
          <w:b/>
          <w:bCs/>
          <w:color w:val="000000"/>
          <w:sz w:val="28"/>
          <w:szCs w:val="28"/>
        </w:rPr>
        <w:t xml:space="preserve">3. Create and verify a USPTO.gov account for Patent Center</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Go to the USPTO website and create a USPTO.gov account (MyUSPTO) using yerraslife@gmail.com. Turn on two-step authentication.</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Verify your identity for Patent Center. The USPTO uses an identity-verification provider (currently ID.me, online with a government ID and a selfie) or, as an alternative, a notarized paper identity verification form mailed to the USPTO. Online verification usually completes the same day; the paper route takes weeks. Verified status gives you the "Registered" Patent Center role, which lets you file, see the application after filing, receive notices and pay later fees. Unverified guest filing exists but is not suitable, because a guest cannot view the application afterwards.</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You are the applicant and the inventor, so no practitioner sponsorship is needed. Do not add anyone else as a sponsor or practitioner.</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Sign in to Patent Center and confirm you can open "New submission".</w:t>
      </w:r>
    </w:p>
    <w:p>
      <w:pPr>
        <w:pStyle w:val="Heading2"/>
        <w:keepNext/>
        <w:spacing w:after="120" w:before="200"/>
      </w:pPr>
      <w:r>
        <w:rPr>
          <w:rFonts w:ascii="Times New Roman" w:cs="Times New Roman" w:eastAsia="Times New Roman" w:hAnsi="Times New Roman"/>
          <w:b/>
          <w:bCs/>
          <w:color w:val="000000"/>
          <w:sz w:val="28"/>
          <w:szCs w:val="28"/>
        </w:rPr>
        <w:t xml:space="preserve">4. Documents to upload, in order</w:t>
      </w:r>
    </w:p>
    <w:p>
      <w:pPr>
        <w:keepLines w:val="false"/>
        <w:spacing w:after="160" w:line="276"/>
        <w:jc w:val="left"/>
      </w:pPr>
      <w:r>
        <w:rPr>
          <w:rFonts w:ascii="Times New Roman" w:cs="Times New Roman" w:eastAsia="Times New Roman" w:hAnsi="Times New Roman"/>
          <w:sz w:val="24"/>
          <w:szCs w:val="24"/>
        </w:rPr>
        <w:t xml:space="preserve">Prepare these files on your computer before starting the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197"/>
        <w:gridCol w:w="2636"/>
        <w:gridCol w:w="2636"/>
        <w:gridCol w:w="1191"/>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Order</w:t>
            </w:r>
          </w:p>
        </w:tc>
        <w:tc>
          <w:tcPr>
            <w:tcW w:type="dxa" w:w="2197"/>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Document</w:t>
            </w:r>
          </w:p>
        </w:tc>
        <w:tc>
          <w:tcPr>
            <w:tcW w:type="dxa" w:w="263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File</w:t>
            </w:r>
          </w:p>
        </w:tc>
        <w:tc>
          <w:tcPr>
            <w:tcW w:type="dxa" w:w="2636"/>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Patent Center document description</w:t>
            </w:r>
          </w:p>
        </w:tc>
        <w:tc>
          <w:tcPr>
            <w:tcW w:type="dxa" w:w="119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Format</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1</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body (specification, claims, abstract)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editable/application-body.docx (review line removed)</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Specification, Claims, Abstract; Patent Center detects the three sections from the headings and asks you to confirm them</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DOCX</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2</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 (only black and white line drawings)</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PDF, 13 sheets</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3</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Data Sheet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Entered in the web ADS from application-data-sheet.md, or PTO/AIA/14 filled from it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Data Sheet</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form, or the original fillable 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4</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Inventor's declaration</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PTO/AIA/01 completed and signed from inventor-declaration.md</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Oath or Declaration filed</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5</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Information Disclosure Statement</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PTO/SB/08a and 08b completed from ids-and-references.md, or the Patent Center IDS web form</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Information Disclosure Statement (IDS)</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form or 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6</w:t>
            </w:r>
          </w:p>
        </w:tc>
        <w:tc>
          <w:tcPr>
            <w:tcW w:type="dxa" w:w="2197"/>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Copies of non-patent literature</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One PDF per item N1 to N17 in ids-and-references.md</w:t>
            </w:r>
          </w:p>
        </w:tc>
        <w:tc>
          <w:tcPr>
            <w:tcW w:type="dxa" w:w="2636"/>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Non Patent Literature</w:t>
            </w:r>
          </w:p>
        </w:tc>
        <w:tc>
          <w:tcPr>
            <w:tcW w:type="dxa" w:w="119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PDF, one file per item</w:t>
            </w:r>
          </w:p>
        </w:tc>
      </w:tr>
    </w:tbl>
    <w:p>
      <w:pPr>
        <w:spacing w:after="120"/>
      </w:pPr>
    </w:p>
    <w:p>
      <w:pPr>
        <w:keepLines w:val="false"/>
        <w:spacing w:after="160" w:line="276"/>
        <w:jc w:val="left"/>
      </w:pPr>
      <w:r>
        <w:rPr>
          <w:rFonts w:ascii="Times New Roman" w:cs="Times New Roman" w:eastAsia="Times New Roman" w:hAnsi="Times New Roman"/>
          <w:sz w:val="24"/>
          <w:szCs w:val="24"/>
        </w:rPr>
        <w:t xml:space="preserve">DOCX versus PDF. The USPTO charges a non-DOCX surcharge (37 CFR 1.16(u); 172 USD small entity as recorded, verify current USPTO fee schedule at filing) when the specification, claims or abstract of a nonprovisional application are filed in a format other than DOCX. Upload the application body as DOCX to avoid it. Patent Center validates the DOCX, converts it, and shows the result; review the rendered pages before submitting, in particular the claim numbers 1 to 29, the paragraph numbers [0001] to [0112] and the figure references FIG. 1 to FIG. 13. If Patent Center flags a formatting warning, read it; warnings about fonts or tables are informational, errors must be corrected in Word and the file re-uploaded. After filing, download the USPTO-rendered PDF of the application from Patent Center and keep it with the DOCX. The drawings, declaration and IDS are filed as PDF; no surcharge applies to them.</w:t>
      </w:r>
    </w:p>
    <w:p>
      <w:pPr>
        <w:pStyle w:val="Heading2"/>
        <w:keepNext/>
        <w:spacing w:after="120" w:before="200"/>
      </w:pPr>
      <w:r>
        <w:rPr>
          <w:rFonts w:ascii="Times New Roman" w:cs="Times New Roman" w:eastAsia="Times New Roman" w:hAnsi="Times New Roman"/>
          <w:b/>
          <w:bCs/>
          <w:color w:val="000000"/>
          <w:sz w:val="28"/>
          <w:szCs w:val="28"/>
        </w:rPr>
        <w:t xml:space="preserve">5. Patent Center, step by step</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Sign in to Patent Center. Choose "New submission", then "Regular (utility, design, plant)" or the equivalent wording in the current interface, then application type "Utility" and filing type "Nonprovisional application under 35 U.S.C. 111(a)".</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Application Data Sheet: choose the web ADS. Enter every field from application-data-sheet.md: secrecy order no; inventor (given name Ravi Kiran Raju, family name Yerra, US residency, Celina, Texas, mailing address 604 Wexford Dr, Celina, TX 75009, US); correspondence (no customer number; name and address as above; yerraslife@gmail.com; 408-718-4217); title "Screen-Aware, Read-Only Task Guidance with On-Device Redaction and Tenant-Governed Data Egress"; small entity asserted; nonprovisional; utility; 13 drawing sheets; suggested figure 2; publication requests both unchecked; no representative; domestic benefit and foreign priority per the ADS document; access authorization left at the default; applicant is the inventor; no assignee; S-signature /Ravi Kiran Raju Yerra/.</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Upload documents: add editable/application-body.docx and confirm the section mapping (Specification, Claims, Abstract) that Patent Center proposes. Add drawings/drawings.pdf as Drawings. Add the signed PTO/AIA/01 as Oath or Declaration filed. Add the IDS (web form or SB/08 PDF) and one PDF per non-patent literature item.</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Fees: select entity status "Small". Check the fee lines against fee-worksheet.md: basic filing fee (electronic, small entity) 70, search fee 308, examination fee 352, claims in excess of 20 at 80 each for 9 claims (720), independent claims in excess of 3 at 240 each for 3 claims (720), total 2,170 (as recorded; verify current USPTO fee schedule at filing). The two excess-claim lines must show exactly 9 and 3, and there must be no non-DOCX surcharge line. If the lines differ, go back and fix the cause before paying.</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Review the whole submission summary: inventor name, title, entity status, document list, fee total.</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Submit and pay (credit or debit card, bank transfer, or deposit account).</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Immediately save the Electronic Acknowledgement Receipt (EAR). It shows the application number (format 18/xxx,xxx for a nonprovisional filed in the current series; the series number depends on the filing date), the confirmation number (four digits, used together with the application number on all later papers), the filing date and the list of documents received. The application is "patent pending" from this moment and may be marked as such.</w:t>
      </w:r>
    </w:p>
    <w:p>
      <w:pPr>
        <w:pStyle w:val="Heading2"/>
        <w:keepNext/>
        <w:spacing w:after="120" w:before="200"/>
      </w:pPr>
      <w:r>
        <w:rPr>
          <w:rFonts w:ascii="Times New Roman" w:cs="Times New Roman" w:eastAsia="Times New Roman" w:hAnsi="Times New Roman"/>
          <w:b/>
          <w:bCs/>
          <w:color w:val="000000"/>
          <w:sz w:val="28"/>
          <w:szCs w:val="28"/>
        </w:rPr>
        <w:t xml:space="preserve">6. After submission</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Filing Receipt. The USPTO issues the official Filing Receipt some weeks after submission; it appears in Patent Center and is sent to the correspondence address. Check it line by line against the EAR and the ADS: inventor name, title, application number, confirmation number, filing date, entity status (should read small), total claims 29, independent claims 6, drawing sheets 13. Request correction in Patent Center if anything is wrong; errors in the Filing Receipt are corrected without fee when the USPTO made them.</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Foreign filing license. The Filing Receipt states whether a foreign filing license under 35 U.S.C. 184 is granted. Do not file in another country or under the PCT before the license is granted or six months have passed from the filing date.</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Notices. If something was missing or defective, a Notice to File Missing Parts or a Notice to File Corrected Application Papers sets a two-month period to fix it; respond within the period. With this package complete, none is expected.</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Correspondence. Office actions and notices arrive in Patent Center and, with e-Office Action opted in, by email notification. Each sets a response deadline; most Office actions allow three months, extendable to six with extension fees. Missing a deadline abandons the application.</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Publication. The application publishes about 18 months after the filing date unless a nonpublication request was made. Publication starts provisional rights (35 U.S.C. 154(d)).</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Examination. A first Office action typically arrives one to three years after filing, depending on the art unit. The prioritized examination program (Track One, 37 CFR 1.102(e)) is available for an additional fee if a faster first action is wanted; it can be requested at filing or with a request for continued examination.</w:t>
      </w:r>
    </w:p>
    <w:p>
      <w:pPr>
        <w:pStyle w:val="Heading2"/>
        <w:keepNext/>
        <w:spacing w:after="120" w:before="200"/>
      </w:pPr>
      <w:r>
        <w:rPr>
          <w:rFonts w:ascii="Times New Roman" w:cs="Times New Roman" w:eastAsia="Times New Roman" w:hAnsi="Times New Roman"/>
          <w:b/>
          <w:bCs/>
          <w:color w:val="000000"/>
          <w:sz w:val="28"/>
          <w:szCs w:val="28"/>
        </w:rPr>
        <w:t xml:space="preserve">7.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61"/>
        <w:gridCol w:w="5299"/>
      </w:tblGrid>
      <w:tr>
        <w:trPr>
          <w:tblHeader/>
        </w:trPr>
        <w:tc>
          <w:tcPr>
            <w:tcW w:type="dxa" w:w="4061"/>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Date</w:t>
            </w:r>
          </w:p>
        </w:tc>
        <w:tc>
          <w:tcPr>
            <w:tcW w:type="dxa" w:w="5299"/>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What</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 number and confirmation number issued; "patent pending"</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 plus 3 months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Last day to file or supplement the IDS without fee or statement (37 CFR 1.97(b))</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 plus 12 months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Last day to file foreign applications or a PCT application claiming priority to this application under the Paris Convention (35 U.S.C. 119(a); PCT Article 8). A hard deadline; after it, foreign rights depend on each country's own rules and are generally lost once the application is published.</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Filing date plus about 18 months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Publication of the application (unless a nonpublication request was made)</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Each Office action</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Response due within the period set, usually 3 months, extendable to 6 with fees</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Notice of Allowance</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Issue fee due within 3 months, not extendable</w:t>
            </w:r>
          </w:p>
        </w:tc>
      </w:tr>
      <w:tr>
        <w:trPr>
          <w:tblHeader w:val="false"/>
        </w:trPr>
        <w:tc>
          <w:tcPr>
            <w:tcW w:type="dxa" w:w="4061"/>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Patent issue date plus 3.5, 7.5 and 11.5 years</w:t>
            </w:r>
          </w:p>
        </w:tc>
        <w:tc>
          <w:tcPr>
            <w:tcW w:type="dxa" w:w="5299"/>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Maintenance fees</w:t>
            </w:r>
          </w:p>
        </w:tc>
      </w:tr>
    </w:tbl>
    <w:p>
      <w:pPr>
        <w:spacing w:after="120"/>
      </w:pPr>
    </w:p>
    <w:p>
      <w:pPr>
        <w:pStyle w:val="Heading2"/>
        <w:keepNext/>
        <w:spacing w:after="120" w:before="200"/>
      </w:pPr>
      <w:r>
        <w:rPr>
          <w:rFonts w:ascii="Times New Roman" w:cs="Times New Roman" w:eastAsia="Times New Roman" w:hAnsi="Times New Roman"/>
          <w:b/>
          <w:bCs/>
          <w:color w:val="000000"/>
          <w:sz w:val="28"/>
          <w:szCs w:val="28"/>
        </w:rPr>
        <w:t xml:space="preserve">8. If a provisional application is filed first</w:t>
      </w:r>
    </w:p>
    <w:p>
      <w:pPr>
        <w:keepLines w:val="false"/>
        <w:spacing w:after="160" w:line="276"/>
        <w:jc w:val="left"/>
      </w:pPr>
      <w:r>
        <w:rPr>
          <w:rFonts w:ascii="Times New Roman" w:cs="Times New Roman" w:eastAsia="Times New Roman" w:hAnsi="Times New Roman"/>
          <w:sz w:val="24"/>
          <w:szCs w:val="24"/>
        </w:rPr>
        <w:t xml:space="preserve">This standalone package claims no benefit. If you decide to file the provisional application in patent-package/final/provisional first and this nonprovisional later, do not file this package; file patent-package/final/utility-with-priority instead, which is identical except for the benefit claim. For reference, the benefit claim consists of exactly these entries:</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In the ADS, section "Domestic Benefit/National Stage Information": Prior application status "Pending"; Application number (this application) left blank; Continuity type "Claims benefit of provisional application" (35 U.S.C. 119(e)); Prior application number: the provisional application number from the provisional filing receipt (format 63/xxx,xxx); Filing date: the provisional application's filing date (YYYY-MM-DD).</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In the specification, replace the "Cross-Reference to Related Applications" text with: "This application claims the benefit of U.S. Provisional Application No. 63/xxx,xxx, filed YYYY-MM-DD." using the same two values.</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Timing: the nonprovisional application must be filed within twelve months of the provisional filing date (35 U.S.C. 119(e)(1)); the benefit claim must be in the ADS within the later of four months from the nonprovisional filing date or sixteen months from the provisional filing date (37 CFR 1.78(a)(4)). Entering it at filing satisfies both.</w:t>
      </w:r>
    </w:p>
    <w:p>
      <w:pPr>
        <w:pStyle w:val="Heading2"/>
        <w:keepNext/>
        <w:spacing w:after="120" w:before="200"/>
      </w:pPr>
      <w:r>
        <w:rPr>
          <w:rFonts w:ascii="Times New Roman" w:cs="Times New Roman" w:eastAsia="Times New Roman" w:hAnsi="Times New Roman"/>
          <w:b/>
          <w:bCs/>
          <w:color w:val="000000"/>
          <w:sz w:val="28"/>
          <w:szCs w:val="28"/>
        </w:rPr>
        <w:t xml:space="preserve">9. Mistakes to avoid</w:t>
      </w:r>
    </w:p>
    <w:p>
      <w:pPr>
        <w:tabs>
          <w:tab w:val="left" w:pos="540"/>
        </w:tabs>
        <w:spacing w:after="80" w:line="264"/>
        <w:ind w:left="540" w:hanging="540"/>
      </w:pPr>
      <w:r>
        <w:rPr>
          <w:rFonts w:ascii="Times New Roman" w:cs="Times New Roman" w:eastAsia="Times New Roman" w:hAnsi="Times New Roman"/>
          <w:sz w:val="24"/>
          <w:szCs w:val="24"/>
        </w:rPr>
        <w:t xml:space="preserve">1.	</w:t>
      </w:r>
      <w:r>
        <w:rPr>
          <w:rFonts w:ascii="Times New Roman" w:cs="Times New Roman" w:eastAsia="Times New Roman" w:hAnsi="Times New Roman"/>
          <w:sz w:val="24"/>
          <w:szCs w:val="24"/>
        </w:rPr>
        <w:t xml:space="preserve">Uploading claims.docx with Appendix A and Appendix B still attached. Upload editable/application-body.docx, which omits both, or delete the appendices first.</w:t>
      </w:r>
    </w:p>
    <w:p>
      <w:pPr>
        <w:tabs>
          <w:tab w:val="left" w:pos="540"/>
        </w:tabs>
        <w:spacing w:after="80" w:line="264"/>
        <w:ind w:left="540" w:hanging="540"/>
      </w:pPr>
      <w:r>
        <w:rPr>
          <w:rFonts w:ascii="Times New Roman" w:cs="Times New Roman" w:eastAsia="Times New Roman" w:hAnsi="Times New Roman"/>
          <w:sz w:val="24"/>
          <w:szCs w:val="24"/>
        </w:rPr>
        <w:t xml:space="preserve">2.	</w:t>
      </w:r>
      <w:r>
        <w:rPr>
          <w:rFonts w:ascii="Times New Roman" w:cs="Times New Roman" w:eastAsia="Times New Roman" w:hAnsi="Times New Roman"/>
          <w:sz w:val="24"/>
          <w:szCs w:val="24"/>
        </w:rPr>
        <w:t xml:space="preserve">Leaving the review line in the page header of the filed DOCX.</w:t>
      </w:r>
    </w:p>
    <w:p>
      <w:pPr>
        <w:tabs>
          <w:tab w:val="left" w:pos="540"/>
        </w:tabs>
        <w:spacing w:after="80" w:line="264"/>
        <w:ind w:left="540" w:hanging="540"/>
      </w:pPr>
      <w:r>
        <w:rPr>
          <w:rFonts w:ascii="Times New Roman" w:cs="Times New Roman" w:eastAsia="Times New Roman" w:hAnsi="Times New Roman"/>
          <w:sz w:val="24"/>
          <w:szCs w:val="24"/>
        </w:rPr>
        <w:t xml:space="preserve">3.	</w:t>
      </w:r>
      <w:r>
        <w:rPr>
          <w:rFonts w:ascii="Times New Roman" w:cs="Times New Roman" w:eastAsia="Times New Roman" w:hAnsi="Times New Roman"/>
          <w:sz w:val="24"/>
          <w:szCs w:val="24"/>
        </w:rPr>
        <w:t xml:space="preserve">Filing the application body as PDF (surcharge).</w:t>
      </w:r>
    </w:p>
    <w:p>
      <w:pPr>
        <w:tabs>
          <w:tab w:val="left" w:pos="540"/>
        </w:tabs>
        <w:spacing w:after="80" w:line="264"/>
        <w:ind w:left="540" w:hanging="540"/>
      </w:pPr>
      <w:r>
        <w:rPr>
          <w:rFonts w:ascii="Times New Roman" w:cs="Times New Roman" w:eastAsia="Times New Roman" w:hAnsi="Times New Roman"/>
          <w:sz w:val="24"/>
          <w:szCs w:val="24"/>
        </w:rPr>
        <w:t xml:space="preserve">4.	</w:t>
      </w:r>
      <w:r>
        <w:rPr>
          <w:rFonts w:ascii="Times New Roman" w:cs="Times New Roman" w:eastAsia="Times New Roman" w:hAnsi="Times New Roman"/>
          <w:sz w:val="24"/>
          <w:szCs w:val="24"/>
        </w:rPr>
        <w:t xml:space="preserve">Selecting the wrong entity status (micro is not available; large pays more than double).</w:t>
      </w:r>
    </w:p>
    <w:p>
      <w:pPr>
        <w:tabs>
          <w:tab w:val="left" w:pos="540"/>
        </w:tabs>
        <w:spacing w:after="80" w:line="264"/>
        <w:ind w:left="540" w:hanging="540"/>
      </w:pPr>
      <w:r>
        <w:rPr>
          <w:rFonts w:ascii="Times New Roman" w:cs="Times New Roman" w:eastAsia="Times New Roman" w:hAnsi="Times New Roman"/>
          <w:sz w:val="24"/>
          <w:szCs w:val="24"/>
        </w:rPr>
        <w:t xml:space="preserve">5.	</w:t>
      </w:r>
      <w:r>
        <w:rPr>
          <w:rFonts w:ascii="Times New Roman" w:cs="Times New Roman" w:eastAsia="Times New Roman" w:hAnsi="Times New Roman"/>
          <w:sz w:val="24"/>
          <w:szCs w:val="24"/>
        </w:rPr>
        <w:t xml:space="preserve">Signing the declaration before reading the final application, or having anyone other than the inventor sign it.</w:t>
      </w:r>
    </w:p>
    <w:p>
      <w:pPr>
        <w:tabs>
          <w:tab w:val="left" w:pos="540"/>
        </w:tabs>
        <w:spacing w:after="80" w:line="264"/>
        <w:ind w:left="540" w:hanging="540"/>
      </w:pPr>
      <w:r>
        <w:rPr>
          <w:rFonts w:ascii="Times New Roman" w:cs="Times New Roman" w:eastAsia="Times New Roman" w:hAnsi="Times New Roman"/>
          <w:sz w:val="24"/>
          <w:szCs w:val="24"/>
        </w:rPr>
        <w:t xml:space="preserve">6.	</w:t>
      </w:r>
      <w:r>
        <w:rPr>
          <w:rFonts w:ascii="Times New Roman" w:cs="Times New Roman" w:eastAsia="Times New Roman" w:hAnsi="Times New Roman"/>
          <w:sz w:val="24"/>
          <w:szCs w:val="24"/>
        </w:rPr>
        <w:t xml:space="preserve">Omitting the signed declaration (surcharge and a notice to file it).</w:t>
      </w:r>
    </w:p>
    <w:p>
      <w:pPr>
        <w:tabs>
          <w:tab w:val="left" w:pos="540"/>
        </w:tabs>
        <w:spacing w:after="80" w:line="264"/>
        <w:ind w:left="540" w:hanging="540"/>
      </w:pPr>
      <w:r>
        <w:rPr>
          <w:rFonts w:ascii="Times New Roman" w:cs="Times New Roman" w:eastAsia="Times New Roman" w:hAnsi="Times New Roman"/>
          <w:sz w:val="24"/>
          <w:szCs w:val="24"/>
        </w:rPr>
        <w:t xml:space="preserve">7.	</w:t>
      </w:r>
      <w:r>
        <w:rPr>
          <w:rFonts w:ascii="Times New Roman" w:cs="Times New Roman" w:eastAsia="Times New Roman" w:hAnsi="Times New Roman"/>
          <w:sz w:val="24"/>
          <w:szCs w:val="24"/>
        </w:rPr>
        <w:t xml:space="preserve">Entering the inventor name differently in the ADS and the declaration. It is "Ravi Kiran Raju" (given) and "Yerra" (family) in both.</w:t>
      </w:r>
    </w:p>
    <w:p>
      <w:pPr>
        <w:tabs>
          <w:tab w:val="left" w:pos="540"/>
        </w:tabs>
        <w:spacing w:after="80" w:line="264"/>
        <w:ind w:left="540" w:hanging="540"/>
      </w:pPr>
      <w:r>
        <w:rPr>
          <w:rFonts w:ascii="Times New Roman" w:cs="Times New Roman" w:eastAsia="Times New Roman" w:hAnsi="Times New Roman"/>
          <w:sz w:val="24"/>
          <w:szCs w:val="24"/>
        </w:rPr>
        <w:t xml:space="preserve">8.	</w:t>
      </w:r>
      <w:r>
        <w:rPr>
          <w:rFonts w:ascii="Times New Roman" w:cs="Times New Roman" w:eastAsia="Times New Roman" w:hAnsi="Times New Roman"/>
          <w:sz w:val="24"/>
          <w:szCs w:val="24"/>
        </w:rPr>
        <w:t xml:space="preserve">Forgetting to download the Electronic Acknowledgement Receipt and, later, the Filing Receipt.</w:t>
      </w:r>
    </w:p>
    <w:p>
      <w:pPr>
        <w:tabs>
          <w:tab w:val="left" w:pos="540"/>
        </w:tabs>
        <w:spacing w:after="80" w:line="264"/>
        <w:ind w:left="540" w:hanging="540"/>
      </w:pPr>
      <w:r>
        <w:rPr>
          <w:rFonts w:ascii="Times New Roman" w:cs="Times New Roman" w:eastAsia="Times New Roman" w:hAnsi="Times New Roman"/>
          <w:sz w:val="24"/>
          <w:szCs w:val="24"/>
        </w:rPr>
        <w:t xml:space="preserve">9.	</w:t>
      </w:r>
      <w:r>
        <w:rPr>
          <w:rFonts w:ascii="Times New Roman" w:cs="Times New Roman" w:eastAsia="Times New Roman" w:hAnsi="Times New Roman"/>
          <w:sz w:val="24"/>
          <w:szCs w:val="24"/>
        </w:rPr>
        <w:t xml:space="preserve">Letting the twelve-month foreign filing window pass without a decision.</w:t>
      </w:r>
    </w:p>
    <w:p>
      <w:pPr>
        <w:pStyle w:val="Heading2"/>
        <w:keepNext/>
        <w:spacing w:after="120" w:before="200"/>
      </w:pPr>
      <w:r>
        <w:rPr>
          <w:rFonts w:ascii="Times New Roman" w:cs="Times New Roman" w:eastAsia="Times New Roman" w:hAnsi="Times New Roman"/>
          <w:b/>
          <w:bCs/>
          <w:color w:val="000000"/>
          <w:sz w:val="28"/>
          <w:szCs w:val="28"/>
        </w:rPr>
        <w:t xml:space="preserve">10. Final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rPr>
          <w:tblHeader/>
        </w:trPr>
        <w:tc>
          <w:tcPr>
            <w:tcW w:type="dxa" w:w="70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Done</w:t>
            </w:r>
          </w:p>
        </w:tc>
        <w:tc>
          <w:tcPr>
            <w:tcW w:type="dxa" w:w="8660"/>
            <w:tcBorders>
              <w:top w:val="single" w:color="888888" w:sz="4"/>
              <w:left w:val="single" w:color="888888" w:sz="4"/>
              <w:bottom w:val="single" w:color="888888" w:sz="4"/>
              <w:right w:val="single" w:color="888888" w:sz="4"/>
            </w:tcBorders>
            <w:shd w:fill="EDEDED" w:color="auto" w:val="clear"/>
            <w:tcMar>
              <w:top w:type="dxa" w:w="60"/>
              <w:left w:type="dxa" w:w="90"/>
              <w:bottom w:type="dxa" w:w="60"/>
              <w:right w:type="dxa" w:w="90"/>
            </w:tcMar>
          </w:tcPr>
          <w:p>
            <w:pPr>
              <w:spacing w:after="0" w:line="240"/>
            </w:pPr>
            <w:r>
              <w:rPr>
                <w:rFonts w:ascii="Times New Roman" w:cs="Times New Roman" w:eastAsia="Times New Roman" w:hAnsi="Times New Roman"/>
                <w:b/>
                <w:bCs/>
                <w:sz w:val="20"/>
                <w:szCs w:val="20"/>
              </w:rPr>
              <w:t xml:space="preserve">Item</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USPTO.gov account created and identity verified; Patent Center opens "New submission"</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application-body.docx read in full by the inventor; review line removed from its header</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drawings/drawings.pdf, 13 sheets, FIG. 1 to FIG. 13</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Web ADS entered from application-data-sheet.md (or PTO/AIA/14 filled, original fillable PDF)</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PTO/AIA/01 completed from inventor-declaration.md and signed by Ravi Kiran Raju Yerra</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IDS completed from ids-and-references.md; one PDF per non-patent literature item</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Entity status small; fee total matches fee-worksheet.md; excess-claim lines show 9 claims and 3 independent claims; no non-DOCX line</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Submitted; Electronic Acknowledgement Receipt saved; application number and confirmation number recorded</w:t>
            </w:r>
          </w:p>
        </w:tc>
      </w:tr>
      <w:tr>
        <w:trPr>
          <w:tblHeader w:val="false"/>
        </w:trPr>
        <w:tc>
          <w:tcPr>
            <w:tcW w:type="dxa" w:w="70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p>
        </w:tc>
        <w:tc>
          <w:tcPr>
            <w:tcW w:type="dxa" w:w="8660"/>
            <w:tcBorders>
              <w:top w:val="single" w:color="888888" w:sz="4"/>
              <w:left w:val="single" w:color="888888" w:sz="4"/>
              <w:bottom w:val="single" w:color="888888" w:sz="4"/>
              <w:right w:val="single" w:color="888888" w:sz="4"/>
            </w:tcBorders>
            <w:tcMar>
              <w:top w:type="dxa" w:w="60"/>
              <w:left w:type="dxa" w:w="90"/>
              <w:bottom w:type="dxa" w:w="60"/>
              <w:right w:type="dxa" w:w="90"/>
            </w:tcMar>
          </w:tcPr>
          <w:p>
            <w:pPr>
              <w:spacing w:after="0" w:line="240"/>
            </w:pPr>
            <w:r>
              <w:rPr>
                <w:rFonts w:ascii="Times New Roman" w:cs="Times New Roman" w:eastAsia="Times New Roman" w:hAnsi="Times New Roman"/>
                <w:sz w:val="20"/>
                <w:szCs w:val="20"/>
              </w:rPr>
              <w:t xml:space="preserve">Calendar entries made: IDS window, 12-month foreign filing deadline, Filing Receipt check</w:t>
            </w:r>
          </w:p>
        </w:tc>
      </w:tr>
    </w:tbl>
    <w:p>
      <w:pPr>
        <w:spacing w:after="12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555555"/>
        <w:sz w:val="18"/>
        <w:szCs w:val="18"/>
      </w:rPr>
      <w:t xml:space="preserve">Page </w:t>
    </w:r>
    <w:r>
      <w:rPr>
        <w:rFonts w:ascii="Times New Roman" w:cs="Times New Roman" w:eastAsia="Times New Roman" w:hAnsi="Times New Roman"/>
        <w:color w:val="555555"/>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Times New Roman" w:cs="Times New Roman" w:eastAsia="Times New Roman" w:hAnsi="Times New Roman"/>
        <w:color w:val="555555"/>
        <w:sz w:val="18"/>
        <w:szCs w:val="18"/>
      </w:rPr>
      <w:t xml:space="preserve">Prepared for Ravi Kiran Raju Yerra. Attorney review recommended before filing. Not legal advice.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color w:val="000000"/>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pPr>
      <w:spacing w:after="80" w:before="160"/>
      <w:outlineLvl w:val="3"/>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Filing instructions: nonprovisional utility application (standalone, no benefit claim)</dc:title>
  <dc:creator>Ravi Kiran Raju Yerra</dc:creator>
  <dc:description>Prepared for Ravi Kiran Raju Yerra. Attorney review recommended before filing. Not legal advice.</dc:description>
  <cp:lastModifiedBy>Un-named</cp:lastModifiedBy>
  <cp:revision>1</cp:revision>
  <dcterms:created xsi:type="dcterms:W3CDTF">2026-10-28T04:54:50.744Z</dcterms:created>
  <dcterms:modified xsi:type="dcterms:W3CDTF">2026-10-28T04:54:50.745Z</dcterms:modified>
</cp:coreProperties>
</file>

<file path=docProps/custom.xml><?xml version="1.0" encoding="utf-8"?>
<Properties xmlns="http://schemas.openxmlformats.org/officeDocument/2006/custom-properties" xmlns:vt="http://schemas.openxmlformats.org/officeDocument/2006/docPropsVTypes"/>
</file>