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Fee worksheet: nonprovisional utility application, small entity</w:t>
      </w:r>
    </w:p>
    <w:p>
      <w:pPr>
        <w:keepLines w:val="false"/>
        <w:spacing w:after="160" w:line="276"/>
        <w:jc w:val="left"/>
      </w:pPr>
      <w:r>
        <w:rPr>
          <w:rFonts w:ascii="Times New Roman" w:cs="Times New Roman" w:eastAsia="Times New Roman" w:hAnsi="Times New Roman"/>
          <w:sz w:val="24"/>
          <w:szCs w:val="24"/>
        </w:rPr>
        <w:t xml:space="preserve">Entity status: small entity (37 CFR 1.27), asserted on the Application Data Sheet and by paying small entity rates. The applicant is an individual inventor who has not assigned or licensed the invention to a non-small entity; micro entity status is not claimed because the applicant's gross income exceeds the micro entity limit.</w:t>
      </w:r>
    </w:p>
    <w:p>
      <w:pPr>
        <w:keepLines w:val="false"/>
        <w:spacing w:after="160" w:line="276"/>
        <w:jc w:val="left"/>
      </w:pPr>
      <w:r>
        <w:rPr>
          <w:rFonts w:ascii="Times New Roman" w:cs="Times New Roman" w:eastAsia="Times New Roman" w:hAnsi="Times New Roman"/>
          <w:sz w:val="24"/>
          <w:szCs w:val="24"/>
        </w:rPr>
        <w:t xml:space="preserve">The dollar amounts below are the small entity amounts of the USPTO fee schedule as read on 2026-10-25 and recorded in this package. Fee amounts change by rulemaking, usually in January and sometimes mid-year. Every line is therefore marked "verify current USPTO fee schedule at filing". Patent Center computes the total at submission; the figures here are for budgeting and for checking that Patent Center has applied the small entity rates and has charged the expected excess-claim fees and nothing else.</w:t>
      </w:r>
    </w:p>
    <w:p>
      <w:pPr>
        <w:pStyle w:val="Heading2"/>
        <w:keepNext/>
        <w:spacing w:after="120" w:before="200"/>
      </w:pPr>
      <w:r>
        <w:rPr>
          <w:rFonts w:ascii="Times New Roman" w:cs="Times New Roman" w:eastAsia="Times New Roman" w:hAnsi="Times New Roman"/>
          <w:b/>
          <w:bCs/>
          <w:color w:val="000000"/>
          <w:sz w:val="28"/>
          <w:szCs w:val="28"/>
        </w:rPr>
        <w:t xml:space="preserve">1. Fees due at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1"/>
        <w:gridCol w:w="2780"/>
        <w:gridCol w:w="1158"/>
        <w:gridCol w:w="2781"/>
      </w:tblGrid>
      <w:tr>
        <w:trPr>
          <w:tblHeader/>
        </w:trPr>
        <w:tc>
          <w:tcPr>
            <w:tcW w:type="dxa" w:w="264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Fee (37 CFR)</w:t>
            </w:r>
          </w:p>
        </w:tc>
        <w:tc>
          <w:tcPr>
            <w:tcW w:type="dxa" w:w="27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Basis in this application</w:t>
            </w:r>
          </w:p>
        </w:tc>
        <w:tc>
          <w:tcPr>
            <w:tcW w:type="dxa" w:w="115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c>
          <w:tcPr>
            <w:tcW w:type="dxa" w:w="278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Note</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Basic filing fee, utility, filed electronically (1.16(a))</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application, filed through Patent Center</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70</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small entity electronic-filing rate; the small entity paper rate is 140 and the undiscounted rate is 350.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Utility search fee (1.16(k))</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application</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308</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Undiscounted 770.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Utility examination fee (1.16(o))</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application</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352</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Undiscounted 880.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Each claim in excess of 20 (1.16(i))</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29 claims filed, 9 in excess</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720 (9 at 80 each)</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Undiscounted 200 each.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Each independent claim in excess of 3 (1.16(h))</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 independent claims filed (claims 1, 11, 17, 22, 28 and 29), 3 in excess</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720 (3 at 240 each)</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Undiscounted 600 each.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Subtotal, fees due at filing</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2,170</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Of which 1,440 is excess-claim fees. Verify current USPTO fee schedule at filing.</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Conditional fees, each avoided or zero as filed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4"/>
        <w:gridCol w:w="3424"/>
        <w:gridCol w:w="1426"/>
        <w:gridCol w:w="1086"/>
      </w:tblGrid>
      <w:tr>
        <w:trPr>
          <w:tblHeader/>
        </w:trPr>
        <w:tc>
          <w:tcPr>
            <w:tcW w:type="dxa" w:w="34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Fee (37 CFR)</w:t>
            </w:r>
          </w:p>
        </w:tc>
        <w:tc>
          <w:tcPr>
            <w:tcW w:type="dxa" w:w="34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Basis in this application</w:t>
            </w:r>
          </w:p>
        </w:tc>
        <w:tc>
          <w:tcPr>
            <w:tcW w:type="dxa" w:w="142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c>
          <w:tcPr>
            <w:tcW w:type="dxa" w:w="108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Amount due as filed</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Multiple dependent claim (1.16(j))</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filed; every dependent claim refers to a single claim</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applicable</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size fee, each additional 50 sheets over 100 (1.16(s))</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and abstract render to 42 pages, plus 13 drawing sheets, 55 sheets in all, under 100</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reached</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Non-DOCX filing surcharge (1.16(u))</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and abstract are uploaded as DOCX (editable/application-body.docx), so the surcharge does not apply; it would apply if they were uploaded as PDF</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172</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Surcharge for late filing fee or late oath or declaration (1.16(f))</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fees paid and the signed declaration uploaded in the same submission</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68</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Information Disclosure Statement fee (1.17(p))</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IDS filed with the application, within the three-month window of 37 CFR 1.97(b)</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112</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Every amount in this table: verify current USPTO fee schedule at filing.</w:t>
      </w:r>
    </w:p>
    <w:p>
      <w:pPr>
        <w:pStyle w:val="Heading2"/>
        <w:keepNext/>
        <w:spacing w:after="120" w:before="200"/>
      </w:pPr>
      <w:r>
        <w:rPr>
          <w:rFonts w:ascii="Times New Roman" w:cs="Times New Roman" w:eastAsia="Times New Roman" w:hAnsi="Times New Roman"/>
          <w:b/>
          <w:bCs/>
          <w:color w:val="000000"/>
          <w:sz w:val="28"/>
          <w:szCs w:val="28"/>
        </w:rPr>
        <w:t xml:space="preserve">3.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rPr>
          <w:tblHeader/>
        </w:trPr>
        <w:tc>
          <w:tcPr>
            <w:tcW w:type="dxa" w:w="86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p>
        </w:tc>
        <w:tc>
          <w:tcPr>
            <w:tcW w:type="dxa" w:w="7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USD</w:t>
            </w:r>
          </w:p>
        </w:tc>
      </w:tr>
      <w:tr>
        <w:trPr>
          <w:tblHeader w:val="false"/>
        </w:trPr>
        <w:tc>
          <w:tcPr>
            <w:tcW w:type="dxa" w:w="86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Total due at filing, small entity, as filed (29 claims, 6 independent)</w:t>
            </w:r>
          </w:p>
        </w:tc>
        <w:tc>
          <w:tcPr>
            <w:tcW w:type="dxa" w:w="7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2,170</w:t>
            </w:r>
          </w:p>
        </w:tc>
      </w:tr>
      <w:tr>
        <w:trPr>
          <w:tblHeader w:val="false"/>
        </w:trPr>
        <w:tc>
          <w:tcPr>
            <w:tcW w:type="dxa" w:w="86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Total if trimmed to 20 claims and 3 independent claims before filing</w:t>
            </w:r>
          </w:p>
        </w:tc>
        <w:tc>
          <w:tcPr>
            <w:tcW w:type="dxa" w:w="7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730</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Verify current USPTO fee schedule at filing. If Patent Center shows a different total, stop and find the cause before paying: the usual causes are the entity status not set to small, the specification uploaded as PDF instead of DOCX (surcharge), or a claim count in the uploaded DOCX that differs from 29 claims with 6 independent claims.</w:t>
      </w:r>
    </w:p>
    <w:p>
      <w:pPr>
        <w:pStyle w:val="Heading2"/>
        <w:keepNext/>
        <w:spacing w:after="120" w:before="200"/>
      </w:pPr>
      <w:r>
        <w:rPr>
          <w:rFonts w:ascii="Times New Roman" w:cs="Times New Roman" w:eastAsia="Times New Roman" w:hAnsi="Times New Roman"/>
          <w:b/>
          <w:bCs/>
          <w:color w:val="000000"/>
          <w:sz w:val="28"/>
          <w:szCs w:val="28"/>
        </w:rPr>
        <w:t xml:space="preserve">4. Trimming to avoid excess-claim fees</w:t>
      </w:r>
    </w:p>
    <w:p>
      <w:pPr>
        <w:keepLines w:val="false"/>
        <w:spacing w:after="160" w:line="276"/>
        <w:jc w:val="left"/>
      </w:pPr>
      <w:r>
        <w:rPr>
          <w:rFonts w:ascii="Times New Roman" w:cs="Times New Roman" w:eastAsia="Times New Roman" w:hAnsi="Times New Roman"/>
          <w:sz w:val="24"/>
          <w:szCs w:val="24"/>
        </w:rPr>
        <w:t xml:space="preserve">The claim set carries the 2026-10-27 project-engine claims (22 to 29) and the watch-loop tolerance (claim 10) in the same application so that every claim has the same effective filing date (see README-WHAT-IS-WHAT.md). The excess-claim fees are the cost of that choice. If the inventor or a practitioner prefers to file at the 20-claim, 3-independent level, the candidates for removal are the system and medium parallels of the project engine (claims 28 and 29, which repeat claim 22 in a different statutory class), the depth dependent (claim 27, graded weakest in the candidates review), and dependents that can be folded or held for a continuation. Removing six claims including claims 28 and 29 brings the set to 23 claims and 4 independent claims (240 USD excess claims plus 240 USD for one excess independent claim); removing nine claims including claims 28 and 29 and one of the three original independent groups is not recommended. The specification supports every claim either way, so a continuation can present any removed claim later.</w:t>
      </w:r>
    </w:p>
    <w:p>
      <w:pPr>
        <w:pStyle w:val="Heading2"/>
        <w:keepNext/>
        <w:spacing w:after="120" w:before="200"/>
      </w:pPr>
      <w:r>
        <w:rPr>
          <w:rFonts w:ascii="Times New Roman" w:cs="Times New Roman" w:eastAsia="Times New Roman" w:hAnsi="Times New Roman"/>
          <w:b/>
          <w:bCs/>
          <w:color w:val="000000"/>
          <w:sz w:val="28"/>
          <w:szCs w:val="28"/>
        </w:rPr>
        <w:t xml:space="preserve">5. If the Appendix A claims were added</w:t>
      </w:r>
    </w:p>
    <w:p>
      <w:pPr>
        <w:keepLines w:val="false"/>
        <w:spacing w:after="160" w:line="276"/>
        <w:jc w:val="left"/>
      </w:pPr>
      <w:r>
        <w:rPr>
          <w:rFonts w:ascii="Times New Roman" w:cs="Times New Roman" w:eastAsia="Times New Roman" w:hAnsi="Times New Roman"/>
          <w:sz w:val="24"/>
          <w:szCs w:val="24"/>
        </w:rPr>
        <w:t xml:space="preserve">Not recommended at filing; shown so the cost is known. Adding the four candidate independent claims of claims.md Appendix A to the 29-claim set would make 33 claims with 10 independent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2"/>
        <w:gridCol w:w="1156"/>
        <w:gridCol w:w="2629"/>
        <w:gridCol w:w="1053"/>
      </w:tblGrid>
      <w:tr>
        <w:trPr>
          <w:tblHeader/>
        </w:trPr>
        <w:tc>
          <w:tcPr>
            <w:tcW w:type="dxa" w:w="452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Fee (37 CFR)</w:t>
            </w:r>
          </w:p>
        </w:tc>
        <w:tc>
          <w:tcPr>
            <w:tcW w:type="dxa" w:w="115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Count added</w:t>
            </w:r>
          </w:p>
        </w:tc>
        <w:tc>
          <w:tcPr>
            <w:tcW w:type="dxa" w:w="2629"/>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c>
          <w:tcPr>
            <w:tcW w:type="dxa" w:w="105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Added cost</w:t>
            </w:r>
          </w:p>
        </w:tc>
      </w:tr>
      <w:tr>
        <w:trPr>
          <w:tblHeader w:val="false"/>
        </w:trPr>
        <w:tc>
          <w:tcPr>
            <w:tcW w:type="dxa" w:w="452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in excess of 20 (1.16(i))</w:t>
            </w:r>
          </w:p>
        </w:tc>
        <w:tc>
          <w:tcPr>
            <w:tcW w:type="dxa" w:w="1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62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80 each</w:t>
            </w:r>
          </w:p>
        </w:tc>
        <w:tc>
          <w:tcPr>
            <w:tcW w:type="dxa" w:w="10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320</w:t>
            </w:r>
          </w:p>
        </w:tc>
      </w:tr>
      <w:tr>
        <w:trPr>
          <w:tblHeader w:val="false"/>
        </w:trPr>
        <w:tc>
          <w:tcPr>
            <w:tcW w:type="dxa" w:w="452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Independent claims in excess of 3 (1.16(h))</w:t>
            </w:r>
          </w:p>
        </w:tc>
        <w:tc>
          <w:tcPr>
            <w:tcW w:type="dxa" w:w="1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62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240 each</w:t>
            </w:r>
          </w:p>
        </w:tc>
        <w:tc>
          <w:tcPr>
            <w:tcW w:type="dxa" w:w="10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960</w:t>
            </w:r>
          </w:p>
        </w:tc>
      </w:tr>
      <w:tr>
        <w:trPr>
          <w:tblHeader w:val="false"/>
        </w:trPr>
        <w:tc>
          <w:tcPr>
            <w:tcW w:type="dxa" w:w="452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Added total</w:t>
            </w:r>
          </w:p>
        </w:tc>
        <w:tc>
          <w:tcPr>
            <w:tcW w:type="dxa" w:w="1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262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10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1,280</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Verify current USPTO fee schedule at filing.</w:t>
      </w:r>
    </w:p>
    <w:p>
      <w:pPr>
        <w:pStyle w:val="Heading2"/>
        <w:keepNext/>
        <w:spacing w:after="120" w:before="200"/>
      </w:pPr>
      <w:r>
        <w:rPr>
          <w:rFonts w:ascii="Times New Roman" w:cs="Times New Roman" w:eastAsia="Times New Roman" w:hAnsi="Times New Roman"/>
          <w:b/>
          <w:bCs/>
          <w:color w:val="000000"/>
          <w:sz w:val="28"/>
          <w:szCs w:val="28"/>
        </w:rPr>
        <w:t xml:space="preserve">6. Later fees, not due at filing (for budgeting)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Fee (37 CFR)</w:t>
            </w:r>
          </w:p>
        </w:tc>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When</w:t>
            </w:r>
          </w:p>
        </w:tc>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Issue fee, utility (1.18(a))</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After a Notice of Allowance, within three months of its mailing date</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516 (undiscounted 1,290). Verify current USPTO fee schedule at the time.</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Maintenance fees (1.20(e), (f), (g))</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Due at 3.5, 7.5 and 11.5 years after the patent issues, each payable in the six months before the due date without surcharge</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the fee schedule in force at each due date.</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Request for Continued Examination, extensions of time, appeal fees</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Only if prosecution requires them</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the fee schedule in force at the time.</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7. How to pay</w:t>
      </w:r>
    </w:p>
    <w:p>
      <w:pPr>
        <w:keepLines w:val="false"/>
        <w:spacing w:after="160" w:line="276"/>
        <w:jc w:val="left"/>
      </w:pPr>
      <w:r>
        <w:rPr>
          <w:rFonts w:ascii="Times New Roman" w:cs="Times New Roman" w:eastAsia="Times New Roman" w:hAnsi="Times New Roman"/>
          <w:sz w:val="24"/>
          <w:szCs w:val="24"/>
        </w:rPr>
        <w:t xml:space="preserve">Patent Center accepts credit or debit card, electronic funds transfer from a bank account, and USPTO deposit account. No deposit account is needed. The fee is paid on the final screen of the submission; the Electronic Acknowledgement Receipt records the amount paid and the fee codes. Keep that receipt with the filing records.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 worksheet: nonprovisional utility application, small entity</dc:title>
  <dc:creator>Ravi Kiran Raju Yerra</dc:creator>
  <dc:description>Prepared for Ravi Kiran Raju Yerra. Attorney review recommended before filing. Not legal advice.</dc:description>
  <cp:lastModifiedBy>Un-named</cp:lastModifiedBy>
  <cp:revision>1</cp:revision>
  <dcterms:created xsi:type="dcterms:W3CDTF">2026-10-28T04:54:59.734Z</dcterms:created>
  <dcterms:modified xsi:type="dcterms:W3CDTF">2026-10-28T04:54:59.735Z</dcterms:modified>
</cp:coreProperties>
</file>

<file path=docProps/custom.xml><?xml version="1.0" encoding="utf-8"?>
<Properties xmlns="http://schemas.openxmlformats.org/officeDocument/2006/custom-properties" xmlns:vt="http://schemas.openxmlformats.org/officeDocument/2006/docPropsVTypes"/>
</file>