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val="false"/>
        <w:spacing w:after="160" w:line="276"/>
        <w:jc w:val="left"/>
      </w:pPr>
      <w:r>
        <w:rPr>
          <w:rFonts w:ascii="Times New Roman" w:cs="Times New Roman" w:eastAsia="Times New Roman" w:hAnsi="Times New Roman"/>
          <w:sz w:val="24"/>
          <w:szCs w:val="24"/>
        </w:rPr>
        <w:t xml:space="preserve">DRAFT — for review by a registered patent practitioner before filing. Not legal advice.</w:t>
      </w:r>
    </w:p>
    <w:p>
      <w:pPr>
        <w:pStyle w:val="Heading1"/>
        <w:keepNext/>
        <w:spacing w:after="120" w:before="240"/>
      </w:pPr>
      <w:r>
        <w:rPr>
          <w:rFonts w:ascii="Times New Roman" w:cs="Times New Roman" w:eastAsia="Times New Roman" w:hAnsi="Times New Roman"/>
          <w:b/>
          <w:bCs/>
          <w:color w:val="000000"/>
          <w:sz w:val="32"/>
          <w:szCs w:val="32"/>
        </w:rPr>
        <w:t xml:space="preserve">20: Claims (v2 DRAFT)</w:t>
      </w:r>
    </w:p>
    <w:p>
      <w:pPr>
        <w:pBdr>
          <w:left w:val="single" w:color="999999" w:sz="12" w:space="8"/>
        </w:pBdr>
        <w:spacing w:after="200" w:line="264"/>
        <w:ind w:left="540" w:right="540"/>
      </w:pPr>
      <w:r>
        <w:rPr>
          <w:rFonts w:ascii="Times New Roman" w:cs="Times New Roman" w:eastAsia="Times New Roman" w:hAnsi="Times New Roman"/>
          <w:i/>
          <w:iCs/>
          <w:color w:val="333333"/>
          <w:sz w:val="22"/>
          <w:szCs w:val="22"/>
        </w:rPr>
        <w:t xml:space="preserve">Package note (not part of the filed claims): lead set of 20 claims, 3 independent (claims 1, 10 and 16), kept at or under 20 total and 3 independent so that no excess-claim fees apply (verify the fee schedule at filing). Changes from v1 (</w:t>
      </w:r>
      <w:r>
        <w:rPr>
          <w:rFonts w:ascii="Consolas" w:cs="Consolas" w:eastAsia="Consolas" w:hAnsi="Consolas"/>
          <w:i/>
          <w:iCs/>
          <w:color w:val="333333"/>
          <w:sz w:val="22"/>
          <w:szCs w:val="22"/>
        </w:rPr>
        <w:t xml:space="preserve">04-claims.md</w:t>
      </w:r>
      <w:r>
        <w:rPr>
          <w:rFonts w:ascii="Times New Roman" w:cs="Times New Roman" w:eastAsia="Times New Roman" w:hAnsi="Times New Roman"/>
          <w:i/>
          <w:iCs/>
          <w:color w:val="333333"/>
          <w:sz w:val="22"/>
          <w:szCs w:val="22"/>
        </w:rPr>
        <w:t xml:space="preserve">) follow </w:t>
      </w:r>
      <w:r>
        <w:rPr>
          <w:rFonts w:ascii="Consolas" w:cs="Consolas" w:eastAsia="Consolas" w:hAnsi="Consolas"/>
          <w:i/>
          <w:iCs/>
          <w:color w:val="333333"/>
          <w:sz w:val="22"/>
          <w:szCs w:val="22"/>
        </w:rPr>
        <w:t xml:space="preserve">05-novelty-synthesis-and-claims-v2.md</w:t>
      </w:r>
      <w:r>
        <w:rPr>
          <w:rFonts w:ascii="Times New Roman" w:cs="Times New Roman" w:eastAsia="Times New Roman" w:hAnsi="Times New Roman"/>
          <w:i/>
          <w:iCs/>
          <w:color w:val="333333"/>
          <w:sz w:val="22"/>
          <w:szCs w:val="22"/>
        </w:rPr>
        <w:t xml:space="preserve"> §3 and §4: claim 1 recites that the visible-when-done condition is planner-generated and evaluated on the same redacted frame, and retains the verified redacted frame as the sole evidence; v1 claim 6 is split into claims 6 and 7; v1 claim 20 is split into claim 15 (browser) and claim 20 (desktop) and the browser claim does not imply exclusion of the guidance window from self-capture; claim 16 adds the limb that the policy also constrains the model's single-step instruction; v1 claim 7 (model escalation) and v1 claim 11 (consistent token) are removed to make room, the latter being folded into claim 5. Claims 11 (streaming rehydration) and 17 (lock release with re-authentication) recite specification-enabled embodiments: see the drafting notes after the claim set. The Appendix contains additional candidate independent claims for a restriction response, divisional or continuation.</w:t>
      </w:r>
    </w:p>
    <w:p>
      <w:pPr>
        <w:pBdr>
          <w:bottom w:val="single" w:color="999999" w:sz="6" w:space="1"/>
        </w:pBdr>
        <w:spacing w:after="200"/>
      </w:pP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the navigation record and the second navigation record each further comprise an observation describing content of the redacted frame from which that navigation record was generated and a flag that is non-empty when that redacted frame shows an error or an incorrect value, and wherein the corrective instruction is derived from the flag of the second navigation record.</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3,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The system of claim 10, wherein the local rehydration module is configured to receive the response as a sequence of partial chunks of a streamed response, to retain a tail of received text no longer than a maximum placeholder token length across a chunk boundary, to apply the substitution to the received text other than the tail as each partial chunk is received, and to release the substituted text for presentation progressively, such that a placeholder token split across two partial chunks is substituted.</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10,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10,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The system of claim 10,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system of claim 10,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The non-transitory computer-readable medium of claim 16,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16,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The non-transitory computer-readable medium of claim 16,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non-transitory computer-readable medium of claim 16,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pBdr>
          <w:bottom w:val="single" w:color="999999" w:sz="6" w:space="1"/>
        </w:pBdr>
        <w:spacing w:after="200"/>
      </w:pPr>
    </w:p>
    <w:p>
      <w:pPr>
        <w:pStyle w:val="Heading2"/>
        <w:keepNext/>
        <w:spacing w:after="120" w:before="200"/>
      </w:pPr>
      <w:r>
        <w:rPr>
          <w:rFonts w:ascii="Times New Roman" w:cs="Times New Roman" w:eastAsia="Times New Roman" w:hAnsi="Times New Roman"/>
          <w:b/>
          <w:bCs/>
          <w:color w:val="000000"/>
          <w:sz w:val="28"/>
          <w:szCs w:val="28"/>
        </w:rPr>
        <w:t xml:space="preserve">Claim support map (for the practitioner; not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Claim</w:t>
            </w:r>
          </w:p>
        </w:tc>
        <w:tc>
          <w:tcPr>
            <w:tcW w:type="dxa" w:w="48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Supporting specification paragraphs (file 10)</w:t>
            </w:r>
          </w:p>
        </w:tc>
        <w:tc>
          <w:tcPr>
            <w:tcW w:type="dxa" w:w="38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Drawings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[0010], [0025] to [0027], [0032] to [0033], [0036] to [0038], [0041], [0045] to [0049], [0056]</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2, 3, 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[0037] to [0038]</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(212, 218, 220)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[0046]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(306, 308, 316, 318, 320)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[0050]</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(338)</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[0048], [0052]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(312, 314, 326 to 334)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 to [0040], [0080],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(232, 234), FIG. 6 (650)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[0038], [0061],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(216), FIG. 4 (430), FIG. 5 (514, 526)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[0065] to [0071]</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7 (702 to 726), FIG. 1 (136, 157)</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[0026] to [0031], [0033], [0045]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3</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[0052]</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(332)</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[0047]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(310), FIG. 5 (510)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[0034], [0064]</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(162), FIG. 9 (902 to 916)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[0082]</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8A (802 to 814)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[0057] to [0062], [0038], [0054] to [0055]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(506 to 534, 538), FIG. 2 (216), FIG. 3 (336)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(518, 536)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[0055], [0058]</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(520, 524)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[0062] to [0063]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(516, 528, 538, 540)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8B (820 to 834)</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Antecedent-basis self-check (performed on this v2 set)</w:t>
      </w:r>
    </w:p>
    <w:p>
      <w:pPr>
        <w:keepLines w:val="false"/>
        <w:spacing w:after="160" w:line="276"/>
        <w:jc w:val="left"/>
      </w:pPr>
      <w:r>
        <w:rPr>
          <w:rFonts w:ascii="Times New Roman" w:cs="Times New Roman" w:eastAsia="Times New Roman" w:hAnsi="Times New Roman"/>
          <w:sz w:val="24"/>
          <w:szCs w:val="24"/>
        </w:rPr>
        <w:t xml:space="preserve">Method: every "the" term in claims 1 to 9 was traced to an introducing "a/an" in the same claim or in the claim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5"/>
        <w:gridCol w:w="2660"/>
        <w:gridCol w:w="788"/>
        <w:gridCol w:w="2957"/>
      </w:tblGrid>
      <w:tr>
        <w:trPr>
          <w:tblHeader/>
        </w:trPr>
        <w:tc>
          <w:tcPr>
            <w:tcW w:type="dxa" w:w="295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295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target application, a guidance client, a user device, a display, a user-stated goal</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(preamble and first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to 9</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a plurality of steps, a planning machine-learning model, an instruction, a visible-when-done condition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(obtaining)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1, 5, 6, 7, 8, 9</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first frame, a redacted first frame, a policy engine, at least one recognized text region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generating)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1, 3, 4, 6, 7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(transmitting)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1, 9</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navigation record, a machine-learning model having image-understanding capability, a single current step, a single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(receiving)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1, 2, 5, 6, 7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second frame, a redacted second frame, a second navigation record, a subsequent step, a corrective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after presenting; advancing)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evidence"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(retaining, "as evidence of the current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"the evidence" refers back to "evidence of the current step"</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observation, a flag</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optical character recognition, a plurality of text lines, a bounding box, a set of detection rules, an egress policy applicable to the user, each block word, each custom pattern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3</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3, 4</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4 depends on 3</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downscaled copy, a legibility criterion, a threshold height, a confidence threshold</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4</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placeholder token, a type indicator, an index, a session, a mapping, a response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5</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prerequisite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6</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control, a different control, an indication, a session record, a regeneration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7</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timestamp, a screenshot-evidence setting, an egress policy applicable to the user, a session report, an exhibit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8</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8 depends on claim 1, not claim 3, so "an egress policy applicable to the user" is introduced afresh here</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clarification question, a plurality of answer options, a frame of the display captured by the guidance client and redacted on the user device, an answer, a free-text entry, a skip control, a session scope, a stated assumption, a plan regeneration request, a clarification-origin indicator, a per-task regeneration limit, a user-initiated plan regeneration request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System: claims 10 to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250"/>
        <w:gridCol w:w="1170"/>
        <w:gridCol w:w="540"/>
      </w:tblGrid>
      <w:tr>
        <w:trPr>
          <w:tblHeader/>
        </w:trPr>
        <w:tc>
          <w:tcPr>
            <w:tcW w:type="dxa" w:w="54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25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117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5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guidance client, a user device, a display, an input device, a target application</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 (preamble)</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to 15</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capture module, frames, a policy-enforcement module, an egress policy, categories, an action</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10, 13, 15</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on-device redaction engine, text lines, a redacted frame</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10, 13</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tokenizer, outbound text, a placeholder token, a type indicator, a mapping, a token map</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to 13</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presentation layer, a single instruction, a current step, an ordered plan</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10, 14, 15</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local rehydration module, a response</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10, 11, 12</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planning machine-learning model, a visible-when-done condition, a machine-learning model having image-understanding capability, a navigation record, a subsequently received redacted frame</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 (wherein clause)</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sequence of partial chunks, a streamed response, a tail, a maximum placeholder token length, a chunk boundary</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11</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indication</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12</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plurality of block words</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13</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security gate, a catalog, a destructive indicator, a reason, an annotated step, a placeholder, an explicit acknowledgment control, an acknowledgment event</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web application, a browser, a display-media capture interface, a document picture-in-picture window, a user gesture, a capture prompt, a pop-out window, a page</w:t>
            </w:r>
          </w:p>
        </w:tc>
        <w:tc>
          <w:tcPr>
            <w:tcW w:type="dxa" w:w="22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15</w:t>
            </w:r>
          </w:p>
        </w:tc>
        <w:tc>
          <w:tcPr>
            <w:tcW w:type="dxa" w:w="11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5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Medium: claims 16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80"/>
        <w:gridCol w:w="780"/>
        <w:gridCol w:w="3600"/>
      </w:tblGrid>
      <w:tr>
        <w:trPr>
          <w:tblHeader/>
        </w:trPr>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13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user device, a tenant, member users, an egress policy object, categories, an action, a set of block words, a mode, a screenshot-evidence setting, an armed state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(storing)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 to 20</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client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(distributing)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16, 18, 20</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member user, frames, a display, a target application, a redacted frame, a text line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(capturing)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 to 20</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steps, a visible-when-done condition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(transmitting)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machine-learning model having image-understanding capability, a navigation record, a single current step, a single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(obtaining)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instruction-shaping rule set, at least one forbid rule, a policy reason, a compliant alternative, a policy-reason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(applying)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subsequently received redacted frame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(presenting)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audit log, a record, a version, a count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16 (appending)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17, 18, 19</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claims 18 and 19 say "the record appended to the audit log"</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locked state, a modification, a tenant administrator, a lock-release operation, an administrator having a role hierarchically above, an entry</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retention window, a closed schema, a session, a single operation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desktop shell, an overlay window, a click-through mode, a pointer, a control of the overlay window, a content-protection attribute, a window manager, other applications</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20</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Items the practitioner may wish to revisit: (a) claim 1 recites "the first navigation record" nowhere; claim 8 uses "the first navigation record that identifies" as an ordinal description of an event, not as a reference to a previously introduced element, which is a common form but may be reworded as "the earliest navigation record"; (b) claim 7 and claim 9 use "at least one of" and "or" lists, which the practitioner may convert to separate dependent claims if claim count allows; (c) claim 16 recites the single instruction being "annotated ... or ... replaced", an alternative that the practitioner may wish to split.</w:t>
      </w:r>
    </w:p>
    <w:p>
      <w:pPr>
        <w:pStyle w:val="Heading2"/>
        <w:keepNext/>
        <w:spacing w:after="120" w:before="200"/>
      </w:pPr>
      <w:r>
        <w:rPr>
          <w:rFonts w:ascii="Times New Roman" w:cs="Times New Roman" w:eastAsia="Times New Roman" w:hAnsi="Times New Roman"/>
          <w:b/>
          <w:bCs/>
          <w:color w:val="000000"/>
          <w:sz w:val="28"/>
          <w:szCs w:val="28"/>
        </w:rPr>
        <w:t xml:space="preserve">Drafting notes on code support (from 05 §4 and §6; not filed)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Claim 11 (streaming rehydration). The specification enables streaming rehydration at paragraph [0052] (tail buffer across chunk boundaries). The shipped rehydration operates on whole strings only. Before filing, either implement the streaming path or confirm with the inventor that the specification's description is sufficient as a constructive reduction to practice and that the inventor possessed the embodiment; do not represent it as working.</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Claim 17 (lock release). The specification enables the lock-release operation at paragraph [0059]. The shipped code checks only a client-supplied flag and does not perform higher-privilege re-authentication or write an audit entry. Same choice as for claim 11: implement, or rely on constructive reduction to practice with the inventor's confirmation. Expect a §103 challenge over Microsoft US 11,368,361 B2 and Oracle US 2015/0082372 A1; the claim is kept dependent on the full claim 16 combination.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Claim 16 limb (instruction-shaping rule set). Confirm against the policy-rules code that the rule set is compiled from the same policy object and versioned with it; the synthesis records this as partially implemented.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Claim 9 and the Appendix claim IV-1. The shipped clarification mechanism implements screen-derived options, free text, skip, undo and the free re-plan path; the server-side discard of a question whose answer appears in recognized frame text (paragraph [0066], second sentence) is described as "in some embodiments" and is not confirmed in code.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Claim 7, downstream use of the discrepancy indication. Recording in the session record is supported; supplying the indication to re-planning or to template supersession is an embodiment. The claim uses "at least one of" so that the recorded form is enough.</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Claims 18 and 19. The synthesis marks server re-application (18) and the audit schema and purge (19) as "confirm"; the retention purge and audit log are described in the feature inventory as implemented, and the hash-chained audit log is implemented.</w:t>
      </w:r>
    </w:p>
    <w:p>
      <w:pPr>
        <w:pBdr>
          <w:bottom w:val="single" w:color="999999" w:sz="6" w:space="1"/>
        </w:pBdr>
        <w:spacing w:after="200"/>
      </w:pPr>
    </w:p>
    <w:p>
      <w:pPr>
        <w:pStyle w:val="Heading2"/>
        <w:keepNext/>
        <w:spacing w:after="120" w:before="200"/>
      </w:pPr>
      <w:r>
        <w:rPr>
          <w:rFonts w:ascii="Times New Roman" w:cs="Times New Roman" w:eastAsia="Times New Roman" w:hAnsi="Times New Roman"/>
          <w:b/>
          <w:bCs/>
          <w:color w:val="000000"/>
          <w:sz w:val="28"/>
          <w:szCs w:val="28"/>
        </w:rPr>
        <w:t xml:space="preserve">Appendix: Additional candidate independent claims for restriction, divisional or continuation (not part of the lead set)</w:t>
      </w:r>
    </w:p>
    <w:p>
      <w:pPr>
        <w:pBdr>
          <w:left w:val="single" w:color="999999" w:sz="12" w:space="8"/>
        </w:pBdr>
        <w:spacing w:after="200" w:line="264"/>
        <w:ind w:left="540" w:right="540"/>
      </w:pPr>
      <w:r>
        <w:rPr>
          <w:rFonts w:ascii="Times New Roman" w:cs="Times New Roman" w:eastAsia="Times New Roman" w:hAnsi="Times New Roman"/>
          <w:i/>
          <w:iCs/>
          <w:color w:val="333333"/>
          <w:sz w:val="22"/>
          <w:szCs w:val="22"/>
        </w:rPr>
        <w:t xml:space="preserve">These four claims are drafted from </w:t>
      </w:r>
      <w:r>
        <w:rPr>
          <w:rFonts w:ascii="Consolas" w:cs="Consolas" w:eastAsia="Consolas" w:hAnsi="Consolas"/>
          <w:i/>
          <w:iCs/>
          <w:color w:val="333333"/>
          <w:sz w:val="22"/>
          <w:szCs w:val="22"/>
        </w:rPr>
        <w:t xml:space="preserve">05-novelty-synthesis-and-claims-v2.md</w:t>
      </w:r>
      <w:r>
        <w:rPr>
          <w:rFonts w:ascii="Times New Roman" w:cs="Times New Roman" w:eastAsia="Times New Roman" w:hAnsi="Times New Roman"/>
          <w:i/>
          <w:iCs/>
          <w:color w:val="333333"/>
          <w:sz w:val="22"/>
          <w:szCs w:val="22"/>
        </w:rPr>
        <w:t xml:space="preserve"> §2 (IDs II-1, II-2, III-1 and IV-1). If filed in the same application they would raise the independent-claim count above 3 and the total above 20, incurring excess-claim fees and a probable restriction requirement; counsel decides whether to add them now, hold them for a divisional, or file them in a continuation. Claims A1 and A2 (Invention II) describe an arrangement that is built and unit-tested but not yet wired into the server; the specification (file 10, paragraphs [0072] to [0081]) enables it. Terms are self-contained within each appendix claim.</w:t>
      </w:r>
    </w:p>
    <w:p>
      <w:pPr>
        <w:keepLines/>
        <w:spacing w:after="200" w:line="276"/>
        <w:jc w:val="left"/>
      </w:pPr>
      <w:r>
        <w:rPr>
          <w:rFonts w:ascii="Times New Roman" w:cs="Times New Roman" w:eastAsia="Times New Roman" w:hAnsi="Times New Roman"/>
          <w:b/>
          <w:bCs/>
          <w:sz w:val="24"/>
          <w:szCs w:val="24"/>
        </w:rPr>
        <w:t xml:space="preserve">A1 (II-1, method).</w:t>
      </w:r>
      <w:r>
        <w:rPr>
          <w:rFonts w:ascii="Times New Roman" w:cs="Times New Roman" w:eastAsia="Times New Roman" w:hAnsi="Times New Roman"/>
          <w:sz w:val="24"/>
          <w:szCs w:val="24"/>
        </w:rPr>
        <w:t xml:space="preserve"> A computer-implemented method of generating a guidance plan for a human performer, comprising:</w:t>
      </w:r>
    </w:p>
    <w:p>
      <w:pPr>
        <w:keepLines w:val="false"/>
        <w:spacing w:after="160" w:line="276"/>
        <w:jc w:val="left"/>
      </w:pPr>
      <w:r>
        <w:rPr>
          <w:rFonts w:ascii="Times New Roman" w:cs="Times New Roman" w:eastAsia="Times New Roman" w:hAnsi="Times New Roman"/>
          <w:sz w:val="24"/>
          <w:szCs w:val="24"/>
        </w:rPr>
        <w:t xml:space="preserve">receiving a goal statement and an application identifier from a requesting user, and an environment description of the requesting user's session comprising at least one of a jurisdiction, a list of named software and a manual-versus-software indicator;</w:t>
      </w:r>
    </w:p>
    <w:p>
      <w:pPr>
        <w:keepLines w:val="false"/>
        <w:spacing w:after="160" w:line="276"/>
        <w:jc w:val="left"/>
      </w:pPr>
      <w:r>
        <w:rPr>
          <w:rFonts w:ascii="Times New Roman" w:cs="Times New Roman" w:eastAsia="Times New Roman" w:hAnsi="Times New Roman"/>
          <w:sz w:val="24"/>
          <w:szCs w:val="24"/>
        </w:rPr>
        <w:t xml:space="preserve">computing a goal signature of the goal statement, the goal signature being an ordered token set produced by lowercasing the goal statement, removing email addresses, uniform resource locators and possessives, removing tokens that are purely numeric or version-like, removing stop words, applying singularization and removing duplicate tokens;</w:t>
      </w:r>
    </w:p>
    <w:p>
      <w:pPr>
        <w:keepLines w:val="false"/>
        <w:spacing w:after="160" w:line="276"/>
        <w:jc w:val="left"/>
      </w:pPr>
      <w:r>
        <w:rPr>
          <w:rFonts w:ascii="Times New Roman" w:cs="Times New Roman" w:eastAsia="Times New Roman" w:hAnsi="Times New Roman"/>
          <w:sz w:val="24"/>
          <w:szCs w:val="24"/>
        </w:rPr>
        <w:t xml:space="preserve">for each workflow template in a store scoped to a holder of the requesting user, each workflow template comprising a stored goal signature, a stored application key, a stored environment record and ordered steps, computing (i) a goal similarity equal to a mean of a Jaccard index and an overlap coefficient of the goal signature and the stored goal signature, (ii) an application similarity that treats the application identifier and the stored application key as matching when they are equal or when one is a token subset of the other, and (iii) an environment compatibility score that is reduced by each contradiction between the environment description and the stored environment record, a contradiction being a differing jurisdiction, a disjoint list of named software or a conflicting manual-versus-software indicator, and an attribute absent from the environment description never contradicting;</w:t>
      </w:r>
    </w:p>
    <w:p>
      <w:pPr>
        <w:keepLines w:val="false"/>
        <w:spacing w:after="160" w:line="276"/>
        <w:jc w:val="left"/>
      </w:pPr>
      <w:r>
        <w:rPr>
          <w:rFonts w:ascii="Times New Roman" w:cs="Times New Roman" w:eastAsia="Times New Roman" w:hAnsi="Times New Roman"/>
          <w:sz w:val="24"/>
          <w:szCs w:val="24"/>
        </w:rPr>
        <w:t xml:space="preserve">forming a weighted combination of the goal similarity, the application similarity and the environment compatibility score;</w:t>
      </w:r>
    </w:p>
    <w:p>
      <w:pPr>
        <w:keepLines w:val="false"/>
        <w:spacing w:after="160" w:line="276"/>
        <w:jc w:val="left"/>
      </w:pPr>
      <w:r>
        <w:rPr>
          <w:rFonts w:ascii="Times New Roman" w:cs="Times New Roman" w:eastAsia="Times New Roman" w:hAnsi="Times New Roman"/>
          <w:sz w:val="24"/>
          <w:szCs w:val="24"/>
        </w:rPr>
        <w:t xml:space="preserve">classifying a best-scoring workflow template into a serving tier only when the weighted combination meets a first floor, the application similarity indicates a match, no contradiction exists and the environment compatibility score meets an environment floor; into a seeding tier when the weighted combination meets a second floor lower than the first floor and the best-scoring workflow template was not classified into the serving tier; and otherwise withholding the best-scoring workflow template; and</w:t>
      </w:r>
    </w:p>
    <w:p>
      <w:pPr>
        <w:keepLines w:val="false"/>
        <w:spacing w:after="160" w:line="276"/>
        <w:jc w:val="left"/>
      </w:pPr>
      <w:r>
        <w:rPr>
          <w:rFonts w:ascii="Times New Roman" w:cs="Times New Roman" w:eastAsia="Times New Roman" w:hAnsi="Times New Roman"/>
          <w:sz w:val="24"/>
          <w:szCs w:val="24"/>
        </w:rPr>
        <w:t xml:space="preserve">generating the guidance plan by adapting the ordered steps of a serving-tier workflow template to the environment description in a single adaptation pass of a language model, by supplying a seeding-tier workflow template to a planning language model as context for a planning pass, or, when the best-scoring workflow template is withheld, by the planning pass without any workflow template, wherein each step of the guidance plan is presented to the human performer one step at a time and is verified against a captured frame of the human performer's display before a subsequent step is presented.</w:t>
      </w:r>
    </w:p>
    <w:p>
      <w:pPr>
        <w:keepLines/>
        <w:spacing w:after="200" w:line="276"/>
        <w:jc w:val="left"/>
      </w:pPr>
      <w:r>
        <w:rPr>
          <w:rFonts w:ascii="Times New Roman" w:cs="Times New Roman" w:eastAsia="Times New Roman" w:hAnsi="Times New Roman"/>
          <w:b/>
          <w:bCs/>
          <w:sz w:val="24"/>
          <w:szCs w:val="24"/>
        </w:rPr>
        <w:t xml:space="preserve">A2 (II-2, computer-readable medium).</w:t>
      </w:r>
      <w:r>
        <w:rPr>
          <w:rFonts w:ascii="Times New Roman" w:cs="Times New Roman" w:eastAsia="Times New Roman" w:hAnsi="Times New Roman"/>
          <w:sz w:val="24"/>
          <w:szCs w:val="24"/>
        </w:rPr>
        <w:t xml:space="preserve"> A non-transitory computer-readable medium storing instructions that, when executed by one or more processors, cause performance of operations comprising:</w:t>
      </w:r>
    </w:p>
    <w:p>
      <w:pPr>
        <w:keepLines w:val="false"/>
        <w:spacing w:after="160" w:line="276"/>
        <w:jc w:val="left"/>
      </w:pPr>
      <w:r>
        <w:rPr>
          <w:rFonts w:ascii="Times New Roman" w:cs="Times New Roman" w:eastAsia="Times New Roman" w:hAnsi="Times New Roman"/>
          <w:sz w:val="24"/>
          <w:szCs w:val="24"/>
        </w:rPr>
        <w:t xml:space="preserve">maintaining, for a guided session in which a human performer performs each step of an ordered plan in a target application and each step carries a done status that is set only when a captured frame of the human performer's display shows a visible-when-done condition of the step satisfied, a session record comprising a goal statement, scoping answers, the ordered plan with the done status of each step, and an event log;</w:t>
      </w:r>
    </w:p>
    <w:p>
      <w:pPr>
        <w:keepLines w:val="false"/>
        <w:spacing w:after="160" w:line="276"/>
        <w:jc w:val="left"/>
      </w:pPr>
      <w:r>
        <w:rPr>
          <w:rFonts w:ascii="Times New Roman" w:cs="Times New Roman" w:eastAsia="Times New Roman" w:hAnsi="Times New Roman"/>
          <w:sz w:val="24"/>
          <w:szCs w:val="24"/>
        </w:rPr>
        <w:t xml:space="preserve">on completion of the guided session, evaluating a clean-success predicate that is satisfied only when the ordered plan has at least one step, every step carries the done status, and a final event of the event log is not an unresolved flag;</w:t>
      </w:r>
    </w:p>
    <w:p>
      <w:pPr>
        <w:keepLines w:val="false"/>
        <w:spacing w:after="160" w:line="276"/>
        <w:jc w:val="left"/>
      </w:pPr>
      <w:r>
        <w:rPr>
          <w:rFonts w:ascii="Times New Roman" w:cs="Times New Roman" w:eastAsia="Times New Roman" w:hAnsi="Times New Roman"/>
          <w:sz w:val="24"/>
          <w:szCs w:val="24"/>
        </w:rPr>
        <w:t xml:space="preserve">in response to the clean-success predicate being satisfied, deterministically generating, without invoking any machine-learning model, a workflow template comprising a goal signature derived from the goal statement with numeric and version-like tokens removed, a normalized application key, an environment record derived from the scoping answers and comprising a jurisdiction, a list of named software and a manual-versus-software indicator, ordered steps each comprising a step kind selected from command, code, navigate and user-interface action and a first on-screen target named in guidance for the step, and a success signal equal to the visible-when-done condition of a last step;</w:t>
      </w:r>
    </w:p>
    <w:p>
      <w:pPr>
        <w:keepLines w:val="false"/>
        <w:spacing w:after="160" w:line="276"/>
        <w:jc w:val="left"/>
      </w:pPr>
      <w:r>
        <w:rPr>
          <w:rFonts w:ascii="Times New Roman" w:cs="Times New Roman" w:eastAsia="Times New Roman" w:hAnsi="Times New Roman"/>
          <w:sz w:val="24"/>
          <w:szCs w:val="24"/>
        </w:rPr>
        <w:t xml:space="preserve">applying a pre-scrub to prose fields of the workflow template that removes email addresses and digit runs, command and code content of the ordered steps being exempt from the pre-scrub;</w:t>
      </w:r>
    </w:p>
    <w:p>
      <w:pPr>
        <w:keepLines w:val="false"/>
        <w:spacing w:after="160" w:line="276"/>
        <w:jc w:val="left"/>
      </w:pPr>
      <w:r>
        <w:rPr>
          <w:rFonts w:ascii="Times New Roman" w:cs="Times New Roman" w:eastAsia="Times New Roman" w:hAnsi="Times New Roman"/>
          <w:sz w:val="24"/>
          <w:szCs w:val="24"/>
        </w:rPr>
        <w:t xml:space="preserve">at persistence, applying to every string value of the workflow template a policy-driven scrub under a stored policy of a holder of the human performer, the scrub preserving keys of the workflow template and applying a full scrub when no stored policy is present; and</w:t>
      </w:r>
    </w:p>
    <w:p>
      <w:pPr>
        <w:keepLines w:val="false"/>
        <w:spacing w:after="160" w:line="276"/>
        <w:jc w:val="left"/>
      </w:pPr>
      <w:r>
        <w:rPr>
          <w:rFonts w:ascii="Times New Roman" w:cs="Times New Roman" w:eastAsia="Times New Roman" w:hAnsi="Times New Roman"/>
          <w:sz w:val="24"/>
          <w:szCs w:val="24"/>
        </w:rPr>
        <w:t xml:space="preserve">storing the workflow template in a store scoped to the holder, the store being a private store of a tenant when the human performer belongs to the tenant and otherwise a shared de-identified store, wherein a tenant-level switch disables both storing into and retrieval from the store.</w:t>
      </w:r>
    </w:p>
    <w:p>
      <w:pPr>
        <w:keepLines/>
        <w:spacing w:after="200" w:line="276"/>
        <w:jc w:val="left"/>
      </w:pPr>
      <w:r>
        <w:rPr>
          <w:rFonts w:ascii="Times New Roman" w:cs="Times New Roman" w:eastAsia="Times New Roman" w:hAnsi="Times New Roman"/>
          <w:b/>
          <w:bCs/>
          <w:sz w:val="24"/>
          <w:szCs w:val="24"/>
        </w:rPr>
        <w:t xml:space="preserve">A3 (III-1, system).</w:t>
      </w:r>
      <w:r>
        <w:rPr>
          <w:rFonts w:ascii="Times New Roman" w:cs="Times New Roman" w:eastAsia="Times New Roman" w:hAnsi="Times New Roman"/>
          <w:sz w:val="24"/>
          <w:szCs w:val="24"/>
        </w:rPr>
        <w:t xml:space="preserve"> A system comprising one or more processors and memory storing instructions that configure the one or more processors to:</w:t>
      </w:r>
    </w:p>
    <w:p>
      <w:pPr>
        <w:keepLines w:val="false"/>
        <w:spacing w:after="160" w:line="276"/>
        <w:jc w:val="left"/>
      </w:pPr>
      <w:r>
        <w:rPr>
          <w:rFonts w:ascii="Times New Roman" w:cs="Times New Roman" w:eastAsia="Times New Roman" w:hAnsi="Times New Roman"/>
          <w:sz w:val="24"/>
          <w:szCs w:val="24"/>
        </w:rPr>
        <w:t xml:space="preserve">store, for a tenant comprising a plurality of member users, a single policy object comprising, for each of a plurality of categories of sensitive information, an action selected from sending, redacting, withholding and tokenizing, a set of block words, a mode selecting between redaction and tokenization, a screenshot-evidence flag, and an armed state;</w:t>
      </w:r>
    </w:p>
    <w:p>
      <w:pPr>
        <w:keepLines w:val="false"/>
        <w:spacing w:after="160" w:line="276"/>
        <w:jc w:val="left"/>
      </w:pPr>
      <w:r>
        <w:rPr>
          <w:rFonts w:ascii="Times New Roman" w:cs="Times New Roman" w:eastAsia="Times New Roman" w:hAnsi="Times New Roman"/>
          <w:sz w:val="24"/>
          <w:szCs w:val="24"/>
        </w:rPr>
        <w:t xml:space="preserve">distribute the policy object, when armed, to a guidance client on a user device of each member user, the guidance client being configured to recognize text in each captured frame of the member user's display and to mask, before the frame leaves the user device, each recognized text line that the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compile the policy object into an instruction-shaping rule set, versioned together with the policy object, and apply the instruction-shaping rule set to a single-step instruction generated by a machine-learning model from the redacted frame and an ordered plan, such that a single-step instruction that would direct the member user to expose a value of a category whose action is withholding, or that matches a forbid rule of the instruction-shaping rule set, is annotated with a policy reason and a compliant alternative or is replaced by a policy-reason instruction before being presented to the member user, the single-step instruction being presented without injecting any input event into a target application on the user device;</w:t>
      </w:r>
    </w:p>
    <w:p>
      <w:pPr>
        <w:keepLines w:val="false"/>
        <w:spacing w:after="160" w:line="276"/>
        <w:jc w:val="left"/>
      </w:pPr>
      <w:r>
        <w:rPr>
          <w:rFonts w:ascii="Times New Roman" w:cs="Times New Roman" w:eastAsia="Times New Roman" w:hAnsi="Times New Roman"/>
          <w:sz w:val="24"/>
          <w:szCs w:val="24"/>
        </w:rPr>
        <w:t xml:space="preserve">retain the redacted frame as evidence of a step of the ordered plan only when the screenshot-evidence flag permits retention and only when the machine-learning model identifies the step as newly satisfied in the redacted frame; and</w:t>
      </w:r>
    </w:p>
    <w:p>
      <w:pPr>
        <w:keepLines w:val="false"/>
        <w:spacing w:after="160" w:line="276"/>
        <w:jc w:val="left"/>
      </w:pPr>
      <w:r>
        <w:rPr>
          <w:rFonts w:ascii="Times New Roman" w:cs="Times New Roman" w:eastAsia="Times New Roman" w:hAnsi="Times New Roman"/>
          <w:sz w:val="24"/>
          <w:szCs w:val="24"/>
        </w:rPr>
        <w:t xml:space="preserve">append, for each transmission from the user device, an audit record drawn from a closed schema consisting of a version of the policy object in force, the mode, a count of items removed in each category and whether a frame was transmitted, the closed schema having no field capable of storing a sensitive value, such that the policy object, in one version, governs masking of frames on the user device, retention of redacted frames as evidence, and the single-step instruction presented to the member user.</w:t>
      </w:r>
    </w:p>
    <w:p>
      <w:pPr>
        <w:keepLines/>
        <w:spacing w:after="200" w:line="276"/>
        <w:jc w:val="left"/>
      </w:pPr>
      <w:r>
        <w:rPr>
          <w:rFonts w:ascii="Times New Roman" w:cs="Times New Roman" w:eastAsia="Times New Roman" w:hAnsi="Times New Roman"/>
          <w:b/>
          <w:bCs/>
          <w:sz w:val="24"/>
          <w:szCs w:val="24"/>
        </w:rPr>
        <w:t xml:space="preserve">A4 (IV-1, method).</w:t>
      </w:r>
      <w:r>
        <w:rPr>
          <w:rFonts w:ascii="Times New Roman" w:cs="Times New Roman" w:eastAsia="Times New Roman" w:hAnsi="Times New Roman"/>
          <w:sz w:val="24"/>
          <w:szCs w:val="24"/>
        </w:rPr>
        <w:t xml:space="preserve"> A computer-implemented method of clarifying a task during a guided session, comprising:</w:t>
      </w:r>
    </w:p>
    <w:p>
      <w:pPr>
        <w:keepLines w:val="false"/>
        <w:spacing w:after="160" w:line="276"/>
        <w:jc w:val="left"/>
      </w:pPr>
      <w:r>
        <w:rPr>
          <w:rFonts w:ascii="Times New Roman" w:cs="Times New Roman" w:eastAsia="Times New Roman" w:hAnsi="Times New Roman"/>
          <w:sz w:val="24"/>
          <w:szCs w:val="24"/>
        </w:rPr>
        <w:t xml:space="preserve">capturing, by a guidance client executing on a user device, a frame of a display on which a target application is rendered, and redacting the frame on the user device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 goal statement to a guidance server, and receiving from the guidance server a plan generated by a language model together with at most one clarification question generated by the language model in the same generation, the clarification question comprising a plurality of answer options that the language model inferred from display content of the redacted frame, wherein the language model is directed to withhold the clarification question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with the answer options as selectable controls, a free-text entry that accepts an answer not among the answer options,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persisted for the guided session, an answer received through a selectable control or the free-text entry, or, when the skip control is operated, a record that the clarification question was skipped and a stated assumption on which planning is to proceed;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w:t>
      </w:r>
    </w:p>
    <w:p>
      <w:pPr>
        <w:keepLines w:val="false"/>
        <w:spacing w:after="160" w:line="276"/>
        <w:jc w:val="left"/>
      </w:pPr>
      <w:r>
        <w:rPr>
          <w:rFonts w:ascii="Times New Roman" w:cs="Times New Roman" w:eastAsia="Times New Roman" w:hAnsi="Times New Roman"/>
          <w:sz w:val="24"/>
          <w:szCs w:val="24"/>
        </w:rPr>
        <w:t xml:space="preserve">at the guidance server, in response to a plan regeneration request that lacks the clarification-origin indicator, checking a per-task regeneration limit before invoking the language model and decrementing the per-task regeneration limit, and, in response to the plan regeneration request that carries the clarification-origin indicator, invoking the language model to regenerate the plan from the session scope without checking or decrementing the per-task regeneration limit; and</w:t>
      </w:r>
    </w:p>
    <w:p>
      <w:pPr>
        <w:keepLines w:val="false"/>
        <w:spacing w:after="160" w:line="276"/>
        <w:jc w:val="left"/>
      </w:pPr>
      <w:r>
        <w:rPr>
          <w:rFonts w:ascii="Times New Roman" w:cs="Times New Roman" w:eastAsia="Times New Roman" w:hAnsi="Times New Roman"/>
          <w:sz w:val="24"/>
          <w:szCs w:val="24"/>
        </w:rPr>
        <w:t xml:space="preserve">presenting the regenerated plan one step at a time on the display without injecting any input event into the target application, wherein an answered or skipped clarification question is reopenable from the display, a reopening removing the stored answer from the session scope and a further answer causing a further plan regeneration request that carries the clarification-origin indicator.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DRAFT. Not legal advice.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Claims (v2 DRAFT)</dc:title>
  <dc:creator>WorkCoPilot patent package v2 (draft)</dc:creator>
  <dc:description>DRAFT for review by a registered patent practitioner before filing. Not legal advice.</dc:description>
  <cp:lastModifiedBy>Un-named</cp:lastModifiedBy>
  <cp:revision>1</cp:revision>
  <dcterms:created xsi:type="dcterms:W3CDTF">2026-10-27T00:43:37.500Z</dcterms:created>
  <dcterms:modified xsi:type="dcterms:W3CDTF">2026-10-27T00:43:37.501Z</dcterms:modified>
</cp:coreProperties>
</file>

<file path=docProps/custom.xml><?xml version="1.0" encoding="utf-8"?>
<Properties xmlns="http://schemas.openxmlformats.org/officeDocument/2006/custom-properties" xmlns:vt="http://schemas.openxmlformats.org/officeDocument/2006/docPropsVTypes"/>
</file>