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Filing instructions: provisional application (35 U.S.C. 111(b))</w:t>
      </w:r>
    </w:p>
    <w:p>
      <w:pPr>
        <w:keepLines w:val="false"/>
        <w:spacing w:after="160" w:line="276"/>
        <w:jc w:val="left"/>
      </w:pPr>
      <w:r>
        <w:rPr>
          <w:rFonts w:ascii="Times New Roman" w:cs="Times New Roman" w:eastAsia="Times New Roman" w:hAnsi="Times New Roman"/>
          <w:sz w:val="24"/>
          <w:szCs w:val="24"/>
        </w:rPr>
        <w:t xml:space="preserve">This package files a provisional application. A provisional application establishes a filing date for everything it discloses, costs little, is never examined and never published on its own, and expires twelve months after filing. Within those twelve months the nonprovisional application in patent-package/final/utility-with-priority is filed and claims this provisional's filing date for every claim the provisional supports. The provisional's specification is the same text as the nonprovisional's specification, with claims 1 to 20 and the abstract included, so the support is complete.</w:t>
      </w:r>
    </w:p>
    <w:p>
      <w:pPr>
        <w:keepLines w:val="false"/>
        <w:spacing w:after="160" w:line="276"/>
        <w:jc w:val="left"/>
      </w:pPr>
      <w:r>
        <w:rPr>
          <w:rFonts w:ascii="Times New Roman" w:cs="Times New Roman" w:eastAsia="Times New Roman" w:hAnsi="Times New Roman"/>
          <w:sz w:val="24"/>
          <w:szCs w:val="24"/>
        </w:rPr>
        <w:t xml:space="preserve">Applicant and filer: Ravi Kiran Raju Yerra, sole inventor, filing pro se (no attorney, no customer number), small entity. Correspondence: 604 Wexford Dr, Celina, TX 75009, USA; yerraslife@gmail.com; +1-408-718-4217.</w:t>
      </w:r>
    </w:p>
    <w:p>
      <w:pPr>
        <w:pStyle w:val="Heading2"/>
        <w:keepNext/>
        <w:spacing w:after="120" w:before="200"/>
      </w:pPr>
      <w:r>
        <w:rPr>
          <w:rFonts w:ascii="Times New Roman" w:cs="Times New Roman" w:eastAsia="Times New Roman" w:hAnsi="Times New Roman"/>
          <w:b/>
          <w:bCs/>
          <w:color w:val="000000"/>
          <w:sz w:val="28"/>
          <w:szCs w:val="28"/>
        </w:rPr>
        <w:t xml:space="preserve">1. What is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342"/>
        <w:gridCol w:w="3344"/>
      </w:tblGrid>
      <w:tr>
        <w:trPr>
          <w:tblHeader/>
        </w:trPr>
        <w:tc>
          <w:tcPr>
            <w:tcW w:type="dxa" w:w="267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334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w:t>
            </w:r>
          </w:p>
        </w:tc>
        <w:tc>
          <w:tcPr>
            <w:tcW w:type="dxa" w:w="334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Goes to the USPTO?</w:t>
            </w:r>
          </w:p>
        </w:tc>
      </w:tr>
      <w:tr>
        <w:trPr>
          <w:tblHeader w:val="false"/>
        </w:trPr>
        <w:tc>
          <w:tcPr>
            <w:tcW w:type="dxa" w:w="267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and editable/specification.docx</w:t>
            </w:r>
          </w:p>
        </w:tc>
        <w:tc>
          <w:tcPr>
            <w:tcW w:type="dxa" w:w="334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specification: title page, the full specification (paragraphs [0001] to [0112]), claims 1 to 20 and the abstract</w:t>
            </w:r>
          </w:p>
        </w:tc>
        <w:tc>
          <w:tcPr>
            <w:tcW w:type="dxa" w:w="33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67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334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to FIG. 13, thirteen US-Letter sheets (editable FIG-1.svg to FIG-13.svg alongside; FIG. 8A and FIG. 8B share one sheet)</w:t>
            </w:r>
          </w:p>
        </w:tc>
        <w:tc>
          <w:tcPr>
            <w:tcW w:type="dxa" w:w="33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67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provisional-cover-sheet.md</w:t>
            </w:r>
          </w:p>
        </w:tc>
        <w:tc>
          <w:tcPr>
            <w:tcW w:type="dxa" w:w="334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Every entry for PTO/SB/16</w:t>
            </w:r>
          </w:p>
        </w:tc>
        <w:tc>
          <w:tcPr>
            <w:tcW w:type="dxa" w:w="33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completed PTO/SB/16 (or the provisional web ADS)</w:t>
            </w:r>
          </w:p>
        </w:tc>
      </w:tr>
      <w:tr>
        <w:trPr>
          <w:tblHeader w:val="false"/>
        </w:trPr>
        <w:tc>
          <w:tcPr>
            <w:tcW w:type="dxa" w:w="267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fee-worksheet.md</w:t>
            </w:r>
          </w:p>
        </w:tc>
        <w:tc>
          <w:tcPr>
            <w:tcW w:type="dxa" w:w="334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small entity provisional filing fee</w:t>
            </w:r>
          </w:p>
        </w:tc>
        <w:tc>
          <w:tcPr>
            <w:tcW w:type="dxa" w:w="33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used to check the Patent Center fee screen</w:t>
            </w:r>
          </w:p>
        </w:tc>
      </w:tr>
      <w:tr>
        <w:trPr>
          <w:tblHeader w:val="false"/>
        </w:trPr>
        <w:tc>
          <w:tcPr>
            <w:tcW w:type="dxa" w:w="267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334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document</w:t>
            </w:r>
          </w:p>
        </w:tc>
        <w:tc>
          <w:tcPr>
            <w:tcW w:type="dxa" w:w="334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Not needed for a provisional application: a declaration, an Information Disclosure Statement, formal claims, and a search or examination fee. Claims are included because they cost nothing here and make the later benefit claim safer.</w:t>
      </w:r>
    </w:p>
    <w:p>
      <w:pPr>
        <w:pStyle w:val="Heading2"/>
        <w:keepNext/>
        <w:spacing w:after="120" w:before="200"/>
      </w:pPr>
      <w:r>
        <w:rPr>
          <w:rFonts w:ascii="Times New Roman" w:cs="Times New Roman" w:eastAsia="Times New Roman" w:hAnsi="Times New Roman"/>
          <w:b/>
          <w:bCs/>
          <w:color w:val="000000"/>
          <w:sz w:val="28"/>
          <w:szCs w:val="28"/>
        </w:rPr>
        <w:t xml:space="preserve">2. Before opening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Read editable/specification.docx and drawings/drawings.pdf. Whatever is not in the provisional does not get its date; nothing can be added to a provisional after filing. If a feature is missing, add it to the specification before filing, not afterwards.</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Confirm small entity status: no assignment, license or obligation to a non-small entity.</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Note the earliest public disclosure, public use or offer for sale (the product is live at admireveda.com). File the provisional before the one-year anniversary of that date; the United States grace period (35 U.S.C. 102(b)(1)(A)) is one year from the inventor's own disclosure, and most other countries have none.</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Remove the review line from the page header of editable/specification.docx: open it in Word, double-click the header, delete the line "Prepared for Ravi Kiran Raju Yerra. Attorney review recommended before filing. Not legal advice.", close the header and save. This is the only edit the filed document needs.</w:t>
      </w:r>
    </w:p>
    <w:p>
      <w:pPr>
        <w:pStyle w:val="Heading2"/>
        <w:keepNext/>
        <w:spacing w:after="120" w:before="200"/>
      </w:pPr>
      <w:r>
        <w:rPr>
          <w:rFonts w:ascii="Times New Roman" w:cs="Times New Roman" w:eastAsia="Times New Roman" w:hAnsi="Times New Roman"/>
          <w:b/>
          <w:bCs/>
          <w:color w:val="000000"/>
          <w:sz w:val="28"/>
          <w:szCs w:val="28"/>
        </w:rPr>
        <w:t xml:space="preserve">3. USPTO.gov account</w:t>
      </w:r>
    </w:p>
    <w:p>
      <w:pPr>
        <w:keepLines w:val="false"/>
        <w:spacing w:after="160" w:line="276"/>
        <w:jc w:val="left"/>
      </w:pPr>
      <w:r>
        <w:rPr>
          <w:rFonts w:ascii="Times New Roman" w:cs="Times New Roman" w:eastAsia="Times New Roman" w:hAnsi="Times New Roman"/>
          <w:sz w:val="24"/>
          <w:szCs w:val="24"/>
        </w:rPr>
        <w:t xml:space="preserve">Create a USPTO.gov account with yerraslife@gmail.com, turn on two-step authentication, and complete identity verification for Patent Center (online through the USPTO's identity-verification provider, currently ID.me, or by the notarized paper form). The verified "Registered" role is needed to see the application after filing and to file the nonprovisional application against it later. Guest filing is possible but not suitable for the same reason.</w:t>
      </w:r>
    </w:p>
    <w:p>
      <w:pPr>
        <w:pStyle w:val="Heading2"/>
        <w:keepNext/>
        <w:spacing w:after="120" w:before="200"/>
      </w:pPr>
      <w:r>
        <w:rPr>
          <w:rFonts w:ascii="Times New Roman" w:cs="Times New Roman" w:eastAsia="Times New Roman" w:hAnsi="Times New Roman"/>
          <w:b/>
          <w:bCs/>
          <w:color w:val="000000"/>
          <w:sz w:val="28"/>
          <w:szCs w:val="28"/>
        </w:rPr>
        <w:t xml:space="preserve">4. Documents to upload,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33"/>
        <w:gridCol w:w="2210"/>
        <w:gridCol w:w="2600"/>
        <w:gridCol w:w="2117"/>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Order</w:t>
            </w:r>
          </w:p>
        </w:tc>
        <w:tc>
          <w:tcPr>
            <w:tcW w:type="dxa" w:w="173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221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26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Patent Center document description</w:t>
            </w:r>
          </w:p>
        </w:tc>
        <w:tc>
          <w:tcPr>
            <w:tcW w:type="dxa" w:w="211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Format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173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(with claims and abstract)</w:t>
            </w:r>
          </w:p>
        </w:tc>
        <w:tc>
          <w:tcPr>
            <w:tcW w:type="dxa" w:w="22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editable/specification.docx (review line removed)</w:t>
            </w:r>
          </w:p>
        </w:tc>
        <w:tc>
          <w:tcPr>
            <w:tcW w:type="dxa" w:w="2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if Patent Center proposes separate Claims and Abstract sections from the headings, accept the mapping</w:t>
            </w:r>
          </w:p>
        </w:tc>
        <w:tc>
          <w:tcPr>
            <w:tcW w:type="dxa" w:w="211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DOCX (PDF is also accepted for a provisional without surcharge; DOCX is used so that the text is searchable)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173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w:t>
            </w:r>
          </w:p>
        </w:tc>
        <w:tc>
          <w:tcPr>
            <w:tcW w:type="dxa" w:w="22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2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 (only black and white line drawings)</w:t>
            </w:r>
          </w:p>
        </w:tc>
        <w:tc>
          <w:tcPr>
            <w:tcW w:type="dxa" w:w="211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 13 sheets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173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Cover sheet</w:t>
            </w:r>
          </w:p>
        </w:tc>
        <w:tc>
          <w:tcPr>
            <w:tcW w:type="dxa" w:w="221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PTO/SB/16 completed from provisional-cover-sheet.md</w:t>
            </w:r>
          </w:p>
        </w:tc>
        <w:tc>
          <w:tcPr>
            <w:tcW w:type="dxa" w:w="26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Cover Sheet (SB16)</w:t>
            </w:r>
          </w:p>
        </w:tc>
        <w:tc>
          <w:tcPr>
            <w:tcW w:type="dxa" w:w="211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Original fillable PDF, or the provisional web ADS instead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5. Patent Center, step by step</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Sign in. "New submission", then "Regular (utility, design, plant)" or the equivalent wording, then application type "Utility" and filing type "Provisional application under 35 U.S.C. 111(b)".</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Enter the applicant data: if using the provisional web ADS, enter the inventor (given name Ravi Kiran Raju, family name Yerra, residence Celina, Texas, US), the title "Screen-Aware, Read-Only Task Guidance with On-Device Redaction and Tenant-Governed Data Egress", and the correspondence address (no customer number; 604 Wexford Dr, Celina, TX 75009, US; yerraslife@gmail.com; 408-718-4217). If using PTO/SB/16, upload the completed form instead.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Upload editable/specification.docx and drawings/drawings.pdf with the document descriptions in section 4.</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Fees: select entity status "Small". The single fee line is the provisional application filing fee, 130 USD as recorded (verify current USPTO fee schedule at filing). No other line should appear.</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Review the summary: inventor name, title, entity status, two or three documents, fee.</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Submit and pay.</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Save the Electronic Acknowledgement Receipt immediately. It shows the application number (format 63/xxx,xxx for a provisional), the confirmation number and the filing date. These three items are needed for the nonprovisional application. The invention may be marked "patent pending" from this moment.</w:t>
      </w:r>
    </w:p>
    <w:p>
      <w:pPr>
        <w:pStyle w:val="Heading2"/>
        <w:keepNext/>
        <w:spacing w:after="120" w:before="200"/>
      </w:pPr>
      <w:r>
        <w:rPr>
          <w:rFonts w:ascii="Times New Roman" w:cs="Times New Roman" w:eastAsia="Times New Roman" w:hAnsi="Times New Roman"/>
          <w:b/>
          <w:bCs/>
          <w:color w:val="000000"/>
          <w:sz w:val="28"/>
          <w:szCs w:val="28"/>
        </w:rPr>
        <w:t xml:space="preserve">6. After submission</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official Filing Receipt arrives in Patent Center and by mail some weeks later. Check inventor name, title, filing date and entity status against the receipt; request correction if the USPTO made an error.</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Filing Receipt also states whether a foreign filing license under 35 U.S.C. 184 is granted; do not file abroad before the license or six months from filing.</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Nothing else happens. The USPTO does not examine, search or publish a provisional application and sends no Office action.</w:t>
      </w:r>
    </w:p>
    <w:p>
      <w:pPr>
        <w:pStyle w:val="Heading2"/>
        <w:keepNext/>
        <w:spacing w:after="120" w:before="200"/>
      </w:pPr>
      <w:r>
        <w:rPr>
          <w:rFonts w:ascii="Times New Roman" w:cs="Times New Roman" w:eastAsia="Times New Roman" w:hAnsi="Times New Roman"/>
          <w:b/>
          <w:bCs/>
          <w:color w:val="000000"/>
          <w:sz w:val="28"/>
          <w:szCs w:val="28"/>
        </w:rPr>
        <w:t xml:space="preserve">7. The twelve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w:t>
            </w:r>
          </w:p>
        </w:tc>
        <w:tc>
          <w:tcPr>
            <w:tcW w:type="dxa" w:w="50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w:t>
            </w:r>
          </w:p>
        </w:tc>
      </w:tr>
      <w:tr>
        <w:trPr>
          <w:tblHeader w:val="false"/>
        </w:trPr>
        <w:tc>
          <w:tcPr>
            <w:tcW w:type="dxa" w:w="43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filing date</w:t>
            </w:r>
          </w:p>
        </w:tc>
        <w:tc>
          <w:tcPr>
            <w:tcW w:type="dxa" w:w="50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63/xxx,xxx and filing date issued</w:t>
            </w:r>
          </w:p>
        </w:tc>
      </w:tr>
      <w:tr>
        <w:trPr>
          <w:tblHeader w:val="false"/>
        </w:trPr>
        <w:tc>
          <w:tcPr>
            <w:tcW w:type="dxa" w:w="43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filing date plus 12 months</w:t>
            </w:r>
          </w:p>
        </w:tc>
        <w:tc>
          <w:tcPr>
            <w:tcW w:type="dxa" w:w="50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Last day to file the nonprovisional application claiming this provisional's benefit (patent-package/final/utility-with-priority), and the last day for foreign or PCT applications claiming its priority. Both are hard deadlines. File the nonprovisional application well before, since the full nonprovisional fees (2,170 USD small entity as recorded for the 29-claim set, or 730 USD if trimmed to 20 claims with 3 independent claims; verify at filing) and the signed declaration are due then.</w:t>
            </w:r>
          </w:p>
        </w:tc>
      </w:tr>
      <w:tr>
        <w:trPr>
          <w:tblHeader w:val="false"/>
        </w:trPr>
        <w:tc>
          <w:tcPr>
            <w:tcW w:type="dxa" w:w="43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Provisional filing date plus 12 months and 2 months</w:t>
            </w:r>
          </w:p>
        </w:tc>
        <w:tc>
          <w:tcPr>
            <w:tcW w:type="dxa" w:w="50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Outer limit of a petition under 37 CFR 1.78(b) to restore the benefit if the twelve months were missed unintentionally; a fee and a statement are required. An emergency route only.</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provisional application cannot be extended, renewed or converted into a second provisional. If no nonprovisional application is filed within twelve months, the provisional lapses and the filing date is lost. Filing a new provisional afterwards starts a new, later date and does not revive the old one.</w:t>
      </w:r>
    </w:p>
    <w:p>
      <w:pPr>
        <w:pStyle w:val="Heading2"/>
        <w:keepNext/>
        <w:spacing w:after="120" w:before="200"/>
      </w:pPr>
      <w:r>
        <w:rPr>
          <w:rFonts w:ascii="Times New Roman" w:cs="Times New Roman" w:eastAsia="Times New Roman" w:hAnsi="Times New Roman"/>
          <w:b/>
          <w:bCs/>
          <w:color w:val="000000"/>
          <w:sz w:val="28"/>
          <w:szCs w:val="28"/>
        </w:rPr>
        <w:t xml:space="preserve">8. Mistakes to avoid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Leaving the review line in the page header of the filed specification.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Selecting "Nonprovisional" by mistake; the fee screen would show search and examination fees and the application would be examined as filed.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Selecting micro entity, which is not available to this applicant.</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Treating the provisional as the end of the process. Calendar the twelve-month date on the day of filing and plan the nonprovisional filing for well before it.</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Losing the receipt. The application number and filing date on it are the two values entered into the utility-with-priority package.</w:t>
      </w:r>
    </w:p>
    <w:p>
      <w:pPr>
        <w:pStyle w:val="Heading2"/>
        <w:keepNext/>
        <w:spacing w:after="120" w:before="200"/>
      </w:pPr>
      <w:r>
        <w:rPr>
          <w:rFonts w:ascii="Times New Roman" w:cs="Times New Roman" w:eastAsia="Times New Roman" w:hAnsi="Times New Roman"/>
          <w:b/>
          <w:bCs/>
          <w:color w:val="000000"/>
          <w:sz w:val="28"/>
          <w:szCs w:val="28"/>
        </w:rPr>
        <w:t xml:space="preserve">9.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Done</w:t>
            </w:r>
          </w:p>
        </w:tc>
        <w:tc>
          <w:tcPr>
            <w:tcW w:type="dxa" w:w="8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USPTO.gov account created and identity verified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editable/specification.docx read in full; review line removed from its header</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 13 sheets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PTO/SB/16 completed from provisional-cover-sheet.md and signed, or the provisional web ADS entered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Entity status small; fee line shows the provisional filing fee only</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Submitted; Electronic Acknowledgement Receipt saved; application number 63/xxx,xxx, confirmation number and filing date recorded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Twelve-month deadline entered in the calendar with reminders at 9 and 11 months</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 instructions: provisional application (35 U.S.C. 111(b))</dc:title>
  <dc:creator>Ravi Kiran Raju Yerra</dc:creator>
  <dc:description>Prepared for Ravi Kiran Raju Yerra. Attorney review recommended before filing. Not legal advice.</dc:description>
  <cp:lastModifiedBy>Un-named</cp:lastModifiedBy>
  <cp:revision>1</cp:revision>
  <dcterms:created xsi:type="dcterms:W3CDTF">2026-10-28T18:43:34.388Z</dcterms:created>
  <dcterms:modified xsi:type="dcterms:W3CDTF">2026-10-28T18:43:34.389Z</dcterms:modified>
</cp:coreProperties>
</file>

<file path=docProps/custom.xml><?xml version="1.0" encoding="utf-8"?>
<Properties xmlns="http://schemas.openxmlformats.org/officeDocument/2006/custom-properties" xmlns:vt="http://schemas.openxmlformats.org/officeDocument/2006/docPropsVTypes"/>
</file>