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pPr>
      <w:r>
        <w:rPr>
          <w:rFonts w:ascii="Times New Roman" w:cs="Times New Roman" w:eastAsia="Times New Roman" w:hAnsi="Times New Roman"/>
          <w:b/>
          <w:bCs/>
          <w:color w:val="000000"/>
          <w:sz w:val="32"/>
          <w:szCs w:val="32"/>
        </w:rPr>
        <w:t xml:space="preserve">Filing instructions: nonprovisional utility application claiming the benefit of the provisional</w:t>
      </w:r>
    </w:p>
    <w:p>
      <w:pPr>
        <w:keepLines w:val="false"/>
        <w:spacing w:after="160" w:line="276"/>
        <w:jc w:val="left"/>
      </w:pPr>
      <w:r>
        <w:rPr>
          <w:rFonts w:ascii="Times New Roman" w:cs="Times New Roman" w:eastAsia="Times New Roman" w:hAnsi="Times New Roman"/>
          <w:sz w:val="24"/>
          <w:szCs w:val="24"/>
        </w:rPr>
        <w:t xml:space="preserve">This package files the nonprovisional utility application under 35 U.S.C. 111(a) that claims the benefit of the provisional application filed from patent-package/final/provisional. It is identical to the standalone utility package except for the benefit claim. Every claim that is supported by the provisional's specification receives the provisional's filing date as its effective filing date; the specification in both packages is the same text, so every claim is supported.</w:t>
      </w:r>
    </w:p>
    <w:p>
      <w:pPr>
        <w:keepLines w:val="false"/>
        <w:spacing w:after="160" w:line="276"/>
        <w:jc w:val="left"/>
      </w:pPr>
      <w:r>
        <w:rPr>
          <w:rFonts w:ascii="Times New Roman" w:cs="Times New Roman" w:eastAsia="Times New Roman" w:hAnsi="Times New Roman"/>
          <w:sz w:val="24"/>
          <w:szCs w:val="24"/>
        </w:rPr>
        <w:t xml:space="preserve">Exactly two values are entered by hand in this package, both copied from the provisional application's filing receipt: the provisional application number (format 63/xxx,xxx) and the provisional filing date. They appear in two places: the first paragraph of the specification ("Cross-Reference to Related Applications", in specification.md and in application-body.md and their DOCX files) and the Domestic Benefit section of the ADS (application-data-sheet.md section 7). Everything else is already filled.</w:t>
      </w:r>
    </w:p>
    <w:p>
      <w:pPr>
        <w:keepLines w:val="false"/>
        <w:spacing w:after="160" w:line="276"/>
        <w:jc w:val="left"/>
      </w:pPr>
      <w:r>
        <w:rPr>
          <w:rFonts w:ascii="Times New Roman" w:cs="Times New Roman" w:eastAsia="Times New Roman" w:hAnsi="Times New Roman"/>
          <w:sz w:val="24"/>
          <w:szCs w:val="24"/>
        </w:rPr>
        <w:t xml:space="preserve">The deadline is absolute: this application must be filed within twelve months of the provisional filing date (35 U.S.C. 119(e)(1)). Mark that date now. If the provisional expires unfiled, the provisional's date is lost and any public disclosure in the meantime becomes prior art abroad and, after one year, in the United States as well.</w:t>
      </w:r>
    </w:p>
    <w:p>
      <w:pPr>
        <w:keepLines w:val="false"/>
        <w:spacing w:after="160" w:line="276"/>
        <w:jc w:val="left"/>
      </w:pPr>
      <w:r>
        <w:rPr>
          <w:rFonts w:ascii="Times New Roman" w:cs="Times New Roman" w:eastAsia="Times New Roman" w:hAnsi="Times New Roman"/>
          <w:sz w:val="24"/>
          <w:szCs w:val="24"/>
        </w:rPr>
        <w:t xml:space="preserve">Applicant and filer: Ravi Kiran Raju Yerra, sole inventor, filing pro se (no attorney, no customer number), small entity. Correspondence: 604 Wexford Dr, Celina, TX 75009, USA; yerraslife@gmail.com; +1-408-718-4217.</w:t>
      </w:r>
    </w:p>
    <w:p>
      <w:pPr>
        <w:pStyle w:val="Heading2"/>
        <w:keepNext/>
        <w:spacing w:after="120" w:before="200"/>
      </w:pPr>
      <w:r>
        <w:rPr>
          <w:rFonts w:ascii="Times New Roman" w:cs="Times New Roman" w:eastAsia="Times New Roman" w:hAnsi="Times New Roman"/>
          <w:b/>
          <w:bCs/>
          <w:color w:val="000000"/>
          <w:sz w:val="28"/>
          <w:szCs w:val="28"/>
        </w:rPr>
        <w:t xml:space="preserve">1. What is in this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73"/>
        <w:gridCol w:w="3303"/>
        <w:gridCol w:w="3084"/>
      </w:tblGrid>
      <w:tr>
        <w:trPr>
          <w:tblHeader/>
        </w:trPr>
        <w:tc>
          <w:tcPr>
            <w:tcW w:type="dxa" w:w="2973"/>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File</w:t>
            </w:r>
          </w:p>
        </w:tc>
        <w:tc>
          <w:tcPr>
            <w:tcW w:type="dxa" w:w="3303"/>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What it is</w:t>
            </w:r>
          </w:p>
        </w:tc>
        <w:tc>
          <w:tcPr>
            <w:tcW w:type="dxa" w:w="3084"/>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Goes to the USPTO?</w:t>
            </w:r>
          </w:p>
        </w:tc>
      </w:tr>
      <w:tr>
        <w:trPr>
          <w:tblHeader w:val="false"/>
        </w:trPr>
        <w:tc>
          <w:tcPr>
            <w:tcW w:type="dxa" w:w="297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specification.md and editable/specification.docx</w:t>
            </w:r>
          </w:p>
        </w:tc>
        <w:tc>
          <w:tcPr>
            <w:tcW w:type="dxa" w:w="33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specification: title, cross-reference to the provisional application (two values to enter), federally sponsored research statement, technical field, background, summary, brief description of the drawings, detailed description (paragraphs [0001] to [0112])</w:t>
            </w:r>
          </w:p>
        </w:tc>
        <w:tc>
          <w:tcPr>
            <w:tcW w:type="dxa" w:w="308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Yes, as part of the application body</w:t>
            </w:r>
          </w:p>
        </w:tc>
      </w:tr>
      <w:tr>
        <w:trPr>
          <w:tblHeader w:val="false"/>
        </w:trPr>
        <w:tc>
          <w:tcPr>
            <w:tcW w:type="dxa" w:w="297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claims.md and editable/claims.docx</w:t>
            </w:r>
          </w:p>
        </w:tc>
        <w:tc>
          <w:tcPr>
            <w:tcW w:type="dxa" w:w="33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Claims 1 to 20 (independent claims 1, 9, 14 and 19), followed by Appendix A (candidate additional claims, not filed) and Appendix B (practitioner notes with the reduction-to-practice status of each claim, not filed)</w:t>
            </w:r>
          </w:p>
        </w:tc>
        <w:tc>
          <w:tcPr>
            <w:tcW w:type="dxa" w:w="308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Claims 1 to 20 yes; the appendices no</w:t>
            </w:r>
          </w:p>
        </w:tc>
      </w:tr>
      <w:tr>
        <w:trPr>
          <w:tblHeader w:val="false"/>
        </w:trPr>
        <w:tc>
          <w:tcPr>
            <w:tcW w:type="dxa" w:w="297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abstract.md and editable/abstract.docx</w:t>
            </w:r>
          </w:p>
        </w:tc>
        <w:tc>
          <w:tcPr>
            <w:tcW w:type="dxa" w:w="33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abstract, 149 words</w:t>
            </w:r>
          </w:p>
        </w:tc>
        <w:tc>
          <w:tcPr>
            <w:tcW w:type="dxa" w:w="308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Yes</w:t>
            </w:r>
          </w:p>
        </w:tc>
      </w:tr>
      <w:tr>
        <w:trPr>
          <w:tblHeader w:val="false"/>
        </w:trPr>
        <w:tc>
          <w:tcPr>
            <w:tcW w:type="dxa" w:w="297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application-body.md and editable/application-body.docx</w:t>
            </w:r>
          </w:p>
        </w:tc>
        <w:tc>
          <w:tcPr>
            <w:tcW w:type="dxa" w:w="33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Specification, claims 1 to 20 and abstract in one DOCX in filing order, without the appendices. This is the file to upload.</w:t>
            </w:r>
          </w:p>
        </w:tc>
        <w:tc>
          <w:tcPr>
            <w:tcW w:type="dxa" w:w="308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Yes, this is the upload</w:t>
            </w:r>
          </w:p>
        </w:tc>
      </w:tr>
      <w:tr>
        <w:trPr>
          <w:tblHeader w:val="false"/>
        </w:trPr>
        <w:tc>
          <w:tcPr>
            <w:tcW w:type="dxa" w:w="297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drawings/drawings.pdf</w:t>
            </w:r>
          </w:p>
        </w:tc>
        <w:tc>
          <w:tcPr>
            <w:tcW w:type="dxa" w:w="33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1 to FIG. 13 on thirteen US-Letter sheets (editable sources FIG-1.svg to FIG-13.svg alongside; FIG. 8A and FIG. 8B share one sheet)</w:t>
            </w:r>
          </w:p>
        </w:tc>
        <w:tc>
          <w:tcPr>
            <w:tcW w:type="dxa" w:w="308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Yes</w:t>
            </w:r>
          </w:p>
        </w:tc>
      </w:tr>
      <w:tr>
        <w:trPr>
          <w:tblHeader w:val="false"/>
        </w:trPr>
        <w:tc>
          <w:tcPr>
            <w:tcW w:type="dxa" w:w="297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application-data-sheet.md</w:t>
            </w:r>
          </w:p>
        </w:tc>
        <w:tc>
          <w:tcPr>
            <w:tcW w:type="dxa" w:w="33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Every value to enter in the web ADS or PTO/AIA/14</w:t>
            </w:r>
          </w:p>
        </w:tc>
        <w:tc>
          <w:tcPr>
            <w:tcW w:type="dxa" w:w="308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Yes, as the ADS</w:t>
            </w:r>
          </w:p>
        </w:tc>
      </w:tr>
      <w:tr>
        <w:trPr>
          <w:tblHeader w:val="false"/>
        </w:trPr>
        <w:tc>
          <w:tcPr>
            <w:tcW w:type="dxa" w:w="297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inventor-declaration.md</w:t>
            </w:r>
          </w:p>
        </w:tc>
        <w:tc>
          <w:tcPr>
            <w:tcW w:type="dxa" w:w="33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Content of PTO/AIA/01, which the inventor signs</w:t>
            </w:r>
          </w:p>
        </w:tc>
        <w:tc>
          <w:tcPr>
            <w:tcW w:type="dxa" w:w="308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Yes, as the signed PTO/AIA/01</w:t>
            </w:r>
          </w:p>
        </w:tc>
      </w:tr>
      <w:tr>
        <w:trPr>
          <w:tblHeader w:val="false"/>
        </w:trPr>
        <w:tc>
          <w:tcPr>
            <w:tcW w:type="dxa" w:w="297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ids-and-references.md</w:t>
            </w:r>
          </w:p>
        </w:tc>
        <w:tc>
          <w:tcPr>
            <w:tcW w:type="dxa" w:w="33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Content of PTO/SB/08a and 08b, the reference list, and the must-pull list</w:t>
            </w:r>
          </w:p>
        </w:tc>
        <w:tc>
          <w:tcPr>
            <w:tcW w:type="dxa" w:w="308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Yes, as the IDS plus copies of the non-patent literature</w:t>
            </w:r>
          </w:p>
        </w:tc>
      </w:tr>
      <w:tr>
        <w:trPr>
          <w:tblHeader w:val="false"/>
        </w:trPr>
        <w:tc>
          <w:tcPr>
            <w:tcW w:type="dxa" w:w="297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fee-worksheet.md</w:t>
            </w:r>
          </w:p>
        </w:tc>
        <w:tc>
          <w:tcPr>
            <w:tcW w:type="dxa" w:w="33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Itemized small entity fees</w:t>
            </w:r>
          </w:p>
        </w:tc>
        <w:tc>
          <w:tcPr>
            <w:tcW w:type="dxa" w:w="308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 used to check the Patent Center fee screen</w:t>
            </w:r>
          </w:p>
        </w:tc>
      </w:tr>
      <w:tr>
        <w:trPr>
          <w:tblHeader w:val="false"/>
        </w:trPr>
        <w:tc>
          <w:tcPr>
            <w:tcW w:type="dxa" w:w="297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FILING-INSTRUCTIONS.md</w:t>
            </w:r>
          </w:p>
        </w:tc>
        <w:tc>
          <w:tcPr>
            <w:tcW w:type="dxa" w:w="33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This document</w:t>
            </w:r>
          </w:p>
        </w:tc>
        <w:tc>
          <w:tcPr>
            <w:tcW w:type="dxa" w:w="308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2. Before opening Patent Center</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Read the application as it will be filed: editable/application-body.docx and drawings/drawings.pdf. The declaration states that the inventor reviewed the application; sign only after reading it.</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Decide the claim-count question: file the 20 claims as built (one excess-independent-claim fee of 240 USD for the fourth independent claim, claim 19; fee-worksheet.md sections 1 and 4), drop claim 19 and its dependent claim 20 to reach 18 claims and 3 independent claims at zero excess-claim fees (fee-worksheet.md section 4), or add Appendix A candidate claims (further fees and a probable restriction requirement; fee-worksheet.md section 5). This package is built for 20 claims with 4 independent claims; if the set is changed, rebuild the packages so that every count below is regenerated.</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Confirm small entity status still holds on the day of filing: no assignment, license or obligation to a non-small entity.</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Establish the earliest date on which the invention was publicly disclosed, used publicly or offered for sale (the product is live at admireveda.com). Under 35 U.S.C. 102(b)(1)(A) the inventor's own disclosure within one year before the filing date is not prior art against the application in the United States, but most other countries have no such grace period. File before the one-year anniversary of the earliest such date, and treat foreign protection as already limited by any public disclosure.</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Complete the must-pull items in ids-and-references.md section 6 if time allows; otherwise file the IDS with what is confirmed and supplement within three months.</w:t>
      </w:r>
    </w:p>
    <w:p>
      <w:pPr>
        <w:tabs>
          <w:tab w:val="left" w:pos="540"/>
        </w:tabs>
        <w:spacing w:after="80" w:line="264"/>
        <w:ind w:left="540" w:hanging="54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Decide the nonpublication question (application-data-sheet.md section 5). The package leaves it unchecked.</w:t>
      </w:r>
    </w:p>
    <w:p>
      <w:pPr>
        <w:tabs>
          <w:tab w:val="left" w:pos="540"/>
        </w:tabs>
        <w:spacing w:after="80" w:line="264"/>
        <w:ind w:left="540" w:hanging="540"/>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Delete the review line from the document that will be filed: open editable/application-body.docx in Word, double-click the page header, delete the line "Prepared for Ravi Kiran Raju Yerra. Attorney review recommended before filing. Not legal advice.", close the header and save. This is the only edit the filed document needs. The same applies if the three separate DOCX files are uploaded instead of the combined body.</w:t>
      </w:r>
    </w:p>
    <w:p>
      <w:pPr>
        <w:pStyle w:val="Heading2"/>
        <w:keepNext/>
        <w:spacing w:after="120" w:before="200"/>
      </w:pPr>
      <w:r>
        <w:rPr>
          <w:rFonts w:ascii="Times New Roman" w:cs="Times New Roman" w:eastAsia="Times New Roman" w:hAnsi="Times New Roman"/>
          <w:b/>
          <w:bCs/>
          <w:color w:val="000000"/>
          <w:sz w:val="28"/>
          <w:szCs w:val="28"/>
        </w:rPr>
        <w:t xml:space="preserve">3. Create and verify a USPTO.gov account for Patent Center</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Go to the USPTO website and create a USPTO.gov account (MyUSPTO) using yerraslife@gmail.com. Turn on two-step authentication.</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Verify your identity for Patent Center. The USPTO uses an identity-verification provider (currently ID.me, online with a government ID and a selfie) or, as an alternative, a notarized paper identity verification form mailed to the USPTO. Online verification usually completes the same day; the paper route takes weeks. Verified status gives you the "Registered" Patent Center role, which lets you file, see the application after filing, receive notices and pay later fees. Unverified guest filing exists but is not suitable, because a guest cannot view the application afterwards.</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You are the applicant and the inventor, so no practitioner sponsorship is needed. Do not add anyone else as a sponsor or practitioner.</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Sign in to Patent Center and confirm you can open "New submission".</w:t>
      </w:r>
    </w:p>
    <w:p>
      <w:pPr>
        <w:pStyle w:val="Heading2"/>
        <w:keepNext/>
        <w:spacing w:after="120" w:before="200"/>
      </w:pPr>
      <w:r>
        <w:rPr>
          <w:rFonts w:ascii="Times New Roman" w:cs="Times New Roman" w:eastAsia="Times New Roman" w:hAnsi="Times New Roman"/>
          <w:b/>
          <w:bCs/>
          <w:color w:val="000000"/>
          <w:sz w:val="28"/>
          <w:szCs w:val="28"/>
        </w:rPr>
        <w:t xml:space="preserve">4. Documents to upload, in order</w:t>
      </w:r>
    </w:p>
    <w:p>
      <w:pPr>
        <w:keepLines w:val="false"/>
        <w:spacing w:after="160" w:line="276"/>
        <w:jc w:val="left"/>
      </w:pPr>
      <w:r>
        <w:rPr>
          <w:rFonts w:ascii="Times New Roman" w:cs="Times New Roman" w:eastAsia="Times New Roman" w:hAnsi="Times New Roman"/>
          <w:sz w:val="24"/>
          <w:szCs w:val="24"/>
        </w:rPr>
        <w:t xml:space="preserve">Prepare these files on your computer before starting the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97"/>
        <w:gridCol w:w="2636"/>
        <w:gridCol w:w="2636"/>
        <w:gridCol w:w="1191"/>
      </w:tblGrid>
      <w:tr>
        <w:trPr>
          <w:tblHeader/>
        </w:trPr>
        <w:tc>
          <w:tcPr>
            <w:tcW w:type="dxa" w:w="7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Order</w:t>
            </w:r>
          </w:p>
        </w:tc>
        <w:tc>
          <w:tcPr>
            <w:tcW w:type="dxa" w:w="2197"/>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Document</w:t>
            </w:r>
          </w:p>
        </w:tc>
        <w:tc>
          <w:tcPr>
            <w:tcW w:type="dxa" w:w="2636"/>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File</w:t>
            </w:r>
          </w:p>
        </w:tc>
        <w:tc>
          <w:tcPr>
            <w:tcW w:type="dxa" w:w="2636"/>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Patent Center document description</w:t>
            </w:r>
          </w:p>
        </w:tc>
        <w:tc>
          <w:tcPr>
            <w:tcW w:type="dxa" w:w="1191"/>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Format</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w:t>
            </w:r>
          </w:p>
        </w:tc>
        <w:tc>
          <w:tcPr>
            <w:tcW w:type="dxa" w:w="219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 body (specification, claims, abstract)</w:t>
            </w:r>
          </w:p>
        </w:tc>
        <w:tc>
          <w:tcPr>
            <w:tcW w:type="dxa" w:w="263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editable/application-body.docx (review line removed)</w:t>
            </w:r>
          </w:p>
        </w:tc>
        <w:tc>
          <w:tcPr>
            <w:tcW w:type="dxa" w:w="263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Specification, Claims, Abstract; Patent Center detects the three sections from the headings and asks you to confirm them</w:t>
            </w:r>
          </w:p>
        </w:tc>
        <w:tc>
          <w:tcPr>
            <w:tcW w:type="dxa" w:w="119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DOCX</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w:t>
            </w:r>
          </w:p>
        </w:tc>
        <w:tc>
          <w:tcPr>
            <w:tcW w:type="dxa" w:w="219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Drawings</w:t>
            </w:r>
          </w:p>
        </w:tc>
        <w:tc>
          <w:tcPr>
            <w:tcW w:type="dxa" w:w="263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drawings/drawings.pdf</w:t>
            </w:r>
          </w:p>
        </w:tc>
        <w:tc>
          <w:tcPr>
            <w:tcW w:type="dxa" w:w="263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Drawings (only black and white line drawings)</w:t>
            </w:r>
          </w:p>
        </w:tc>
        <w:tc>
          <w:tcPr>
            <w:tcW w:type="dxa" w:w="119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PDF, 13 sheets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w:t>
            </w:r>
          </w:p>
        </w:tc>
        <w:tc>
          <w:tcPr>
            <w:tcW w:type="dxa" w:w="219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 Data Sheet</w:t>
            </w:r>
          </w:p>
        </w:tc>
        <w:tc>
          <w:tcPr>
            <w:tcW w:type="dxa" w:w="263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Entered in the web ADS from application-data-sheet.md, or PTO/AIA/14 filled from it</w:t>
            </w:r>
          </w:p>
        </w:tc>
        <w:tc>
          <w:tcPr>
            <w:tcW w:type="dxa" w:w="263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 Data Sheet</w:t>
            </w:r>
          </w:p>
        </w:tc>
        <w:tc>
          <w:tcPr>
            <w:tcW w:type="dxa" w:w="119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Web form, or the original fillable PDF</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w:t>
            </w:r>
          </w:p>
        </w:tc>
        <w:tc>
          <w:tcPr>
            <w:tcW w:type="dxa" w:w="219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Inventor's declaration</w:t>
            </w:r>
          </w:p>
        </w:tc>
        <w:tc>
          <w:tcPr>
            <w:tcW w:type="dxa" w:w="263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PTO/AIA/01 completed and signed from inventor-declaration.md</w:t>
            </w:r>
          </w:p>
        </w:tc>
        <w:tc>
          <w:tcPr>
            <w:tcW w:type="dxa" w:w="263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Oath or Declaration filed</w:t>
            </w:r>
          </w:p>
        </w:tc>
        <w:tc>
          <w:tcPr>
            <w:tcW w:type="dxa" w:w="119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PDF</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5</w:t>
            </w:r>
          </w:p>
        </w:tc>
        <w:tc>
          <w:tcPr>
            <w:tcW w:type="dxa" w:w="219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Information Disclosure Statement</w:t>
            </w:r>
          </w:p>
        </w:tc>
        <w:tc>
          <w:tcPr>
            <w:tcW w:type="dxa" w:w="263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PTO/SB/08a and 08b completed from ids-and-references.md, or the Patent Center IDS web form</w:t>
            </w:r>
          </w:p>
        </w:tc>
        <w:tc>
          <w:tcPr>
            <w:tcW w:type="dxa" w:w="263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Information Disclosure Statement (IDS)</w:t>
            </w:r>
          </w:p>
        </w:tc>
        <w:tc>
          <w:tcPr>
            <w:tcW w:type="dxa" w:w="119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Web form or PDF</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6</w:t>
            </w:r>
          </w:p>
        </w:tc>
        <w:tc>
          <w:tcPr>
            <w:tcW w:type="dxa" w:w="219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Copies of non-patent literature</w:t>
            </w:r>
          </w:p>
        </w:tc>
        <w:tc>
          <w:tcPr>
            <w:tcW w:type="dxa" w:w="263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One PDF per item N1 to N17 in ids-and-references.md</w:t>
            </w:r>
          </w:p>
        </w:tc>
        <w:tc>
          <w:tcPr>
            <w:tcW w:type="dxa" w:w="263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 Patent Literature</w:t>
            </w:r>
          </w:p>
        </w:tc>
        <w:tc>
          <w:tcPr>
            <w:tcW w:type="dxa" w:w="119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PDF, one file per item</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DOCX versus PDF. The USPTO charges a non-DOCX surcharge (37 CFR 1.16(u); 172 USD small entity as recorded, verify current USPTO fee schedule at filing) when the specification, claims or abstract of a nonprovisional application are filed in a format other than DOCX. Upload the application body as DOCX to avoid it. Patent Center validates the DOCX, converts it, and shows the result; review the rendered pages before submitting, in particular the claim numbers 1 to 20, the paragraph numbers [0001] to [0112] and the figure references FIG. 1 to FIG. 13. If Patent Center flags a formatting warning, read it; warnings about fonts or tables are informational, errors must be corrected in Word and the file re-uploaded. After filing, download the USPTO-rendered PDF of the application from Patent Center and keep it with the DOCX. The drawings, declaration and IDS are filed as PDF; no surcharge applies to them.</w:t>
      </w:r>
    </w:p>
    <w:p>
      <w:pPr>
        <w:pStyle w:val="Heading2"/>
        <w:keepNext/>
        <w:spacing w:after="120" w:before="200"/>
      </w:pPr>
      <w:r>
        <w:rPr>
          <w:rFonts w:ascii="Times New Roman" w:cs="Times New Roman" w:eastAsia="Times New Roman" w:hAnsi="Times New Roman"/>
          <w:b/>
          <w:bCs/>
          <w:color w:val="000000"/>
          <w:sz w:val="28"/>
          <w:szCs w:val="28"/>
        </w:rPr>
        <w:t xml:space="preserve">5. Patent Center, step by step</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Sign in to Patent Center. Choose "New submission", then "Regular (utility, design, plant)" or the equivalent wording in the current interface, then application type "Utility" and filing type "Nonprovisional application under 35 U.S.C. 111(a)".</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Application Data Sheet: choose the web ADS. Enter every field from application-data-sheet.md: secrecy order no; inventor (given name Ravi Kiran Raju, family name Yerra, US residency, Celina, Texas, mailing address 604 Wexford Dr, Celina, TX 75009, US); correspondence (no customer number; name and address as above; yerraslife@gmail.com; 408-718-4217); title "Screen-Aware, Read-Only Task Guidance with On-Device Redaction and Tenant-Governed Data Egress"; small entity asserted; nonprovisional; utility; 13 drawing sheets; suggested figure 2; publication requests both unchecked; no representative; domestic benefit and foreign priority per the ADS document; access authorization left at the default; applicant is the inventor; no assignee; S-signature /Ravi Kiran Raju Yerra/.</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Upload documents: add editable/application-body.docx and confirm the section mapping (Specification, Claims, Abstract) that Patent Center proposes. Add drawings/drawings.pdf as Drawings. Add the signed PTO/AIA/01 as Oath or Declaration filed. Add the IDS (web form or SB/08 PDF) and one PDF per non-patent literature item.</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Fees: select entity status "Small". Check the fee lines against fee-worksheet.md: basic filing fee (electronic, small entity) 70, search fee 308, examination fee 352, no claims-over-20 fee (20 claims filed), independent claims in excess of 3 at 240 each for 1 claim (240), total 970 (as recorded; verify current USPTO fee schedule at filing). The independent-excess line must show exactly 1, and there must be no claims-over-20 line and no non-DOCX surcharge line. If the lines differ, go back and fix the cause before paying.</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Review the whole submission summary: inventor name, title, entity status, document list, fee total.</w:t>
      </w:r>
    </w:p>
    <w:p>
      <w:pPr>
        <w:tabs>
          <w:tab w:val="left" w:pos="540"/>
        </w:tabs>
        <w:spacing w:after="80" w:line="264"/>
        <w:ind w:left="540" w:hanging="54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Submit and pay (credit or debit card, bank transfer, or deposit account).</w:t>
      </w:r>
    </w:p>
    <w:p>
      <w:pPr>
        <w:tabs>
          <w:tab w:val="left" w:pos="540"/>
        </w:tabs>
        <w:spacing w:after="80" w:line="264"/>
        <w:ind w:left="540" w:hanging="540"/>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Immediately save the Electronic Acknowledgement Receipt (EAR). It shows the application number (format 18/xxx,xxx for a nonprovisional filed in the current series; the series number depends on the filing date), the confirmation number (four digits, used together with the application number on all later papers), the filing date and the list of documents received. The application is "patent pending" from this moment and may be marked as such.</w:t>
      </w:r>
    </w:p>
    <w:p>
      <w:pPr>
        <w:pStyle w:val="Heading2"/>
        <w:keepNext/>
        <w:spacing w:after="120" w:before="200"/>
      </w:pPr>
      <w:r>
        <w:rPr>
          <w:rFonts w:ascii="Times New Roman" w:cs="Times New Roman" w:eastAsia="Times New Roman" w:hAnsi="Times New Roman"/>
          <w:b/>
          <w:bCs/>
          <w:color w:val="000000"/>
          <w:sz w:val="28"/>
          <w:szCs w:val="28"/>
        </w:rPr>
        <w:t xml:space="preserve">6. After submission</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Filing Receipt. The USPTO issues the official Filing Receipt some weeks after submission; it appears in Patent Center and is sent to the correspondence address. Check it line by line against the EAR and the ADS: inventor name, title, application number, confirmation number, filing date, entity status (should read small), total claims 20, independent claims 4, drawing sheets 13. Request correction in Patent Center if anything is wrong; errors in the Filing Receipt are corrected without fee when the USPTO made them.</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Foreign filing license. The Filing Receipt states whether a foreign filing license under 35 U.S.C. 184 is granted. Do not file in another country or under the PCT before the license is granted or six months have passed from the filing date.</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Notices. If something was missing or defective, a Notice to File Missing Parts or a Notice to File Corrected Application Papers sets a two-month period to fix it; respond within the period. With this package complete, none is expected.</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Correspondence. Office actions and notices arrive in Patent Center and, with e-Office Action opted in, by email notification. Each sets a response deadline; most Office actions allow three months, extendable to six with extension fees. Missing a deadline abandons the application.</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Publication. The application publishes about 18 months after the filing date unless a nonpublication request was made. Publication starts provisional rights (35 U.S.C. 154(d)).</w:t>
      </w:r>
    </w:p>
    <w:p>
      <w:pPr>
        <w:tabs>
          <w:tab w:val="left" w:pos="540"/>
        </w:tabs>
        <w:spacing w:after="80" w:line="264"/>
        <w:ind w:left="540" w:hanging="54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Examination. A first Office action typically arrives one to three years after filing, depending on the art unit. The prioritized examination program (Track One, 37 CFR 1.102(e)) is available for an additional fee if a faster first action is wanted; it can be requested at filing or with a request for continued examination.</w:t>
      </w:r>
    </w:p>
    <w:p>
      <w:pPr>
        <w:pStyle w:val="Heading2"/>
        <w:keepNext/>
        <w:spacing w:after="120" w:before="200"/>
      </w:pPr>
      <w:r>
        <w:rPr>
          <w:rFonts w:ascii="Times New Roman" w:cs="Times New Roman" w:eastAsia="Times New Roman" w:hAnsi="Times New Roman"/>
          <w:b/>
          <w:bCs/>
          <w:color w:val="000000"/>
          <w:sz w:val="28"/>
          <w:szCs w:val="28"/>
        </w:rPr>
        <w:t xml:space="preserve">7.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1"/>
        <w:gridCol w:w="5299"/>
      </w:tblGrid>
      <w:tr>
        <w:trPr>
          <w:tblHeader/>
        </w:trPr>
        <w:tc>
          <w:tcPr>
            <w:tcW w:type="dxa" w:w="4061"/>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Date</w:t>
            </w:r>
          </w:p>
        </w:tc>
        <w:tc>
          <w:tcPr>
            <w:tcW w:type="dxa" w:w="5299"/>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What</w:t>
            </w:r>
          </w:p>
        </w:tc>
      </w:tr>
      <w:tr>
        <w:trPr>
          <w:tblHeader w:val="false"/>
        </w:trPr>
        <w:tc>
          <w:tcPr>
            <w:tcW w:type="dxa" w:w="40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Filing date</w:t>
            </w:r>
          </w:p>
        </w:tc>
        <w:tc>
          <w:tcPr>
            <w:tcW w:type="dxa" w:w="52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 number and confirmation number issued; "patent pending"</w:t>
            </w:r>
          </w:p>
        </w:tc>
      </w:tr>
      <w:tr>
        <w:trPr>
          <w:tblHeader w:val="false"/>
        </w:trPr>
        <w:tc>
          <w:tcPr>
            <w:tcW w:type="dxa" w:w="40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Filing date plus 3 months</w:t>
            </w:r>
          </w:p>
        </w:tc>
        <w:tc>
          <w:tcPr>
            <w:tcW w:type="dxa" w:w="52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Last day to file or supplement the IDS without fee or statement (37 CFR 1.97(b))</w:t>
            </w:r>
          </w:p>
        </w:tc>
      </w:tr>
      <w:tr>
        <w:trPr>
          <w:tblHeader w:val="false"/>
        </w:trPr>
        <w:tc>
          <w:tcPr>
            <w:tcW w:type="dxa" w:w="40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Filing date plus 12 months</w:t>
            </w:r>
          </w:p>
        </w:tc>
        <w:tc>
          <w:tcPr>
            <w:tcW w:type="dxa" w:w="52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Last day to file foreign applications or a PCT application claiming priority to this application under the Paris Convention (35 U.S.C. 119(a); PCT Article 8). A hard deadline; after it, foreign rights depend on each country's own rules and are generally lost once the application is published.</w:t>
            </w:r>
          </w:p>
        </w:tc>
      </w:tr>
      <w:tr>
        <w:trPr>
          <w:tblHeader w:val="false"/>
        </w:trPr>
        <w:tc>
          <w:tcPr>
            <w:tcW w:type="dxa" w:w="40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Filing date plus about 18 months</w:t>
            </w:r>
          </w:p>
        </w:tc>
        <w:tc>
          <w:tcPr>
            <w:tcW w:type="dxa" w:w="52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Publication of the application (unless a nonpublication request was made)</w:t>
            </w:r>
          </w:p>
        </w:tc>
      </w:tr>
      <w:tr>
        <w:trPr>
          <w:tblHeader w:val="false"/>
        </w:trPr>
        <w:tc>
          <w:tcPr>
            <w:tcW w:type="dxa" w:w="40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Each Office action</w:t>
            </w:r>
          </w:p>
        </w:tc>
        <w:tc>
          <w:tcPr>
            <w:tcW w:type="dxa" w:w="52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Response due within the period set, usually 3 months, extendable to 6 with fees</w:t>
            </w:r>
          </w:p>
        </w:tc>
      </w:tr>
      <w:tr>
        <w:trPr>
          <w:tblHeader w:val="false"/>
        </w:trPr>
        <w:tc>
          <w:tcPr>
            <w:tcW w:type="dxa" w:w="40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Notice of Allowance</w:t>
            </w:r>
          </w:p>
        </w:tc>
        <w:tc>
          <w:tcPr>
            <w:tcW w:type="dxa" w:w="52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Issue fee due within 3 months, not extendable</w:t>
            </w:r>
          </w:p>
        </w:tc>
      </w:tr>
      <w:tr>
        <w:trPr>
          <w:tblHeader w:val="false"/>
        </w:trPr>
        <w:tc>
          <w:tcPr>
            <w:tcW w:type="dxa" w:w="40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Patent issue date plus 3.5, 7.5 and 11.5 years</w:t>
            </w:r>
          </w:p>
        </w:tc>
        <w:tc>
          <w:tcPr>
            <w:tcW w:type="dxa" w:w="52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Maintenance fees</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8. The benefit claim: the two values to enter and the deadlines</w:t>
      </w:r>
    </w:p>
    <w:p>
      <w:pPr>
        <w:keepLines w:val="false"/>
        <w:spacing w:after="160" w:line="276"/>
        <w:jc w:val="left"/>
      </w:pPr>
      <w:r>
        <w:rPr>
          <w:rFonts w:ascii="Times New Roman" w:cs="Times New Roman" w:eastAsia="Times New Roman" w:hAnsi="Times New Roman"/>
          <w:sz w:val="24"/>
          <w:szCs w:val="24"/>
        </w:rPr>
        <w:t xml:space="preserve">This package already claims the benefit of the provisional application. Complete the benefit claim as follows; these are the only two values entered by hand anywhere in this package.</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Open the provisional application's filing receipt (the Electronic Acknowledgement Receipt from the day of submission, or the official Filing Receipt in Patent Center). Copy the application number (format 63/xxx,xxx) and the filing date (the date the provisional was filed, not the date the receipt was printed).</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Specification. In editable/application-body.docx (and, to keep the masters consistent, in specification.md, application-body.md and editable/specification.docx) replace "[ENTER PROVISIONAL APPLICATION NUMBER FROM FILING RECEIPT]" with the number and "[ENTER PROVISIONAL FILING DATE]" with the date written out (for example "January 15, 2027"), so that the first paragraph reads: "This application claims the benefit of U.S. Provisional Application No. 63/xxx,xxx, filed Month D, YYYY." Search the document for "[ENTER" afterwards to confirm no marker remains.</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ADS. In the web ADS section "Domestic Benefit/National Stage Information" enter: Prior application status "Pending"; Application number (this application) left blank; Continuity type "Claims benefit of provisional application" (35 U.S.C. 119(e)); Prior application number: the provisional number; Filing date: the provisional filing date in YYYY-MM-DD form. application-data-sheet.md section 7 carries the same two markers.</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Deadlines, both hard:</w:t>
      </w:r>
    </w:p>
    <w:p>
      <w:pPr>
        <w:keepLines w:val="false"/>
        <w:spacing w:after="160" w:line="276"/>
        <w:jc w:val="left"/>
      </w:pPr>
      <w:r>
        <w:rPr>
          <w:rFonts w:ascii="Times New Roman" w:cs="Times New Roman" w:eastAsia="Times New Roman" w:hAnsi="Times New Roman"/>
          <w:sz w:val="24"/>
          <w:szCs w:val="24"/>
        </w:rPr>
        <w:t xml:space="preserve">The nonprovisional application must be filed no later than twelve months after the provisional filing date (35 U.S.C. 119(e)(1)). If the last day is a Saturday, Sunday or federal holiday the period runs to the next business day, but do not plan on it. A provisional cannot be extended; if the twelve months are missed by up to two months, only a petition under 37 CFR 1.78(b) with a fee and a statement of unintentional delay can restore the benefit. The benefit claim must be presented in the ADS within the later of four months from the filing date of this application or sixteen months from the provisional filing date (37 CFR 1.78(a)(4)). Entering it in the ADS at filing satisfies this; a claim added later needs a petition under 37 CFR 1.78(c) with a fee.</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The provisional and this application both name Ravi Kiran Raju Yerra as sole inventor, which satisfies the common-inventor requirement of 35 U.S.C. 119(e).</w:t>
      </w:r>
    </w:p>
    <w:p>
      <w:pPr>
        <w:tabs>
          <w:tab w:val="left" w:pos="540"/>
        </w:tabs>
        <w:spacing w:after="80" w:line="264"/>
        <w:ind w:left="540" w:hanging="54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After filing, check the Filing Receipt: it must list the provisional application under "Domestic Priority data as claimed by applicant" with the correct number and date. If it does not, file a corrected ADS within the period in item 4 and request a corrected Filing Receipt.</w:t>
      </w:r>
    </w:p>
    <w:p>
      <w:pPr>
        <w:tabs>
          <w:tab w:val="left" w:pos="540"/>
        </w:tabs>
        <w:spacing w:after="80" w:line="264"/>
        <w:ind w:left="540" w:hanging="540"/>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The provisional application itself requires nothing further. It is never examined and goes abandoned automatically at twelve months; its contents stay confidential unless this application, which refers to it, is published, after which the provisional's file becomes available to the public.</w:t>
      </w:r>
    </w:p>
    <w:p>
      <w:pPr>
        <w:pStyle w:val="Heading2"/>
        <w:keepNext/>
        <w:spacing w:after="120" w:before="200"/>
      </w:pPr>
      <w:r>
        <w:rPr>
          <w:rFonts w:ascii="Times New Roman" w:cs="Times New Roman" w:eastAsia="Times New Roman" w:hAnsi="Times New Roman"/>
          <w:b/>
          <w:bCs/>
          <w:color w:val="000000"/>
          <w:sz w:val="28"/>
          <w:szCs w:val="28"/>
        </w:rPr>
        <w:t xml:space="preserve">9. Mistakes to avoid</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Uploading claims.docx with Appendix A and Appendix B still attached. Upload editable/application-body.docx, which omits both, or delete the appendices first.</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Leaving the review line in the page header of the filed DOCX.</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Filing the application body as PDF (surcharge).</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Selecting the wrong entity status (micro is not available; large pays more than double).</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Signing the declaration before reading the final application, or having anyone other than the inventor sign it.</w:t>
      </w:r>
    </w:p>
    <w:p>
      <w:pPr>
        <w:tabs>
          <w:tab w:val="left" w:pos="540"/>
        </w:tabs>
        <w:spacing w:after="80" w:line="264"/>
        <w:ind w:left="540" w:hanging="54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Omitting the signed declaration (surcharge and a notice to file it).</w:t>
      </w:r>
    </w:p>
    <w:p>
      <w:pPr>
        <w:tabs>
          <w:tab w:val="left" w:pos="540"/>
        </w:tabs>
        <w:spacing w:after="80" w:line="264"/>
        <w:ind w:left="540" w:hanging="540"/>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Entering the inventor name differently in the ADS and the declaration. It is "Ravi Kiran Raju" (given) and "Yerra" (family) in both.</w:t>
      </w:r>
    </w:p>
    <w:p>
      <w:pPr>
        <w:tabs>
          <w:tab w:val="left" w:pos="540"/>
        </w:tabs>
        <w:spacing w:after="80" w:line="264"/>
        <w:ind w:left="540" w:hanging="540"/>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Forgetting to download the Electronic Acknowledgement Receipt and, later, the Filing Receipt.</w:t>
      </w:r>
    </w:p>
    <w:p>
      <w:pPr>
        <w:tabs>
          <w:tab w:val="left" w:pos="540"/>
        </w:tabs>
        <w:spacing w:after="80" w:line="264"/>
        <w:ind w:left="540" w:hanging="540"/>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Letting the twelve-month foreign filing window pass without a decision.</w:t>
      </w:r>
    </w:p>
    <w:p>
      <w:pPr>
        <w:tabs>
          <w:tab w:val="left" w:pos="540"/>
        </w:tabs>
        <w:spacing w:after="80" w:line="264"/>
        <w:ind w:left="540" w:hanging="540"/>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Leaving either "[ENTER ...]" marker in the filed specification or omitting the benefit claim from the ADS.</w:t>
      </w:r>
    </w:p>
    <w:p>
      <w:pPr>
        <w:pStyle w:val="Heading2"/>
        <w:keepNext/>
        <w:spacing w:after="120" w:before="200"/>
      </w:pPr>
      <w:r>
        <w:rPr>
          <w:rFonts w:ascii="Times New Roman" w:cs="Times New Roman" w:eastAsia="Times New Roman" w:hAnsi="Times New Roman"/>
          <w:b/>
          <w:bCs/>
          <w:color w:val="000000"/>
          <w:sz w:val="28"/>
          <w:szCs w:val="28"/>
        </w:rPr>
        <w:t xml:space="preserve">10. Final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Done</w:t>
            </w:r>
          </w:p>
        </w:tc>
        <w:tc>
          <w:tcPr>
            <w:tcW w:type="dxa" w:w="866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Item</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USPTO.gov account created and identity verified; Patent Center opens "New submission"</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application-body.docx read in full by the inventor; review line removed from its header</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drawings/drawings.pdf, 13 sheets, FIG. 1 to FIG. 13</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Web ADS entered from application-data-sheet.md (or PTO/AIA/14 filled, original fillable PDF)</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PTO/AIA/01 completed from inventor-declaration.md and signed by Ravi Kiran Raju Yerra</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IDS completed from ids-and-references.md; one PDF per non-patent literature item</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Entity status small; fee total matches fee-worksheet.md; no claims-over-20 line, independent-excess line shows 1 claim; no non-DOCX line</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Submitted; Electronic Acknowledgement Receipt saved; application number and confirmation number recorded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Provisional application number and filing date entered in the specification cross-reference and in the ADS; a search for "[ENTER" in application-body.docx finds nothing</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Filed no later than twelve months after the provisional filing date</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Calendar entries made: IDS window, 12-month foreign filing deadline, Filing Receipt check including the domestic priority line</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Prepared for Ravi Kiran Raju Yerra. Attorney review recommended before filing.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Filing instructions: nonprovisional utility application claiming the benefit of the provisional</dc:title>
  <dc:creator>Ravi Kiran Raju Yerra</dc:creator>
  <dc:description>Prepared for Ravi Kiran Raju Yerra. Attorney review recommended before filing. Not legal advice.</dc:description>
  <cp:lastModifiedBy>Un-named</cp:lastModifiedBy>
  <cp:revision>1</cp:revision>
  <dcterms:created xsi:type="dcterms:W3CDTF">2026-10-28T18:43:32.169Z</dcterms:created>
  <dcterms:modified xsi:type="dcterms:W3CDTF">2026-10-28T18:43:32.170Z</dcterms:modified>
</cp:coreProperties>
</file>

<file path=docProps/custom.xml><?xml version="1.0" encoding="utf-8"?>
<Properties xmlns="http://schemas.openxmlformats.org/officeDocument/2006/custom-properties" xmlns:vt="http://schemas.openxmlformats.org/officeDocument/2006/docPropsVTypes"/>
</file>