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ABSTRACT OF THE DISCLOSURE</w:t>
      </w:r>
    </w:p>
    <w:p>
      <w:pPr>
        <w:keepLines w:val="false"/>
        <w:spacing w:after="16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guidance client captures frames of a display while the user operates a target application, redacts each frame on the device by masking recognized text lines a policy engine identifies as sensitive, and transmits the redacted frame with an ordered plan whose steps each carry a planner-generated visible-when-done condition. A vision-capable model returns a navigation record identifying satisfied steps, the single current step and one screen-specific instruction. The client presents the instruction without injecting input; the user performs every action, and the plan advances only when a later redacted frame shows the expected result, that frame becoming the sole evidence of the step. One per-tenant policy object governs on-device masking, evidence retention and the model's instructions. A large goal is planned once as a dependency-ordered task map with screen-visible done-states; each task's steps are expanded just in time from a project learnings ledger and verified by the same loop.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Prepared for Ravi Kiran Raju Yerra. Attorney review recommended before filing. Not legal advice.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ABSTRACT OF THE DISCLOSURE</dc:title>
  <dc:creator>Ravi Kiran Raju Yerra</dc:creator>
  <dc:description>Prepared for Ravi Kiran Raju Yerra. Attorney review recommended before filing. Not legal advice.</dc:description>
  <cp:lastModifiedBy>Un-named</cp:lastModifiedBy>
  <cp:revision>1</cp:revision>
  <dcterms:created xsi:type="dcterms:W3CDTF">2026-10-28T18:43:32.403Z</dcterms:created>
  <dcterms:modified xsi:type="dcterms:W3CDTF">2026-10-28T18:43:32.404Z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