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Application Data Sheet (37 CFR 1.76): content to enter</w:t>
      </w:r>
    </w:p>
    <w:p>
      <w:pPr>
        <w:keepLines w:val="false"/>
        <w:spacing w:after="160" w:line="276"/>
        <w:jc w:val="left"/>
      </w:pPr>
      <w:r>
        <w:rPr>
          <w:rFonts w:ascii="Times New Roman" w:cs="Times New Roman" w:eastAsia="Times New Roman" w:hAnsi="Times New Roman"/>
          <w:sz w:val="24"/>
          <w:szCs w:val="24"/>
        </w:rPr>
        <w:t xml:space="preserve">This document carries every value to enter in the USPTO Application Data Sheet (ADS) for the nonprovisional utility application. Enter it in one of two ways:</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Patent Center web ADS (recommended). When you start the submission in Patent Center, choose "Web ADS". Patent Center validates each field as you type, generates the ADS document and attaches it to the filing. No separate PDF is needed.</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Form PTO/AIA/14, "Application Data Sheet 37 CFR 1.76". Download the current revision from the USPTO forms page, complete it in Adobe Acrobat or Adobe Reader, save it, and upload the original fillable PDF. Do not print it to PDF, flatten it or scan it; Patent Center reads the form fields.</w:t>
      </w:r>
    </w:p>
    <w:p>
      <w:pPr>
        <w:keepLines w:val="false"/>
        <w:spacing w:after="160" w:line="276"/>
        <w:jc w:val="left"/>
      </w:pPr>
      <w:r>
        <w:rPr>
          <w:rFonts w:ascii="Times New Roman" w:cs="Times New Roman" w:eastAsia="Times New Roman" w:hAnsi="Times New Roman"/>
          <w:sz w:val="24"/>
          <w:szCs w:val="24"/>
        </w:rPr>
        <w:t xml:space="preserve">Every field below is filled from the applicant intake. Nothing is left for guessing. The only line completed on the day of filing is the signature line at the end, which the inventor signs.</w:t>
      </w:r>
    </w:p>
    <w:p>
      <w:pPr>
        <w:keepLines w:val="false"/>
        <w:spacing w:after="160" w:line="276"/>
        <w:jc w:val="left"/>
      </w:pPr>
      <w:r>
        <w:rPr>
          <w:rFonts w:ascii="Times New Roman" w:cs="Times New Roman" w:eastAsia="Times New Roman" w:hAnsi="Times New Roman"/>
          <w:sz w:val="24"/>
          <w:szCs w:val="24"/>
        </w:rPr>
        <w:t xml:space="preserve">Prior application: this application claims the benefit of the provisional application identified in section 7 under 35 U.S.C. 119(e).</w:t>
      </w:r>
    </w:p>
    <w:p>
      <w:pPr>
        <w:pStyle w:val="Heading2"/>
        <w:keepNext/>
        <w:spacing w:after="120" w:before="200"/>
      </w:pPr>
      <w:r>
        <w:rPr>
          <w:rFonts w:ascii="Times New Roman" w:cs="Times New Roman" w:eastAsia="Times New Roman" w:hAnsi="Times New Roman"/>
          <w:b/>
          <w:bCs/>
          <w:color w:val="000000"/>
          <w:sz w:val="28"/>
          <w:szCs w:val="28"/>
        </w:rPr>
        <w:t xml:space="preserve">1. Secrecy order (37 CFR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38"/>
        <w:gridCol w:w="3322"/>
      </w:tblGrid>
      <w:tr>
        <w:trPr>
          <w:tblHeader/>
        </w:trPr>
        <w:tc>
          <w:tcPr>
            <w:tcW w:type="dxa" w:w="603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332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603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Portions or all of the application associated with this ADS may fall under a secrecy order</w:t>
            </w:r>
          </w:p>
        </w:tc>
        <w:tc>
          <w:tcPr>
            <w:tcW w:type="dxa" w:w="332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Leave the checkbox unchecked.</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2. Inventor information</w:t>
      </w:r>
    </w:p>
    <w:p>
      <w:pPr>
        <w:keepLines w:val="false"/>
        <w:spacing w:after="160" w:line="276"/>
        <w:jc w:val="left"/>
      </w:pPr>
      <w:r>
        <w:rPr>
          <w:rFonts w:ascii="Times New Roman" w:cs="Times New Roman" w:eastAsia="Times New Roman" w:hAnsi="Times New Roman"/>
          <w:sz w:val="24"/>
          <w:szCs w:val="24"/>
        </w:rPr>
        <w:t xml:space="preserve">One inventor. Inventor 1 of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8"/>
        <w:gridCol w:w="6172"/>
      </w:tblGrid>
      <w:tr>
        <w:trPr>
          <w:tblHeader/>
        </w:trPr>
        <w:tc>
          <w:tcPr>
            <w:tcW w:type="dxa" w:w="318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617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Legal name, prefix</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Given name (first name)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Middle name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Family name (last name)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Yerra</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Suffix</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Residence information, type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Residency (select this option, not "Non US Residency" or "Active US Military Service")</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City of residence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Celina</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 or province of residence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Texas (two-letter code TX where the form uses codes)</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Country of residence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(code US)</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Mailing address, address line 1</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604 Wexford Dr</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Mailing address, address line 2</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City</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Celina</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 or province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TX</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Postal code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75009</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Country</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(code US)</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Citizenship</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The current ADS does not request citizenship; if the revision in use shows a citizenship field, enter United States (code US).</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name is entered exactly as above so that it matches the inventor's declaration ("Ravi Kiran Raju Yerra") character for character. There are no additional inventors; the invention was conceived by Ravi Kiran Raju Yerra alone.</w:t>
      </w:r>
    </w:p>
    <w:p>
      <w:pPr>
        <w:pStyle w:val="Heading2"/>
        <w:keepNext/>
        <w:spacing w:after="120" w:before="200"/>
      </w:pPr>
      <w:r>
        <w:rPr>
          <w:rFonts w:ascii="Times New Roman" w:cs="Times New Roman" w:eastAsia="Times New Roman" w:hAnsi="Times New Roman"/>
          <w:b/>
          <w:bCs/>
          <w:color w:val="000000"/>
          <w:sz w:val="28"/>
          <w:szCs w:val="28"/>
        </w:rPr>
        <w:t xml:space="preserve">3. Correspondence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6"/>
        <w:gridCol w:w="7294"/>
      </w:tblGrid>
      <w:tr>
        <w:trPr>
          <w:tblHeader/>
        </w:trPr>
        <w:tc>
          <w:tcPr>
            <w:tcW w:type="dxa" w:w="206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729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Customer number</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applicant does not hold a USPTO customer number. Leave the customer-number field blank and complete the name and address fields instead.</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Name</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Address line 1</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604 Wexford Dr</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Address line 2</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City</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Celina</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 or province</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TX</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Postal code</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75009</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Country</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(code US)</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Telephone</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408-718-4217 (international form +1-408-718-4217)</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Fax</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Email address</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yerraslife@gmail.com</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Entering the email address authorizes the USPTO to send correspondence notices to it. In Patent Center also opt in to e-Office Action (Patent Center, "Manage e-Office Action") so that Office actions are delivered electronically and the paper mailing is replaced by an email notification.</w:t>
      </w:r>
    </w:p>
    <w:p>
      <w:pPr>
        <w:pStyle w:val="Heading2"/>
        <w:keepNext/>
        <w:spacing w:after="120" w:before="200"/>
      </w:pPr>
      <w:r>
        <w:rPr>
          <w:rFonts w:ascii="Times New Roman" w:cs="Times New Roman" w:eastAsia="Times New Roman" w:hAnsi="Times New Roman"/>
          <w:b/>
          <w:bCs/>
          <w:color w:val="000000"/>
          <w:sz w:val="28"/>
          <w:szCs w:val="28"/>
        </w:rPr>
        <w:t xml:space="preserve">4. Application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99"/>
        <w:gridCol w:w="5561"/>
      </w:tblGrid>
      <w:tr>
        <w:trPr>
          <w:tblHeader/>
        </w:trPr>
        <w:tc>
          <w:tcPr>
            <w:tcW w:type="dxa" w:w="3799"/>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556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Title of the invention</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Screen-Aware, Read-Only Task Guidance with On-Device Redaction and Tenant-Governed Data Egress</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Attorney docket number</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This is an optional field; leave blank.</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Small entity status claimed</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Check "Applicant asserts small entity status under 37 CFR 1.27".</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type</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Nonprovisional</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Subject matter</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Utility</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Total number of drawing sheets (if any)</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Suggested figure for publication (if any)</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 (FIG. 2)</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by reference (37 CFR 1.57(a))</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used. Leave the section blank; the specification, claims and drawings are filed directly.</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title is entered in the ADS in title case as shown; the specification carries the same title in capitals. Patent Center compares the two without regard to case.</w:t>
      </w:r>
    </w:p>
    <w:p>
      <w:pPr>
        <w:keepLines w:val="false"/>
        <w:spacing w:after="160" w:line="276"/>
        <w:jc w:val="left"/>
      </w:pPr>
      <w:r>
        <w:rPr>
          <w:rFonts w:ascii="Times New Roman" w:cs="Times New Roman" w:eastAsia="Times New Roman" w:hAnsi="Times New Roman"/>
          <w:sz w:val="24"/>
          <w:szCs w:val="24"/>
        </w:rPr>
        <w:t xml:space="preserve">Small entity basis: the applicant is an individual person who has not assigned, granted, conveyed or licensed, and is under no obligation to assign, grant, convey or license, any rights in the invention to any person or entity that would not qualify as a small entity (37 CFR 1.27(a)(1)). Micro entity status is not claimed because the applicant's gross income exceeds the micro entity income limit. If rights are later licensed or assigned to a large entity, a new determination of entity status is required before paying any further fee.</w:t>
      </w:r>
    </w:p>
    <w:p>
      <w:pPr>
        <w:pStyle w:val="Heading2"/>
        <w:keepNext/>
        <w:spacing w:after="120" w:before="200"/>
      </w:pPr>
      <w:r>
        <w:rPr>
          <w:rFonts w:ascii="Times New Roman" w:cs="Times New Roman" w:eastAsia="Times New Roman" w:hAnsi="Times New Roman"/>
          <w:b/>
          <w:bCs/>
          <w:color w:val="000000"/>
          <w:sz w:val="28"/>
          <w:szCs w:val="28"/>
        </w:rPr>
        <w:t xml:space="preserve">5. Publication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5"/>
        <w:gridCol w:w="2675"/>
      </w:tblGrid>
      <w:tr>
        <w:trPr>
          <w:tblHeader/>
        </w:trPr>
        <w:tc>
          <w:tcPr>
            <w:tcW w:type="dxa" w:w="668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267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66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Request early publication (35 U.S.C. 122(b))</w:t>
            </w:r>
          </w:p>
        </w:tc>
        <w:tc>
          <w:tcPr>
            <w:tcW w:type="dxa" w:w="26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Leave unchecked.</w:t>
            </w:r>
          </w:p>
        </w:tc>
      </w:tr>
      <w:tr>
        <w:trPr>
          <w:tblHeader w:val="false"/>
        </w:trPr>
        <w:tc>
          <w:tcPr>
            <w:tcW w:type="dxa" w:w="66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Request not to publish (35 U.S.C. 122(b)(2)(B)(i))</w:t>
            </w:r>
          </w:p>
        </w:tc>
        <w:tc>
          <w:tcPr>
            <w:tcW w:type="dxa" w:w="26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Leave unchecked.</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standard course is chosen: the application will be published 18 months after its filing date. A nonpublication request may be made only with a certification that the invention has not been and will not be the subject of an application filed in another country that requires publication; checking it would complicate any later foreign or PCT filing and must be rescinded within strict time limits if a foreign filing is made. Leaving the box unchecked keeps every option open.</w:t>
      </w:r>
    </w:p>
    <w:p>
      <w:pPr>
        <w:pStyle w:val="Heading2"/>
        <w:keepNext/>
        <w:spacing w:after="120" w:before="200"/>
      </w:pPr>
      <w:r>
        <w:rPr>
          <w:rFonts w:ascii="Times New Roman" w:cs="Times New Roman" w:eastAsia="Times New Roman" w:hAnsi="Times New Roman"/>
          <w:b/>
          <w:bCs/>
          <w:color w:val="000000"/>
          <w:sz w:val="28"/>
          <w:szCs w:val="28"/>
        </w:rPr>
        <w:t xml:space="preserve">6. Representative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Representative (practitioner name, registration number, or practitioner customer number)</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applicant files pro se (representing himself). Leave this section blank.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If a registered patent practitioner is retained later, the practitioner files a power of attorney (PTO/AIA/82) and the correspondence address changes to the practitioner's customer number at that time.</w:t>
      </w:r>
    </w:p>
    <w:p>
      <w:pPr>
        <w:pStyle w:val="Heading2"/>
        <w:keepNext/>
        <w:spacing w:after="120" w:before="200"/>
      </w:pPr>
      <w:r>
        <w:rPr>
          <w:rFonts w:ascii="Times New Roman" w:cs="Times New Roman" w:eastAsia="Times New Roman" w:hAnsi="Times New Roman"/>
          <w:b/>
          <w:bCs/>
          <w:color w:val="000000"/>
          <w:sz w:val="28"/>
          <w:szCs w:val="28"/>
        </w:rPr>
        <w:t xml:space="preserve">7. Domestic benefit or national stage information</w:t>
      </w:r>
    </w:p>
    <w:p>
      <w:pPr>
        <w:keepLines w:val="false"/>
        <w:spacing w:after="160" w:line="276"/>
        <w:jc w:val="left"/>
      </w:pPr>
      <w:r>
        <w:rPr>
          <w:rFonts w:ascii="Times New Roman" w:cs="Times New Roman" w:eastAsia="Times New Roman" w:hAnsi="Times New Roman"/>
          <w:sz w:val="24"/>
          <w:szCs w:val="24"/>
        </w:rPr>
        <w:t xml:space="preserve">This application claims the benefit of the earlier provisional application under 35 U.S.C. 119(e). Complete the section as follows. The two bracketed values are copied from the provisional application's filing receipt (Patent Center, "Filing Receipt", or the Electronic Acknowledgement Receipt issued at submission). They are the only values in this package that are entered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70"/>
        <w:gridCol w:w="5790"/>
      </w:tblGrid>
      <w:tr>
        <w:trPr>
          <w:tblHeader/>
        </w:trPr>
        <w:tc>
          <w:tcPr>
            <w:tcW w:type="dxa" w:w="357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579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35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 application status</w:t>
            </w:r>
          </w:p>
        </w:tc>
        <w:tc>
          <w:tcPr>
            <w:tcW w:type="dxa" w:w="57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Pending</w:t>
            </w:r>
          </w:p>
        </w:tc>
      </w:tr>
      <w:tr>
        <w:trPr>
          <w:tblHeader w:val="false"/>
        </w:trPr>
        <w:tc>
          <w:tcPr>
            <w:tcW w:type="dxa" w:w="35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number (this application)</w:t>
            </w:r>
          </w:p>
        </w:tc>
        <w:tc>
          <w:tcPr>
            <w:tcW w:type="dxa" w:w="57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Leave blank. Patent Center fills in the number of the application being filed.</w:t>
            </w:r>
          </w:p>
        </w:tc>
      </w:tr>
      <w:tr>
        <w:trPr>
          <w:tblHeader w:val="false"/>
        </w:trPr>
        <w:tc>
          <w:tcPr>
            <w:tcW w:type="dxa" w:w="35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Continuity type</w:t>
            </w:r>
          </w:p>
        </w:tc>
        <w:tc>
          <w:tcPr>
            <w:tcW w:type="dxa" w:w="57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benefit of provisional application" (35 U.S.C. 119(e)). On PTO/AIA/14 the drop-down wording is "Claims benefit of provisional".</w:t>
            </w:r>
          </w:p>
        </w:tc>
      </w:tr>
      <w:tr>
        <w:trPr>
          <w:tblHeader w:val="false"/>
        </w:trPr>
        <w:tc>
          <w:tcPr>
            <w:tcW w:type="dxa" w:w="35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 application number</w:t>
            </w:r>
          </w:p>
        </w:tc>
        <w:tc>
          <w:tcPr>
            <w:tcW w:type="dxa" w:w="57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[ENTER FROM PROVISIONAL FILING RECEIPT] (the provisional application number, in the form 63/xxx,xxx as printed on the receipt)</w:t>
            </w:r>
          </w:p>
        </w:tc>
      </w:tr>
      <w:tr>
        <w:trPr>
          <w:tblHeader w:val="false"/>
        </w:trPr>
        <w:tc>
          <w:tcPr>
            <w:tcW w:type="dxa" w:w="35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 (YYYY-MM-DD)</w:t>
            </w:r>
          </w:p>
        </w:tc>
        <w:tc>
          <w:tcPr>
            <w:tcW w:type="dxa" w:w="57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[ENTER FROM PROVISIONAL FILING RECEIPT] (the provisional application's filing date, not the date the receipt was issued)</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Rules that govern this section:</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Deadline. This nonprovisional application must be filed within twelve months of the provisional filing date (35 U.S.C. 119(e)(1)). The twelve-month period runs to the same calendar day one year later; if that day falls on a Saturday, Sunday or federal holiday in the District of Columbia, the period runs to the next business day (35 U.S.C. 21(b)). Do not rely on that extension; file earlier.</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Timing of the benefit claim. The claim is made in the ADS, and it must be presented within the later of four months from the actual filing date of this application or sixteen months from the filing date of the provisional application (37 CFR 1.78(a)(4)). Entering it in the ADS at filing, as this package does, satisfies the rule.</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Late claim. A benefit claim presented after that period requires a petition under 37 CFR 1.78(c) with the petition fee and a statement that the delay was unintentional. Avoid this by entering the two values at filing.</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Restoration. If the twelve-month period is missed by no more than two months, a petition under 37 CFR 1.78(b) to restore the benefit is possible, with a petition fee and a statement of unintentional delay. Treat this as an emergency route only.</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provisional and this application must name at least one inventor in common. Both name Ravi Kiran Raju Yerra as the sole inventor.</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specification of this application carries the matching cross-reference sentence as its first paragraph (specification.md, "Cross-Reference to Related Applications") with the same two values.</w:t>
      </w:r>
    </w:p>
    <w:p>
      <w:pPr>
        <w:pStyle w:val="Heading2"/>
        <w:keepNext/>
        <w:spacing w:after="120" w:before="200"/>
      </w:pPr>
      <w:r>
        <w:rPr>
          <w:rFonts w:ascii="Times New Roman" w:cs="Times New Roman" w:eastAsia="Times New Roman" w:hAnsi="Times New Roman"/>
          <w:b/>
          <w:bCs/>
          <w:color w:val="000000"/>
          <w:sz w:val="28"/>
          <w:szCs w:val="28"/>
        </w:rPr>
        <w:t xml:space="preserve">8. Foreign priority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0"/>
        <w:gridCol w:w="4970"/>
      </w:tblGrid>
      <w:tr>
        <w:trPr>
          <w:tblHeader/>
        </w:trPr>
        <w:tc>
          <w:tcPr>
            <w:tcW w:type="dxa" w:w="439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497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43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number, country, filing date, access code</w:t>
            </w:r>
          </w:p>
        </w:tc>
        <w:tc>
          <w:tcPr>
            <w:tcW w:type="dxa" w:w="49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No foreign application exists. Leave the section blank.</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9. Authorization or opt-out of authorization to permit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41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52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Authorization to permit access to the instant application by the participating offices</w:t>
            </w:r>
          </w:p>
        </w:tc>
        <w:tc>
          <w:tcPr>
            <w:tcW w:type="dxa" w:w="4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Leave the default. Do not check any opt-out box.</w:t>
            </w:r>
          </w:p>
        </w:tc>
      </w:tr>
      <w:tr>
        <w:trPr>
          <w:tblHeader w:val="false"/>
        </w:trPr>
        <w:tc>
          <w:tcPr>
            <w:tcW w:type="dxa" w:w="52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Opt-out, section A (access to the instant application by participating offices)</w:t>
            </w:r>
          </w:p>
        </w:tc>
        <w:tc>
          <w:tcPr>
            <w:tcW w:type="dxa" w:w="4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Unchecked</w:t>
            </w:r>
          </w:p>
        </w:tc>
      </w:tr>
      <w:tr>
        <w:trPr>
          <w:tblHeader w:val="false"/>
        </w:trPr>
        <w:tc>
          <w:tcPr>
            <w:tcW w:type="dxa" w:w="52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Opt-out, section B (access to search results from the instant application by participating offices)</w:t>
            </w:r>
          </w:p>
        </w:tc>
        <w:tc>
          <w:tcPr>
            <w:tcW w:type="dxa" w:w="4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Unchecked</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default authorizes the USPTO to share this application and its search results with participating foreign offices if the applicant later files abroad. Nothing is shared with any office unless a foreign application claiming priority is filed.</w:t>
      </w:r>
    </w:p>
    <w:p>
      <w:pPr>
        <w:pStyle w:val="Heading2"/>
        <w:keepNext/>
        <w:spacing w:after="120" w:before="200"/>
      </w:pPr>
      <w:r>
        <w:rPr>
          <w:rFonts w:ascii="Times New Roman" w:cs="Times New Roman" w:eastAsia="Times New Roman" w:hAnsi="Times New Roman"/>
          <w:b/>
          <w:bCs/>
          <w:color w:val="000000"/>
          <w:sz w:val="28"/>
          <w:szCs w:val="28"/>
        </w:rPr>
        <w:t xml:space="preserve">10. Applicant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48"/>
        <w:gridCol w:w="4012"/>
      </w:tblGrid>
      <w:tr>
        <w:trPr>
          <w:tblHeader/>
        </w:trPr>
        <w:tc>
          <w:tcPr>
            <w:tcW w:type="dxa" w:w="534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401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534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Applicant</w:t>
            </w:r>
          </w:p>
        </w:tc>
        <w:tc>
          <w:tcPr>
            <w:tcW w:type="dxa" w:w="40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inventor, Ravi Kiran Raju Yerra.</w:t>
            </w:r>
          </w:p>
        </w:tc>
      </w:tr>
      <w:tr>
        <w:trPr>
          <w:tblHeader w:val="false"/>
        </w:trPr>
        <w:tc>
          <w:tcPr>
            <w:tcW w:type="dxa" w:w="534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Applicant type (assignee, legal representative, person to whom the inventor is obligated to assign, or person who otherwise shows sufficient proprietary interest)</w:t>
            </w:r>
          </w:p>
        </w:tc>
        <w:tc>
          <w:tcPr>
            <w:tcW w:type="dxa" w:w="40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of these. The applicant is the inventor.</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On form PTO/AIA/14 the applicant information section is completed only when the applicant is someone other than the inventor; because the applicant is the inventor, leave the section blank. In the Patent Center web ADS, when asked whether the applicant is the inventor, answer yes. No assignment exists and none is intended at filing.</w:t>
      </w:r>
    </w:p>
    <w:p>
      <w:pPr>
        <w:pStyle w:val="Heading2"/>
        <w:keepNext/>
        <w:spacing w:after="120" w:before="200"/>
      </w:pPr>
      <w:r>
        <w:rPr>
          <w:rFonts w:ascii="Times New Roman" w:cs="Times New Roman" w:eastAsia="Times New Roman" w:hAnsi="Times New Roman"/>
          <w:b/>
          <w:bCs/>
          <w:color w:val="000000"/>
          <w:sz w:val="28"/>
          <w:szCs w:val="28"/>
        </w:rPr>
        <w:t xml:space="preserve">11. Assignee information including non-applicant assignee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tblHeader/>
        </w:trPr>
        <w:tc>
          <w:tcPr>
            <w:tcW w:type="dxa" w:w="275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660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27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Assignee name and address</w:t>
            </w:r>
          </w:p>
        </w:tc>
        <w:tc>
          <w:tcPr>
            <w:tcW w:type="dxa" w:w="660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the section blank. No assignee is to be printed on the patent application publication.</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12.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70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Signature</w:t>
            </w:r>
          </w:p>
        </w:tc>
        <w:tc>
          <w:tcPr>
            <w:tcW w:type="dxa" w:w="70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 (S-signature typed by the inventor personally between forward slashes), or handwritten signature on a printed PTO/AIA/14. Inventor signs here.</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Name (print or type)</w:t>
            </w:r>
          </w:p>
        </w:tc>
        <w:tc>
          <w:tcPr>
            <w:tcW w:type="dxa" w:w="70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Date (YYYY-MM-DD)</w:t>
            </w:r>
          </w:p>
        </w:tc>
        <w:tc>
          <w:tcPr>
            <w:tcW w:type="dxa" w:w="70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day of filing. Inventor signs here.</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Registration number</w:t>
            </w:r>
          </w:p>
        </w:tc>
        <w:tc>
          <w:tcPr>
            <w:tcW w:type="dxa" w:w="70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applicant is not a registered patent practitioner; leave blank.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ADS is signed by the applicant under 37 CFR 1.33(b). In the Patent Center web ADS the S-signature is entered in the signature field of the web form before the ADS is generated.</w:t>
      </w:r>
    </w:p>
    <w:p>
      <w:pPr>
        <w:pStyle w:val="Heading2"/>
        <w:keepNext/>
        <w:spacing w:after="120" w:before="200"/>
      </w:pPr>
      <w:r>
        <w:rPr>
          <w:rFonts w:ascii="Times New Roman" w:cs="Times New Roman" w:eastAsia="Times New Roman" w:hAnsi="Times New Roman"/>
          <w:b/>
          <w:bCs/>
          <w:color w:val="000000"/>
          <w:sz w:val="28"/>
          <w:szCs w:val="28"/>
        </w:rPr>
        <w:t xml:space="preserve">Consistency checks before submitting</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Inventor name on the ADS, the declaration (inventor-declaration.md) and the IDS (ids-and-references.md) is "Ravi Kiran Raju Yerra" in each place, split as given name "Ravi Kiran Raju" and family name "Yerra" where a split is requested.</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Title on the ADS is identical in words to the title in specification.md and in the declaration.</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Entity status on the ADS (small entity) matches the fees selected in the Patent Center fee calculator (small entity rates).</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Total drawing sheets is 13, matching drawings/drawings.pdf (FIG. 1 to FIG. 13; FIG. 8A and FIG. 8B share one sheet).</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If PTO/AIA/14 is used instead of the web ADS, the uploaded file is the original fillable PDF saved from Adobe Reader with the form fields intact.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Data Sheet (37 CFR 1.76): content to enter</dc:title>
  <dc:creator>Ravi Kiran Raju Yerra</dc:creator>
  <dc:description>Prepared for Ravi Kiran Raju Yerra. Attorney review recommended before filing. Not legal advice.</dc:description>
  <cp:lastModifiedBy>Un-named</cp:lastModifiedBy>
  <cp:revision>1</cp:revision>
  <dcterms:created xsi:type="dcterms:W3CDTF">2026-10-28T18:43:32.867Z</dcterms:created>
  <dcterms:modified xsi:type="dcterms:W3CDTF">2026-10-28T18:43:32.868Z</dcterms:modified>
</cp:coreProperties>
</file>

<file path=docProps/custom.xml><?xml version="1.0" encoding="utf-8"?>
<Properties xmlns="http://schemas.openxmlformats.org/officeDocument/2006/custom-properties" xmlns:vt="http://schemas.openxmlformats.org/officeDocument/2006/docPropsVTypes"/>
</file>