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Information Disclosure Statement (37 CFR 1.97 and 1.98): content and reference list</w:t>
      </w:r>
    </w:p>
    <w:p>
      <w:pPr>
        <w:pStyle w:val="Heading2"/>
        <w:keepNext/>
        <w:spacing w:after="120" w:before="200"/>
      </w:pPr>
      <w:r>
        <w:rPr>
          <w:rFonts w:ascii="Times New Roman" w:cs="Times New Roman" w:eastAsia="Times New Roman" w:hAnsi="Times New Roman"/>
          <w:b/>
          <w:bCs/>
          <w:color w:val="000000"/>
          <w:sz w:val="28"/>
          <w:szCs w:val="28"/>
        </w:rPr>
        <w:t xml:space="preserve">1. Purpose and timing</w:t>
      </w:r>
    </w:p>
    <w:p>
      <w:pPr>
        <w:keepLines w:val="false"/>
        <w:spacing w:after="160" w:line="276"/>
        <w:jc w:val="left"/>
      </w:pPr>
      <w:r>
        <w:rPr>
          <w:rFonts w:ascii="Times New Roman" w:cs="Times New Roman" w:eastAsia="Times New Roman" w:hAnsi="Times New Roman"/>
          <w:sz w:val="24"/>
          <w:szCs w:val="24"/>
        </w:rPr>
        <w:t xml:space="preserve">An Information Disclosure Statement (IDS) lists the prior art and other information known to the applicant that may be material to patentability (37 CFR 1.56). It is filed on form PTO/SB/08a (U.S. patents and U.S. patent application publications) and PTO/SB/08b (foreign patent documents and non-patent literature), or through the Patent Center IDS web form, which produces the same listing. File it in the same Patent Center submission as the application. An IDS filed within three months of the filing date, or before the first Office action on the merits, needs no fee and no statement (37 CFR 1.97(b)). An IDS filed later needs the fee under 37 CFR 1.17(p) or a certification under 37 CFR 1.97(e).</w:t>
      </w:r>
    </w:p>
    <w:p>
      <w:pPr>
        <w:keepLines w:val="false"/>
        <w:spacing w:after="160" w:line="276"/>
        <w:jc w:val="left"/>
      </w:pPr>
      <w:r>
        <w:rPr>
          <w:rFonts w:ascii="Times New Roman" w:cs="Times New Roman" w:eastAsia="Times New Roman" w:hAnsi="Times New Roman"/>
          <w:sz w:val="24"/>
          <w:szCs w:val="24"/>
        </w:rPr>
        <w:t xml:space="preserve">Listing a reference is not an admission that it is prior art or that it is material. When in doubt, list it. Items dated 2025 or 2026 are prior art only if their dates precede the effective filing date of this application; they are listed regardless, with their dates, so that the examiner has them.</w:t>
      </w:r>
    </w:p>
    <w:p>
      <w:pPr>
        <w:pStyle w:val="Heading2"/>
        <w:keepNext/>
        <w:spacing w:after="120" w:before="200"/>
      </w:pPr>
      <w:r>
        <w:rPr>
          <w:rFonts w:ascii="Times New Roman" w:cs="Times New Roman" w:eastAsia="Times New Roman" w:hAnsi="Times New Roman"/>
          <w:b/>
          <w:bCs/>
          <w:color w:val="000000"/>
          <w:sz w:val="28"/>
          <w:szCs w:val="28"/>
        </w:rPr>
        <w:t xml:space="preserve">2. Header fields of PTO/SB/08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561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Assigned by the USPTO at filing. When the IDS is filed in the same submission as the application, Patent Center links it automatically and the field is left blank. If filed afterwards, enter the application number from the filing receipt.</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Same rule as the application number.</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First named inventor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Art unit</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yet assigned at filing; leave blank.</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Examiner name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yet assigned at filing; leave blank.</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Attorney docket number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Certification statement (37 CFR 1.97(e))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required; the IDS is filed with the application, inside the three-month window. Leave both certification boxes unchecked.</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due (37 CFR 1.97(b)).</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Signature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(S-signature), name Ravi Kiran Raju Yerra, registration number none. Inventor signs here. Date: the day of filing. Inventor signs here.</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3. Copies to supply</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U.S. patents and U.S. patent application publications: no copies are required (37 CFR 1.98(a)(2)(i)); list the numbers.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Non-patent literature: a legible copy of each item must be uploaded with the IDS (document description "Non Patent Literature", one PDF per item). For web pages, upload a dated capture (a printed-to-PDF copy showing the URL and the capture date, or an archive copy).</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Foreign patent documents: a copy is required; none is listed below.</w:t>
      </w:r>
    </w:p>
    <w:p>
      <w:pPr>
        <w:pStyle w:val="Heading2"/>
        <w:keepNext/>
        <w:spacing w:after="120" w:before="200"/>
      </w:pPr>
      <w:r>
        <w:rPr>
          <w:rFonts w:ascii="Times New Roman" w:cs="Times New Roman" w:eastAsia="Times New Roman" w:hAnsi="Times New Roman"/>
          <w:b/>
          <w:bCs/>
          <w:color w:val="000000"/>
          <w:sz w:val="28"/>
          <w:szCs w:val="28"/>
        </w:rPr>
        <w:t xml:space="preserve">4. Section A: U.S. patents and U.S. patent application publications (PTO/SB/08a)</w:t>
      </w:r>
    </w:p>
    <w:p>
      <w:pPr>
        <w:keepLines w:val="false"/>
        <w:spacing w:after="160" w:line="276"/>
        <w:jc w:val="left"/>
      </w:pPr>
      <w:r>
        <w:rPr>
          <w:rFonts w:ascii="Times New Roman" w:cs="Times New Roman" w:eastAsia="Times New Roman" w:hAnsi="Times New Roman"/>
          <w:sz w:val="24"/>
          <w:szCs w:val="24"/>
        </w:rPr>
        <w:t xml:space="preserve">For each entry enter the document number, the issue or publication date and the name of the patentee or applicant. The Patent Center IDS web form retrieves the bibliographic data from the number; compare what it shows with the record in Patent Public Search before accepting it. Dates below are as read on the records during the prior-art searches; where only a priority or filing date was captured, the issue or publication date is retrieved from the record at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0"/>
        <w:gridCol w:w="1528"/>
        <w:gridCol w:w="1872"/>
        <w:gridCol w:w="1310"/>
        <w:gridCol w:w="1872"/>
        <w:gridCol w:w="1298"/>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Cite</w:t>
            </w:r>
          </w:p>
        </w:tc>
        <w:tc>
          <w:tcPr>
            <w:tcW w:type="dxa" w:w="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Kind</w:t>
            </w:r>
          </w:p>
        </w:tc>
        <w:tc>
          <w:tcPr>
            <w:tcW w:type="dxa" w:w="152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Number</w:t>
            </w:r>
          </w:p>
        </w:tc>
        <w:tc>
          <w:tcPr>
            <w:tcW w:type="dxa" w:w="18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Title (as recorded)</w:t>
            </w:r>
          </w:p>
        </w:tc>
        <w:tc>
          <w:tcPr>
            <w:tcW w:type="dxa" w:w="131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Patentee or applicant (as recorded)</w:t>
            </w:r>
          </w:p>
        </w:tc>
        <w:tc>
          <w:tcPr>
            <w:tcW w:type="dxa" w:w="18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 (as recorded)</w:t>
            </w:r>
          </w:p>
        </w:tc>
        <w:tc>
          <w:tcPr>
            <w:tcW w:type="dxa" w:w="129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Search status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12,554,888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Privacy-preserving prompt engineering for generative artificial intelligence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SAP SE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2023-11-17; granted 2026-02-17</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claim 1 read; pull full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11,869,126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Systems and methods for obscuring restricted text and/or images in a video conferencing session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Adeia Guides (Rovi)</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2021-12-13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11,861,923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Methods, apparatuses, and computer-readable storage media for image-based sensitive-text detection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Huawei</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2021-12-31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12,051,205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Systems and methods for interacting with a large language model</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OpenAI Opco</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2023-09-27; granted 2024-07-30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11,709,691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Software user assistance through image processing</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SAP SE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2021-09-01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11,520,690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Automated testing of walkthroughs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WalkMe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2021-02-08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12,405,809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GUI element acquisition using a plurality of alternative representations of the GUI element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WalkMe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2019-04-30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9,569,231 B2 (publication US 2010/0205530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Device, system, and method for providing interactive guidance with execution of operations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Kryon Systems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2009-02-09</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claims not retrievable online, pull from Patent Public Search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9,098,313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Recording display-independent computerized guidance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Kryon Systems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 not captured in the search record; retrieve the issue date from the record at entry</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11,989,786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and method to enable augmented intelligence guided help</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USAA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2021-06-24; granted 2024-05-21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claims not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5,493,658 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Interactive online tutorial system with monitoring function for software products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IBM</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1992-03-26</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expired; 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11,609,772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Dynamically generating guided tours for software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Red Hat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2020-09-18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10,852,898 B2 (publication US 2017/0277312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for Interactive Help</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Boomersurf LLC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2012-11-20; granted 2020-12-01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11,461,164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 response validation of robot execution for robotic process automation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UiPath</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2020-05-01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2025/0130827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and method for providing digital guidance corresponding to software applications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Whatfix</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2023-10-24; filed 2024-08-01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12,321,777 B2 (publication US 2024/0231891 A9)</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Automatic workflow generation and optimization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Accenture Global Solutions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2022-10-20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11,481,304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User action generated process discovery</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Automation Anywhere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2019-12-22</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2026/0111708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Long-term memory recall for an LLM through a self-reflection protocol</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Robert Bosch GmbH</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2024-10-23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11,768,304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Framework for machine guidance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Intuit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2022-09-30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11,429,351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Building custom automation workflows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Intuit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2021-01-21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12,688,280 B2 (publication US 2026/0037617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Governance and data protection in use of generative artificial intelligence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NROC Security Oy</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2024-08-05; granted 2026-07-21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and part of the claims read; pull full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11,368,361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Tamper-resistant service management for enterprise systems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Technology Licensing</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2020-06-05; granted 2022-06-21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summary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 and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2015/0082372 A1 (granted as US 9,674,168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Privileged account plug-in framework, step-up validation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Oracle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2013-09-19</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10,091,239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Auditing and policy control at SSH endpoints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SSH Communications Security</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2012-01-24; granted 2018-10-02</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8,694,322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Selective confirmation for execution of a voice activated user interface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2005-08-05; granted 2014-04-08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11,023,609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Fault prevention shell for preventing system disruption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IBM</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2018-11-26; granted 2021-06-01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10,984,133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Defining and distributing API authorization policies and parameters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Styra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2017-08-02; granted 2021-04-20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12,554,883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Auto-redacting data in a shared-GUI environment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Bank of America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2024-08-05; granted 2026-02-17</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summary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7,689,926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Selective window exclusion for captured content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2006-03-31; granted 2010-03-30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expired per the record; 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12,013,965 B2 (publication US 2023/0087884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Controlling a screenshot function to obfuscate sensitive information in a screenshot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Capital One Services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2021-09-22; granted 2024-06-18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10,313,520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Real-time compliance monitoring facility</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CallMiner</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2014-01-08; granted 2019-06-04</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2015/0039536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Clarification of submitted questions in a question and answer system</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IBM</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2013-08-01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11,610,064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Clarification of natural language requests using neural networks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ASAPP</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2018-12-10; granted 2023-03-21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12,567,270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On-demand state verification using digital image processing and artificial intelligence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Squint Inc.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2025-08-28; granted 2026-03-03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 pull full claims; granted after the product's first public use, so date-stamp against the effective filing date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12,645,890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Automation of tasks using language model prompts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ASAPP Inc.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2023-05-17; filed 2023-06-27; granted 2026-06-02</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2024/0330654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Generative Artificial Intelligence as a Personal Task Generator to Complete Objectives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Farm Mutual Automobile Insurance Co.</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2023-06-29; published 2024-10-03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 claims not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12,248,810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Automatically orchestrating a computerized workflow</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International Business Machines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2022-06-15; granted 2025-03-11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8,887,163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Task scheduling based on dependencies and resources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eBay Inc.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granted 2014-11-11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7,949,610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Method and system for discovering dependencies in project plans of distributed system</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International Business Machines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2008-01-31; granted 2011-05-24</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Where an entry lists both a patent and its publication, enter both numbers as separate lines on SB/08a. Entries 34 to 39 were found in the 2026-10-27 prior-art refresh for the project-engine and watch-loop subject matter (claimed in the lead set as claims 19 and 20, with the remaining project-engine and watch-loop claims held for a continuation after the 2026-10-28 trim); the refresh report is patent-package/final/01-prior-art-search.md.</w:t>
      </w:r>
    </w:p>
    <w:p>
      <w:pPr>
        <w:pStyle w:val="Heading2"/>
        <w:keepNext/>
        <w:spacing w:after="120" w:before="200"/>
      </w:pPr>
      <w:r>
        <w:rPr>
          <w:rFonts w:ascii="Times New Roman" w:cs="Times New Roman" w:eastAsia="Times New Roman" w:hAnsi="Times New Roman"/>
          <w:b/>
          <w:bCs/>
          <w:color w:val="000000"/>
          <w:sz w:val="28"/>
          <w:szCs w:val="28"/>
        </w:rPr>
        <w:t xml:space="preserve">5. Section B: non-patent literature (PTO/SB/08b)</w:t>
      </w:r>
    </w:p>
    <w:p>
      <w:pPr>
        <w:keepLines w:val="false"/>
        <w:spacing w:after="160" w:line="276"/>
        <w:jc w:val="left"/>
      </w:pPr>
      <w:r>
        <w:rPr>
          <w:rFonts w:ascii="Times New Roman" w:cs="Times New Roman" w:eastAsia="Times New Roman" w:hAnsi="Times New Roman"/>
          <w:sz w:val="24"/>
          <w:szCs w:val="24"/>
        </w:rPr>
        <w:t xml:space="preserve">Enter author, title, source, volume or identifier, pages and date, and upload a copy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12"/>
        <w:gridCol w:w="2624"/>
        <w:gridCol w:w="2624"/>
        <w:gridCol w:w="210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Cite</w:t>
            </w:r>
          </w:p>
        </w:tc>
        <w:tc>
          <w:tcPr>
            <w:tcW w:type="dxa" w:w="131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Kind</w:t>
            </w:r>
          </w:p>
        </w:tc>
        <w:tc>
          <w:tcPr>
            <w:tcW w:type="dxa" w:w="26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w:t>
            </w:r>
          </w:p>
        </w:tc>
        <w:tc>
          <w:tcPr>
            <w:tcW w:type="dxa" w:w="26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 (as recorded)</w:t>
            </w:r>
          </w:p>
        </w:tc>
        <w:tc>
          <w:tcPr>
            <w:tcW w:type="dxa" w:w="21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Search status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Wang, Mao, Fried, Neubig, "Agent Workflow Memory", arXiv 2409.07429</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September 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N2</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Zheng et al., "Synapse: Trajectory-as-Exemplar Prompting with Memory for Computer Control", arXiv 2306.07863</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N3</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Simular Research, "Agent S", arXiv 2410.08164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N4</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Zhao et al., "ExpeL", arXiv 2308.10144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N5</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Wang et al., "Voyager", arXiv 2305.16291</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seen in secondary summaries only; obtain and read the paper before entry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N6</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Song et al., "LLM-Planner", arXiv 2212.04088</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2022</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N7</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Aamodt and Plaza, "Case-Based Reasoning: Foundational Issues, Methodological Variations, and System Approaches", AI Communications 7(1)</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1994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N8</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Glória-Silva, Semedo, Magalhães, "Show and Guide: Instructional-Plan Grounded Vision and Language Model", arXiv 2409.19074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N9</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Pan et al., "Autonomous Evaluation and Refinement of Digital Agents", arXiv 2404.06474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seen in a search summary only; obtain and read the paper before entry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N10</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Sumyk and Kosovan, "Are We Done Yet? A Vision-Based Judge for Autonomous Task Completion of Computer Use Agents", arXiv 2511.20067</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N11</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Software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Midscene.js, aiAssert natural-language assertion (midscenejs.com/basics)</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first release date not captured; record the page's own date on the captured copy</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seen in a search summary only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N12</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Kahlon et al., "Agent-Initiated Interaction in Phone UI Automation" (AndroidInteraction), arXiv 2503.19537</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2025-03-25</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N13</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Product announcement</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"Copilot Vision on Windows with Highlights now available in US", Windows Experience Blog</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2025-06-12</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N14</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Vendor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Learn, "Manage Recall for Windows clients" and "WindowsAI Policy CSP"</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page dates 2025-12-10 and 2026-10-14; living documents, upload a dated capture</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N15</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Vendor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Learn, "Microsoft Purview DLP for Microsoft 365 Copilot"</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page date 2026-10-05; living document, upload a dated capture</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N16</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standard and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WICG Document Picture-in-Picture specification; Chrome developer documentation (shipped in Chrome 116)</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 documentation page updated 2024-09-10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N17</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Software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Electron BrowserWindow.setContentProtection (initial commit 2016-06-22; Windows exclude-from-capture commit 2020-10-16)</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2016 and 2020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(mirror commits)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N18</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Prasad, Koller, Hartmann, Clark, Sabharwal, Bansal, Khot, "ADaPT: As-Needed Decomposition and Planning with Language Models", arXiv 2311.05772</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2023-11-08; v2 2024-04-08</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N19</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Shinn, Cassano, Berman, Gopinath, Narasimhan, Yao, "Reflexion: Language Agents with Verbal Reinforcement Learning", arXiv 2303.11366</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2023-03-20; v4 2023-10-10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N20</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Xu, Zhang, Mitra, Hruschka, "Verification-Aware Planning for Multi-Agent Systems" (VeriMAP), arXiv 2510.17109</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2025-10-20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N21</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Hao, Wang, Yang, Li, Zhang, Shi, "GNNVerifier: Graph-based Verifier for LLM Task Planning", arXiv 2603.14730</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2026-03-16; v2 2026-03-17</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 dated after the product's first public use, date-stamp against the effective filing date</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Further non-patent items surfaced in the 2026-10-27 refresh that were seen in search results only and must be opened before entry: Madaan et al., "AutoMix: Automatically Mixing Language Models", arXiv 2310.12963 (2023, revised to 2025); Chen et al., "FrugalGPT", arXiv 2305.05176 (2023); Ong et al., "RouteLLM", arXiv 2406.18665 (2024); "Online Learning of HTN Methods for integrated LLM-HTN Planning" (ChatHTN line), arXiv 2511.12901 (2025); OrchBench, arXiv 2607.25656 (2026); "Verifiable Memory", arXiv 2608.03137 (2026); "Empowering Working Memory for Large Language Model Agents", arXiv 2312.17259 (2023); AdaptBot, arXiv 2502.02067 (2025); RAG-GUI, arXiv 2509.24183 (2025); JARVIS AR task guidance, arXiv 2604.10108 (2026); "STEVE: A Step Verification Pipeline for Computer-use Agent Training" (2025, identifier not captured); the screen.vision open-source project (GitHub, r-muresan; first-commit date needed); and the PtcRunner.Plan validator documentation (HexDocs ptc_runner v0.7.0; version date needed).</w:t>
      </w:r>
    </w:p>
    <w:p>
      <w:pPr>
        <w:keepLines w:val="false"/>
        <w:spacing w:after="160" w:line="276"/>
        <w:jc w:val="left"/>
      </w:pPr>
      <w:r>
        <w:rPr>
          <w:rFonts w:ascii="Times New Roman" w:cs="Times New Roman" w:eastAsia="Times New Roman" w:hAnsi="Times New Roman"/>
          <w:sz w:val="24"/>
          <w:szCs w:val="24"/>
        </w:rPr>
        <w:t xml:space="preserve">Further non-patent items surfaced during the earlier searches that may be added after reading: W3C mediacapture-screen-share issue 330 (2026-04-16, open) on excluding a picture-in-picture window from display capture; trycua/cua issue 4194 (2026-09-25) on excluding agent overlay pixels from captures; Contrast blog, "Using Document PiP and Insertable Streams APIs to record your screen and camera" (updated 2023-08-04); Microsoft Presidio image redactor documentation; Microsoft Purview OCR documentation (page updated 2026-04-30). WalkMe US 9,922,008 was held ineligible under 35 U.S.C. 101 (S.D.N.Y., No. 18-cv-7654, April 2019); it is relevant to the 35 U.S.C. 101 posture of the claims rather than as prior art and may be cited for completeness.</w:t>
      </w:r>
    </w:p>
    <w:p>
      <w:pPr>
        <w:pStyle w:val="Heading2"/>
        <w:keepNext/>
        <w:spacing w:after="120" w:before="200"/>
      </w:pPr>
      <w:r>
        <w:rPr>
          <w:rFonts w:ascii="Times New Roman" w:cs="Times New Roman" w:eastAsia="Times New Roman" w:hAnsi="Times New Roman"/>
          <w:b/>
          <w:bCs/>
          <w:color w:val="000000"/>
          <w:sz w:val="28"/>
          <w:szCs w:val="28"/>
        </w:rPr>
        <w:t xml:space="preserve">6. Section C: must-pull before the IDS is final</w:t>
      </w:r>
    </w:p>
    <w:p>
      <w:pPr>
        <w:keepLines w:val="false"/>
        <w:spacing w:after="160" w:line="276"/>
        <w:jc w:val="left"/>
      </w:pPr>
      <w:r>
        <w:rPr>
          <w:rFonts w:ascii="Times New Roman" w:cs="Times New Roman" w:eastAsia="Times New Roman" w:hAnsi="Times New Roman"/>
          <w:sz w:val="24"/>
          <w:szCs w:val="24"/>
        </w:rPr>
        <w:t xml:space="preserve">The following were reported by the searches but not fully read. Each must be opened in Patent Public Search (or obtained as text) and read before it is either listed on the IDS or deliberately left off. Flag: MUST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52"/>
        <w:gridCol w:w="3052"/>
        <w:gridCol w:w="2556"/>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c>
          <w:tcPr>
            <w:tcW w:type="dxa" w:w="30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 (as reported)</w:t>
            </w:r>
          </w:p>
        </w:tc>
        <w:tc>
          <w:tcPr>
            <w:tcW w:type="dxa" w:w="30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Why it matters</w:t>
            </w:r>
          </w:p>
        </w:tc>
        <w:tc>
          <w:tcPr>
            <w:tcW w:type="dxa" w:w="255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Action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M1</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Whatfix US 12,725,397 (continuation of application 18/791,482)</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digital guidance with user-interface element detection</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confirm the number and assignee; read whether step completion is verified from the screen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M2</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US 2025/0110985 family (Bonatti, Wagle)</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on-screen activity from text and image embeddings; suggests prompts</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confirm the publication number; read the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M3</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Zscaler US 12,711,255 B2</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data loss prevention using distilled large language models (priority 2024-01-10 reported)</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read the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M4</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12,591,441</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reported as "Determining sequences of interactions, process extraction, and robot generation using generative AI/ML models" (scanned PDF, not machine-readable)</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obtain the text; expected to concern recorded sessions with a language model</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M5</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12,670,454</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reported as "Techniques for generating workflows using an LLM-based system" (scanned PDF, not machine-readable)</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obtain the text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M6</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Capital One US 2024/0111891 A1 and related grant US 12,361,163</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client-side sanitizing followed by a server re-scrub</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read the claims; confirm the server second-pass claim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M7</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10,585,731 (reported title "KVM having blue screen of death detection and warning functions")</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failure-frames counter that increments on successive failed frames and alerts past a threshold; closest mechanical art to the consecutive-unreadable-frame count of the watch-loop tolerance at specification paragraphs [0108] to [0111] (claimed in the 2026-10-27 set, held for a continuation after the 2026-10-28 trim)</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confirm the number and assignee; read whether any model or capability escalation is taught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M8</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Squint Inc. US 12,567,270 B1 (listed as entry 34)</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VLM re-prompt loop with an iteration threshold and backup tools; closest 2026 art to vision-verified guided steps</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read the full claims before the IDS is final, so that the listing is complete</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Also to be considered after reading, from the earlier search round: USAA US 12,346,977 B1; Meta US 11,036,984 B1; Visautact US 10,290,222 B2; Verizon US 2025/0238087 A1; Apple US 12,406,664 B2; Droplr US 10,347,293 B1; JPMorgan US 2025/0005060 A1; IBM US 2025/0086310 A1. Search-snippet leads not promoted to this list (Netskope US 10,949,961 B1, Omnissa US 12,130,948 B2, and Citrix, Cisco and Oracle screen-share masking patents) are recorded in the prior-art reports and may be added after reading.</w:t>
      </w:r>
    </w:p>
    <w:p>
      <w:pPr>
        <w:pStyle w:val="Heading2"/>
        <w:keepNext/>
        <w:spacing w:after="120" w:before="200"/>
      </w:pPr>
      <w:r>
        <w:rPr>
          <w:rFonts w:ascii="Times New Roman" w:cs="Times New Roman" w:eastAsia="Times New Roman" w:hAnsi="Times New Roman"/>
          <w:b/>
          <w:bCs/>
          <w:color w:val="000000"/>
          <w:sz w:val="28"/>
          <w:szCs w:val="28"/>
        </w:rPr>
        <w:t xml:space="preserve">7. Supplemental IDS</w:t>
      </w:r>
    </w:p>
    <w:p>
      <w:pPr>
        <w:keepLines w:val="false"/>
        <w:spacing w:after="160" w:line="276"/>
        <w:jc w:val="left"/>
      </w:pPr>
      <w:r>
        <w:rPr>
          <w:rFonts w:ascii="Times New Roman" w:cs="Times New Roman" w:eastAsia="Times New Roman" w:hAnsi="Times New Roman"/>
          <w:sz w:val="24"/>
          <w:szCs w:val="24"/>
        </w:rPr>
        <w:t xml:space="preserve">If any must-pull item proves material after the application is filed, file a supplemental IDS. Within three months of filing, or before the first Office action, no fee or statement is needed. After that, the 37 CFR 1.97(e) statement or the 37 CFR 1.17(p) fee applies, and after a final action or allowance the requirements tighten further; the duty of disclosure continues until the patent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Disclosure Statement (37 CFR 1.97 and 1.98): content and reference list</dc:title>
  <dc:creator>Ravi Kiran Raju Yerra</dc:creator>
  <dc:description>Prepared for Ravi Kiran Raju Yerra. Attorney review recommended before filing. Not legal advice.</dc:description>
  <cp:lastModifiedBy>Un-named</cp:lastModifiedBy>
  <cp:revision>1</cp:revision>
  <dcterms:created xsi:type="dcterms:W3CDTF">2026-10-28T18:43:33.636Z</dcterms:created>
  <dcterms:modified xsi:type="dcterms:W3CDTF">2026-10-28T18:43:33.637Z</dcterms:modified>
</cp:coreProperties>
</file>

<file path=docProps/custom.xml><?xml version="1.0" encoding="utf-8"?>
<Properties xmlns="http://schemas.openxmlformats.org/officeDocument/2006/custom-properties" xmlns:vt="http://schemas.openxmlformats.org/officeDocument/2006/docPropsVTypes"/>
</file>