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pPr>
      <w:r>
        <w:rPr>
          <w:rFonts w:ascii="Times New Roman" w:cs="Times New Roman" w:eastAsia="Times New Roman" w:hAnsi="Times New Roman"/>
          <w:b/>
          <w:bCs/>
          <w:color w:val="000000"/>
          <w:sz w:val="32"/>
          <w:szCs w:val="32"/>
        </w:rPr>
        <w:t xml:space="preserve">Filing instructions: nonprovisional utility application (standalone, no benefit claim)</w:t>
      </w:r>
    </w:p>
    <w:p>
      <w:pPr>
        <w:keepLines w:val="false"/>
        <w:spacing w:after="160" w:line="276"/>
        <w:jc w:val="left"/>
      </w:pPr>
      <w:r>
        <w:rPr>
          <w:rFonts w:ascii="Times New Roman" w:cs="Times New Roman" w:eastAsia="Times New Roman" w:hAnsi="Times New Roman"/>
          <w:sz w:val="24"/>
          <w:szCs w:val="24"/>
        </w:rPr>
        <w:t xml:space="preserve">This package files a nonprovisional utility application under 35 U.S.C. 111(a) directly, without a provisional application before it. The filing date of this application is the effective filing date of every claim. If instead a provisional application has already been filed (patent-package/final/provisional), use patent-package/final/utility-with-priority, which is this package with the benefit claim added, and do not use this one.</w:t>
      </w:r>
    </w:p>
    <w:p>
      <w:pPr>
        <w:keepLines w:val="false"/>
        <w:spacing w:after="160" w:line="276"/>
        <w:jc w:val="left"/>
      </w:pPr>
      <w:r>
        <w:rPr>
          <w:rFonts w:ascii="Times New Roman" w:cs="Times New Roman" w:eastAsia="Times New Roman" w:hAnsi="Times New Roman"/>
          <w:sz w:val="24"/>
          <w:szCs w:val="24"/>
        </w:rPr>
        <w:t xml:space="preserve">Applicant and filer: Ravi Kiran Raju Yerra, sole inventor, filing pro se (no attorney, no customer number), small entity. Correspondence: 604 Wexford Dr, Celina, TX 75009, USA; yerraslife@gmail.com; +1-408-718-4217.</w:t>
      </w:r>
    </w:p>
    <w:p>
      <w:pPr>
        <w:pStyle w:val="Heading2"/>
        <w:keepNext/>
        <w:spacing w:after="120" w:before="200"/>
      </w:pPr>
      <w:r>
        <w:rPr>
          <w:rFonts w:ascii="Times New Roman" w:cs="Times New Roman" w:eastAsia="Times New Roman" w:hAnsi="Times New Roman"/>
          <w:b/>
          <w:bCs/>
          <w:color w:val="000000"/>
          <w:sz w:val="28"/>
          <w:szCs w:val="28"/>
        </w:rPr>
        <w:t xml:space="preserve">1. What is in this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73"/>
        <w:gridCol w:w="3303"/>
        <w:gridCol w:w="3084"/>
      </w:tblGrid>
      <w:tr>
        <w:trPr>
          <w:tblHeader/>
        </w:trPr>
        <w:tc>
          <w:tcPr>
            <w:tcW w:type="dxa" w:w="2973"/>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File</w:t>
            </w:r>
          </w:p>
        </w:tc>
        <w:tc>
          <w:tcPr>
            <w:tcW w:type="dxa" w:w="3303"/>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What it is</w:t>
            </w:r>
          </w:p>
        </w:tc>
        <w:tc>
          <w:tcPr>
            <w:tcW w:type="dxa" w:w="308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Goes to the USPTO?</w:t>
            </w:r>
          </w:p>
        </w:tc>
      </w:tr>
      <w:tr>
        <w:trPr>
          <w:tblHeader w:val="false"/>
        </w:trPr>
        <w:tc>
          <w:tcPr>
            <w:tcW w:type="dxa" w:w="297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specification.md and editable/specification.docx</w:t>
            </w:r>
          </w:p>
        </w:tc>
        <w:tc>
          <w:tcPr>
            <w:tcW w:type="dxa" w:w="33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specification: title, cross-reference, federally sponsored research statement, technical field, background, summary, brief description of the drawings, detailed description (paragraphs [0001] to [0112])</w:t>
            </w:r>
          </w:p>
        </w:tc>
        <w:tc>
          <w:tcPr>
            <w:tcW w:type="dxa" w:w="308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Yes, as part of the application body</w:t>
            </w:r>
          </w:p>
        </w:tc>
      </w:tr>
      <w:tr>
        <w:trPr>
          <w:tblHeader w:val="false"/>
        </w:trPr>
        <w:tc>
          <w:tcPr>
            <w:tcW w:type="dxa" w:w="297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claims.md and editable/claims.docx</w:t>
            </w:r>
          </w:p>
        </w:tc>
        <w:tc>
          <w:tcPr>
            <w:tcW w:type="dxa" w:w="33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Claims 1 to 20 (independent claims 1, 9, 14 and 19), followed by Appendix A (candidate additional claims, not filed) and Appendix B (practitioner notes with the reduction-to-practice status of each claim, not filed)</w:t>
            </w:r>
          </w:p>
        </w:tc>
        <w:tc>
          <w:tcPr>
            <w:tcW w:type="dxa" w:w="308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Claims 1 to 20 yes; the appendices no</w:t>
            </w:r>
          </w:p>
        </w:tc>
      </w:tr>
      <w:tr>
        <w:trPr>
          <w:tblHeader w:val="false"/>
        </w:trPr>
        <w:tc>
          <w:tcPr>
            <w:tcW w:type="dxa" w:w="297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abstract.md and editable/abstract.docx</w:t>
            </w:r>
          </w:p>
        </w:tc>
        <w:tc>
          <w:tcPr>
            <w:tcW w:type="dxa" w:w="33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abstract, 149 words</w:t>
            </w:r>
          </w:p>
        </w:tc>
        <w:tc>
          <w:tcPr>
            <w:tcW w:type="dxa" w:w="308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Yes</w:t>
            </w:r>
          </w:p>
        </w:tc>
      </w:tr>
      <w:tr>
        <w:trPr>
          <w:tblHeader w:val="false"/>
        </w:trPr>
        <w:tc>
          <w:tcPr>
            <w:tcW w:type="dxa" w:w="297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application-body.md and editable/application-body.docx</w:t>
            </w:r>
          </w:p>
        </w:tc>
        <w:tc>
          <w:tcPr>
            <w:tcW w:type="dxa" w:w="33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Specification, claims 1 to 20 and abstract in one DOCX in filing order, without the appendices. This is the file to upload.</w:t>
            </w:r>
          </w:p>
        </w:tc>
        <w:tc>
          <w:tcPr>
            <w:tcW w:type="dxa" w:w="308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Yes, this is the upload</w:t>
            </w:r>
          </w:p>
        </w:tc>
      </w:tr>
      <w:tr>
        <w:trPr>
          <w:tblHeader w:val="false"/>
        </w:trPr>
        <w:tc>
          <w:tcPr>
            <w:tcW w:type="dxa" w:w="297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drawings/drawings.pdf</w:t>
            </w:r>
          </w:p>
        </w:tc>
        <w:tc>
          <w:tcPr>
            <w:tcW w:type="dxa" w:w="33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FIG. 1 to FIG. 13 on thirteen US-Letter sheets (editable sources FIG-1.svg to FIG-13.svg alongside; FIG. 8A and FIG. 8B share one sheet)</w:t>
            </w:r>
          </w:p>
        </w:tc>
        <w:tc>
          <w:tcPr>
            <w:tcW w:type="dxa" w:w="308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Yes</w:t>
            </w:r>
          </w:p>
        </w:tc>
      </w:tr>
      <w:tr>
        <w:trPr>
          <w:tblHeader w:val="false"/>
        </w:trPr>
        <w:tc>
          <w:tcPr>
            <w:tcW w:type="dxa" w:w="297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application-data-sheet.md</w:t>
            </w:r>
          </w:p>
        </w:tc>
        <w:tc>
          <w:tcPr>
            <w:tcW w:type="dxa" w:w="33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Every value to enter in the web ADS or PTO/AIA/14</w:t>
            </w:r>
          </w:p>
        </w:tc>
        <w:tc>
          <w:tcPr>
            <w:tcW w:type="dxa" w:w="308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Yes, as the ADS</w:t>
            </w:r>
          </w:p>
        </w:tc>
      </w:tr>
      <w:tr>
        <w:trPr>
          <w:tblHeader w:val="false"/>
        </w:trPr>
        <w:tc>
          <w:tcPr>
            <w:tcW w:type="dxa" w:w="297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inventor-declaration.md</w:t>
            </w:r>
          </w:p>
        </w:tc>
        <w:tc>
          <w:tcPr>
            <w:tcW w:type="dxa" w:w="33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Content of PTO/AIA/01, which the inventor signs</w:t>
            </w:r>
          </w:p>
        </w:tc>
        <w:tc>
          <w:tcPr>
            <w:tcW w:type="dxa" w:w="308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Yes, as the signed PTO/AIA/01</w:t>
            </w:r>
          </w:p>
        </w:tc>
      </w:tr>
      <w:tr>
        <w:trPr>
          <w:tblHeader w:val="false"/>
        </w:trPr>
        <w:tc>
          <w:tcPr>
            <w:tcW w:type="dxa" w:w="297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ids-and-references.md</w:t>
            </w:r>
          </w:p>
        </w:tc>
        <w:tc>
          <w:tcPr>
            <w:tcW w:type="dxa" w:w="33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Content of PTO/SB/08a and 08b, the reference list, and the must-pull list</w:t>
            </w:r>
          </w:p>
        </w:tc>
        <w:tc>
          <w:tcPr>
            <w:tcW w:type="dxa" w:w="308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Yes, as the IDS plus copies of the non-patent literature</w:t>
            </w:r>
          </w:p>
        </w:tc>
      </w:tr>
      <w:tr>
        <w:trPr>
          <w:tblHeader w:val="false"/>
        </w:trPr>
        <w:tc>
          <w:tcPr>
            <w:tcW w:type="dxa" w:w="297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fee-worksheet.md</w:t>
            </w:r>
          </w:p>
        </w:tc>
        <w:tc>
          <w:tcPr>
            <w:tcW w:type="dxa" w:w="33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Itemized small entity fees</w:t>
            </w:r>
          </w:p>
        </w:tc>
        <w:tc>
          <w:tcPr>
            <w:tcW w:type="dxa" w:w="308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 used to check the Patent Center fee screen</w:t>
            </w:r>
          </w:p>
        </w:tc>
      </w:tr>
      <w:tr>
        <w:trPr>
          <w:tblHeader w:val="false"/>
        </w:trPr>
        <w:tc>
          <w:tcPr>
            <w:tcW w:type="dxa" w:w="297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FILING-INSTRUCTIONS.md</w:t>
            </w:r>
          </w:p>
        </w:tc>
        <w:tc>
          <w:tcPr>
            <w:tcW w:type="dxa" w:w="330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This document</w:t>
            </w:r>
          </w:p>
        </w:tc>
        <w:tc>
          <w:tcPr>
            <w:tcW w:type="dxa" w:w="308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2. Before opening Patent Center</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Read the application as it will be filed: editable/application-body.docx and drawings/drawings.pdf. The declaration states that the inventor reviewed the application; sign only after reading it.</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Decide the claim-count question: file the 20 claims as built (one excess-independent-claim fee of 240 USD for the fourth independent claim, claim 19; fee-worksheet.md sections 1 and 4), drop claim 19 and its dependent claim 20 to reach 18 claims and 3 independent claims at zero excess-claim fees (fee-worksheet.md section 4), or add Appendix A candidate claims (further fees and a probable restriction requirement; fee-worksheet.md section 5). This package is built for 20 claims with 4 independent claims; if the set is changed, rebuild the packages so that every count below is regenerated.</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Confirm small entity status still holds on the day of filing: no assignment, license or obligation to a non-small entity.</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Establish the earliest date on which the invention was publicly disclosed, used publicly or offered for sale (the product is live at admireveda.com). Under 35 U.S.C. 102(b)(1)(A) the inventor's own disclosure within one year before the filing date is not prior art against the application in the United States, but most other countries have no such grace period. File before the one-year anniversary of the earliest such date, and treat foreign protection as already limited by any public disclosure.</w:t>
      </w:r>
    </w:p>
    <w:p>
      <w:pPr>
        <w:tabs>
          <w:tab w:val="left" w:pos="540"/>
        </w:tabs>
        <w:spacing w:after="80" w:line="264"/>
        <w:ind w:left="540" w:hanging="54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Complete the must-pull items in ids-and-references.md section 6 if time allows; otherwise file the IDS with what is confirmed and supplement within three months.</w:t>
      </w:r>
    </w:p>
    <w:p>
      <w:pPr>
        <w:tabs>
          <w:tab w:val="left" w:pos="540"/>
        </w:tabs>
        <w:spacing w:after="80" w:line="264"/>
        <w:ind w:left="540" w:hanging="540"/>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Decide the nonpublication question (application-data-sheet.md section 5). The package leaves it unchecked.</w:t>
      </w:r>
    </w:p>
    <w:p>
      <w:pPr>
        <w:tabs>
          <w:tab w:val="left" w:pos="540"/>
        </w:tabs>
        <w:spacing w:after="80" w:line="264"/>
        <w:ind w:left="540" w:hanging="540"/>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Delete the review line from the document that will be filed: open editable/application-body.docx in Word, double-click the page header, delete the line "Prepared for Ravi Kiran Raju Yerra. Attorney review recommended before filing. Not legal advice.", close the header and save. This is the only edit the filed document needs. The same applies if the three separate DOCX files are uploaded instead of the combined body.</w:t>
      </w:r>
    </w:p>
    <w:p>
      <w:pPr>
        <w:pStyle w:val="Heading2"/>
        <w:keepNext/>
        <w:spacing w:after="120" w:before="200"/>
      </w:pPr>
      <w:r>
        <w:rPr>
          <w:rFonts w:ascii="Times New Roman" w:cs="Times New Roman" w:eastAsia="Times New Roman" w:hAnsi="Times New Roman"/>
          <w:b/>
          <w:bCs/>
          <w:color w:val="000000"/>
          <w:sz w:val="28"/>
          <w:szCs w:val="28"/>
        </w:rPr>
        <w:t xml:space="preserve">3. Create and verify a USPTO.gov account for Patent Center</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Go to the USPTO website and create a USPTO.gov account (MyUSPTO) using yerraslife@gmail.com. Turn on two-step authentication.</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Verify your identity for Patent Center. The USPTO uses an identity-verification provider (currently ID.me, online with a government ID and a selfie) or, as an alternative, a notarized paper identity verification form mailed to the USPTO. Online verification usually completes the same day; the paper route takes weeks. Verified status gives you the "Registered" Patent Center role, which lets you file, see the application after filing, receive notices and pay later fees. Unverified guest filing exists but is not suitable, because a guest cannot view the application afterwards.</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You are the applicant and the inventor, so no practitioner sponsorship is needed. Do not add anyone else as a sponsor or practitioner.</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Sign in to Patent Center and confirm you can open "New submission".</w:t>
      </w:r>
    </w:p>
    <w:p>
      <w:pPr>
        <w:pStyle w:val="Heading2"/>
        <w:keepNext/>
        <w:spacing w:after="120" w:before="200"/>
      </w:pPr>
      <w:r>
        <w:rPr>
          <w:rFonts w:ascii="Times New Roman" w:cs="Times New Roman" w:eastAsia="Times New Roman" w:hAnsi="Times New Roman"/>
          <w:b/>
          <w:bCs/>
          <w:color w:val="000000"/>
          <w:sz w:val="28"/>
          <w:szCs w:val="28"/>
        </w:rPr>
        <w:t xml:space="preserve">4. Documents to upload, in order</w:t>
      </w:r>
    </w:p>
    <w:p>
      <w:pPr>
        <w:keepLines w:val="false"/>
        <w:spacing w:after="160" w:line="276"/>
        <w:jc w:val="left"/>
      </w:pPr>
      <w:r>
        <w:rPr>
          <w:rFonts w:ascii="Times New Roman" w:cs="Times New Roman" w:eastAsia="Times New Roman" w:hAnsi="Times New Roman"/>
          <w:sz w:val="24"/>
          <w:szCs w:val="24"/>
        </w:rPr>
        <w:t xml:space="preserve">Prepare these files on your computer before starting the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197"/>
        <w:gridCol w:w="2636"/>
        <w:gridCol w:w="2636"/>
        <w:gridCol w:w="1191"/>
      </w:tblGrid>
      <w:tr>
        <w:trPr>
          <w:tblHeader/>
        </w:trPr>
        <w:tc>
          <w:tcPr>
            <w:tcW w:type="dxa" w:w="7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Order</w:t>
            </w:r>
          </w:p>
        </w:tc>
        <w:tc>
          <w:tcPr>
            <w:tcW w:type="dxa" w:w="2197"/>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Document</w:t>
            </w:r>
          </w:p>
        </w:tc>
        <w:tc>
          <w:tcPr>
            <w:tcW w:type="dxa" w:w="2636"/>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File</w:t>
            </w:r>
          </w:p>
        </w:tc>
        <w:tc>
          <w:tcPr>
            <w:tcW w:type="dxa" w:w="2636"/>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Patent Center document description</w:t>
            </w:r>
          </w:p>
        </w:tc>
        <w:tc>
          <w:tcPr>
            <w:tcW w:type="dxa" w:w="1191"/>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Format</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w:t>
            </w:r>
          </w:p>
        </w:tc>
        <w:tc>
          <w:tcPr>
            <w:tcW w:type="dxa" w:w="21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 body (specification, claims, abstract)</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editable/application-body.docx (review line removed)</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Specification, Claims, Abstract; Patent Center detects the three sections from the headings and asks you to confirm them</w:t>
            </w:r>
          </w:p>
        </w:tc>
        <w:tc>
          <w:tcPr>
            <w:tcW w:type="dxa" w:w="119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DOCX</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w:t>
            </w:r>
          </w:p>
        </w:tc>
        <w:tc>
          <w:tcPr>
            <w:tcW w:type="dxa" w:w="21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Drawings</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drawings/drawings.pdf</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Drawings (only black and white line drawings)</w:t>
            </w:r>
          </w:p>
        </w:tc>
        <w:tc>
          <w:tcPr>
            <w:tcW w:type="dxa" w:w="119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PDF, 13 sheets</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w:t>
            </w:r>
          </w:p>
        </w:tc>
        <w:tc>
          <w:tcPr>
            <w:tcW w:type="dxa" w:w="21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 Data Sheet</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Entered in the web ADS from application-data-sheet.md, or PTO/AIA/14 filled from it</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 Data Sheet</w:t>
            </w:r>
          </w:p>
        </w:tc>
        <w:tc>
          <w:tcPr>
            <w:tcW w:type="dxa" w:w="119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Web form, or the original fillable PDF</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4</w:t>
            </w:r>
          </w:p>
        </w:tc>
        <w:tc>
          <w:tcPr>
            <w:tcW w:type="dxa" w:w="21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Inventor's declaration</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PTO/AIA/01 completed and signed from inventor-declaration.md</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Oath or Declaration filed</w:t>
            </w:r>
          </w:p>
        </w:tc>
        <w:tc>
          <w:tcPr>
            <w:tcW w:type="dxa" w:w="119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PDF</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5</w:t>
            </w:r>
          </w:p>
        </w:tc>
        <w:tc>
          <w:tcPr>
            <w:tcW w:type="dxa" w:w="21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Information Disclosure Statement</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PTO/SB/08a and 08b completed from ids-and-references.md, or the Patent Center IDS web form</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Information Disclosure Statement (IDS)</w:t>
            </w:r>
          </w:p>
        </w:tc>
        <w:tc>
          <w:tcPr>
            <w:tcW w:type="dxa" w:w="119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Web form or PDF</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6</w:t>
            </w:r>
          </w:p>
        </w:tc>
        <w:tc>
          <w:tcPr>
            <w:tcW w:type="dxa" w:w="2197"/>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Copies of non-patent literature</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One PDF per item N1 to N17 in ids-and-references.md</w:t>
            </w:r>
          </w:p>
        </w:tc>
        <w:tc>
          <w:tcPr>
            <w:tcW w:type="dxa" w:w="263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 Patent Literature</w:t>
            </w:r>
          </w:p>
        </w:tc>
        <w:tc>
          <w:tcPr>
            <w:tcW w:type="dxa" w:w="119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PDF, one file per item</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DOCX versus PDF. The USPTO charges a non-DOCX surcharge (37 CFR 1.16(u); 172 USD small entity as recorded, verify current USPTO fee schedule at filing) when the specification, claims or abstract of a nonprovisional application are filed in a format other than DOCX. Upload the application body as DOCX to avoid it. Patent Center validates the DOCX, converts it, and shows the result; review the rendered pages before submitting, in particular the claim numbers 1 to 20, the paragraph numbers [0001] to [0112] and the figure references FIG. 1 to FIG. 13. If Patent Center flags a formatting warning, read it; warnings about fonts or tables are informational, errors must be corrected in Word and the file re-uploaded. After filing, download the USPTO-rendered PDF of the application from Patent Center and keep it with the DOCX. The drawings, declaration and IDS are filed as PDF; no surcharge applies to them.</w:t>
      </w:r>
    </w:p>
    <w:p>
      <w:pPr>
        <w:pStyle w:val="Heading2"/>
        <w:keepNext/>
        <w:spacing w:after="120" w:before="200"/>
      </w:pPr>
      <w:r>
        <w:rPr>
          <w:rFonts w:ascii="Times New Roman" w:cs="Times New Roman" w:eastAsia="Times New Roman" w:hAnsi="Times New Roman"/>
          <w:b/>
          <w:bCs/>
          <w:color w:val="000000"/>
          <w:sz w:val="28"/>
          <w:szCs w:val="28"/>
        </w:rPr>
        <w:t xml:space="preserve">5. Patent Center, step by step</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Sign in to Patent Center. Choose "New submission", then "Regular (utility, design, plant)" or the equivalent wording in the current interface, then application type "Utility" and filing type "Nonprovisional application under 35 U.S.C. 111(a)".</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Application Data Sheet: choose the web ADS. Enter every field from application-data-sheet.md: secrecy order no; inventor (given name Ravi Kiran Raju, family name Yerra, US residency, Celina, Texas, mailing address 604 Wexford Dr, Celina, TX 75009, US); correspondence (no customer number; name and address as above; yerraslife@gmail.com; 408-718-4217); title "Screen-Aware, Read-Only Task Guidance with On-Device Redaction and Tenant-Governed Data Egress"; small entity asserted; nonprovisional; utility; 13 drawing sheets; suggested figure 2; publication requests both unchecked; no representative; domestic benefit and foreign priority per the ADS document; access authorization left at the default; applicant is the inventor; no assignee; S-signature /Ravi Kiran Raju Yerra/.</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Upload documents: add editable/application-body.docx and confirm the section mapping (Specification, Claims, Abstract) that Patent Center proposes. Add drawings/drawings.pdf as Drawings. Add the signed PTO/AIA/01 as Oath or Declaration filed. Add the IDS (web form or SB/08 PDF) and one PDF per non-patent literature item.</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Fees: select entity status "Small". Check the fee lines against fee-worksheet.md: basic filing fee (electronic, small entity) 70, search fee 308, examination fee 352, no claims-over-20 fee (20 claims filed), independent claims in excess of 3 at 240 each for 1 claim (240), total 970 (as recorded; verify current USPTO fee schedule at filing). The independent-excess line must show exactly 1, and there must be no claims-over-20 line and no non-DOCX surcharge line. If the lines differ, go back and fix the cause before paying.</w:t>
      </w:r>
    </w:p>
    <w:p>
      <w:pPr>
        <w:tabs>
          <w:tab w:val="left" w:pos="540"/>
        </w:tabs>
        <w:spacing w:after="80" w:line="264"/>
        <w:ind w:left="540" w:hanging="54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Review the whole submission summary: inventor name, title, entity status, document list, fee total.</w:t>
      </w:r>
    </w:p>
    <w:p>
      <w:pPr>
        <w:tabs>
          <w:tab w:val="left" w:pos="540"/>
        </w:tabs>
        <w:spacing w:after="80" w:line="264"/>
        <w:ind w:left="540" w:hanging="540"/>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Submit and pay (credit or debit card, bank transfer, or deposit account).</w:t>
      </w:r>
    </w:p>
    <w:p>
      <w:pPr>
        <w:tabs>
          <w:tab w:val="left" w:pos="540"/>
        </w:tabs>
        <w:spacing w:after="80" w:line="264"/>
        <w:ind w:left="540" w:hanging="540"/>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Immediately save the Electronic Acknowledgement Receipt (EAR). It shows the application number (format 18/xxx,xxx for a nonprovisional filed in the current series; the series number depends on the filing date), the confirmation number (four digits, used together with the application number on all later papers), the filing date and the list of documents received. The application is "patent pending" from this moment and may be marked as such.</w:t>
      </w:r>
    </w:p>
    <w:p>
      <w:pPr>
        <w:pStyle w:val="Heading2"/>
        <w:keepNext/>
        <w:spacing w:after="120" w:before="200"/>
      </w:pPr>
      <w:r>
        <w:rPr>
          <w:rFonts w:ascii="Times New Roman" w:cs="Times New Roman" w:eastAsia="Times New Roman" w:hAnsi="Times New Roman"/>
          <w:b/>
          <w:bCs/>
          <w:color w:val="000000"/>
          <w:sz w:val="28"/>
          <w:szCs w:val="28"/>
        </w:rPr>
        <w:t xml:space="preserve">6. After submission</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Filing Receipt. The USPTO issues the official Filing Receipt some weeks after submission; it appears in Patent Center and is sent to the correspondence address. Check it line by line against the EAR and the ADS: inventor name, title, application number, confirmation number, filing date, entity status (should read small), total claims 20, independent claims 4, drawing sheets 13. Request correction in Patent Center if anything is wrong; errors in the Filing Receipt are corrected without fee when the USPTO made them.</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Foreign filing license. The Filing Receipt states whether a foreign filing license under 35 U.S.C. 184 is granted. Do not file in another country or under the PCT before the license is granted or six months have passed from the filing date.</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Notices. If something was missing or defective, a Notice to File Missing Parts or a Notice to File Corrected Application Papers sets a two-month period to fix it; respond within the period. With this package complete, none is expected.</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Correspondence. Office actions and notices arrive in Patent Center and, with e-Office Action opted in, by email notification. Each sets a response deadline; most Office actions allow three months, extendable to six with extension fees. Missing a deadline abandons the application.</w:t>
      </w:r>
    </w:p>
    <w:p>
      <w:pPr>
        <w:tabs>
          <w:tab w:val="left" w:pos="540"/>
        </w:tabs>
        <w:spacing w:after="80" w:line="264"/>
        <w:ind w:left="540" w:hanging="54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Publication. The application publishes about 18 months after the filing date unless a nonpublication request was made. Publication starts provisional rights (35 U.S.C. 154(d)).</w:t>
      </w:r>
    </w:p>
    <w:p>
      <w:pPr>
        <w:tabs>
          <w:tab w:val="left" w:pos="540"/>
        </w:tabs>
        <w:spacing w:after="80" w:line="264"/>
        <w:ind w:left="540" w:hanging="540"/>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Examination. A first Office action typically arrives one to three years after filing, depending on the art unit. The prioritized examination program (Track One, 37 CFR 1.102(e)) is available for an additional fee if a faster first action is wanted; it can be requested at filing or with a request for continued examination.</w:t>
      </w:r>
    </w:p>
    <w:p>
      <w:pPr>
        <w:pStyle w:val="Heading2"/>
        <w:keepNext/>
        <w:spacing w:after="120" w:before="200"/>
      </w:pPr>
      <w:r>
        <w:rPr>
          <w:rFonts w:ascii="Times New Roman" w:cs="Times New Roman" w:eastAsia="Times New Roman" w:hAnsi="Times New Roman"/>
          <w:b/>
          <w:bCs/>
          <w:color w:val="000000"/>
          <w:sz w:val="28"/>
          <w:szCs w:val="28"/>
        </w:rPr>
        <w:t xml:space="preserve">7.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61"/>
        <w:gridCol w:w="5299"/>
      </w:tblGrid>
      <w:tr>
        <w:trPr>
          <w:tblHeader/>
        </w:trPr>
        <w:tc>
          <w:tcPr>
            <w:tcW w:type="dxa" w:w="4061"/>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Date</w:t>
            </w:r>
          </w:p>
        </w:tc>
        <w:tc>
          <w:tcPr>
            <w:tcW w:type="dxa" w:w="5299"/>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What</w:t>
            </w:r>
          </w:p>
        </w:tc>
      </w:tr>
      <w:tr>
        <w:trPr>
          <w:tblHeader w:val="false"/>
        </w:trPr>
        <w:tc>
          <w:tcPr>
            <w:tcW w:type="dxa" w:w="40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 date</w:t>
            </w:r>
          </w:p>
        </w:tc>
        <w:tc>
          <w:tcPr>
            <w:tcW w:type="dxa" w:w="52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 number and confirmation number issued; "patent pending"</w:t>
            </w:r>
          </w:p>
        </w:tc>
      </w:tr>
      <w:tr>
        <w:trPr>
          <w:tblHeader w:val="false"/>
        </w:trPr>
        <w:tc>
          <w:tcPr>
            <w:tcW w:type="dxa" w:w="40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 date plus 3 months</w:t>
            </w:r>
          </w:p>
        </w:tc>
        <w:tc>
          <w:tcPr>
            <w:tcW w:type="dxa" w:w="52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Last day to file or supplement the IDS without fee or statement (37 CFR 1.97(b))</w:t>
            </w:r>
          </w:p>
        </w:tc>
      </w:tr>
      <w:tr>
        <w:trPr>
          <w:tblHeader w:val="false"/>
        </w:trPr>
        <w:tc>
          <w:tcPr>
            <w:tcW w:type="dxa" w:w="40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 date plus 12 months</w:t>
            </w:r>
          </w:p>
        </w:tc>
        <w:tc>
          <w:tcPr>
            <w:tcW w:type="dxa" w:w="52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Last day to file foreign applications or a PCT application claiming priority to this application under the Paris Convention (35 U.S.C. 119(a); PCT Article 8). A hard deadline; after it, foreign rights depend on each country's own rules and are generally lost once the application is published.</w:t>
            </w:r>
          </w:p>
        </w:tc>
      </w:tr>
      <w:tr>
        <w:trPr>
          <w:tblHeader w:val="false"/>
        </w:trPr>
        <w:tc>
          <w:tcPr>
            <w:tcW w:type="dxa" w:w="40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 date plus about 18 months</w:t>
            </w:r>
          </w:p>
        </w:tc>
        <w:tc>
          <w:tcPr>
            <w:tcW w:type="dxa" w:w="52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Publication of the application (unless a nonpublication request was made)</w:t>
            </w:r>
          </w:p>
        </w:tc>
      </w:tr>
      <w:tr>
        <w:trPr>
          <w:tblHeader w:val="false"/>
        </w:trPr>
        <w:tc>
          <w:tcPr>
            <w:tcW w:type="dxa" w:w="40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Each Office action</w:t>
            </w:r>
          </w:p>
        </w:tc>
        <w:tc>
          <w:tcPr>
            <w:tcW w:type="dxa" w:w="52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Response due within the period set, usually 3 months, extendable to 6 with fees</w:t>
            </w:r>
          </w:p>
        </w:tc>
      </w:tr>
      <w:tr>
        <w:trPr>
          <w:tblHeader w:val="false"/>
        </w:trPr>
        <w:tc>
          <w:tcPr>
            <w:tcW w:type="dxa" w:w="40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Notice of Allowance</w:t>
            </w:r>
          </w:p>
        </w:tc>
        <w:tc>
          <w:tcPr>
            <w:tcW w:type="dxa" w:w="52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Issue fee due within 3 months, not extendable</w:t>
            </w:r>
          </w:p>
        </w:tc>
      </w:tr>
      <w:tr>
        <w:trPr>
          <w:tblHeader w:val="false"/>
        </w:trPr>
        <w:tc>
          <w:tcPr>
            <w:tcW w:type="dxa" w:w="40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Patent issue date plus 3.5, 7.5 and 11.5 years</w:t>
            </w:r>
          </w:p>
        </w:tc>
        <w:tc>
          <w:tcPr>
            <w:tcW w:type="dxa" w:w="52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Maintenance fees</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8. If a provisional application is filed first</w:t>
      </w:r>
    </w:p>
    <w:p>
      <w:pPr>
        <w:keepLines w:val="false"/>
        <w:spacing w:after="160" w:line="276"/>
        <w:jc w:val="left"/>
      </w:pPr>
      <w:r>
        <w:rPr>
          <w:rFonts w:ascii="Times New Roman" w:cs="Times New Roman" w:eastAsia="Times New Roman" w:hAnsi="Times New Roman"/>
          <w:sz w:val="24"/>
          <w:szCs w:val="24"/>
        </w:rPr>
        <w:t xml:space="preserve">This standalone package claims no benefit. If you decide to file the provisional application in patent-package/final/provisional first and this nonprovisional later, do not file this package; file patent-package/final/utility-with-priority instead, which is identical except for the benefit claim. For reference, the benefit claim consists of exactly these entries:</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In the ADS, section "Domestic Benefit/National Stage Information": Prior application status "Pending"; Application number (this application) left blank; Continuity type "Claims benefit of provisional application" (35 U.S.C. 119(e)); Prior application number: the provisional application number from the provisional filing receipt (format 63/xxx,xxx); Filing date: the provisional application's filing date (YYYY-MM-DD).</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In the specification, replace the "Cross-Reference to Related Applications" text with: "This application claims the benefit of U.S. Provisional Application No. 63/xxx,xxx, filed YYYY-MM-DD." using the same two values.</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Timing: the nonprovisional application must be filed within twelve months of the provisional filing date (35 U.S.C. 119(e)(1)); the benefit claim must be in the ADS within the later of four months from the nonprovisional filing date or sixteen months from the provisional filing date (37 CFR 1.78(a)(4)). Entering it at filing satisfies both.</w:t>
      </w:r>
    </w:p>
    <w:p>
      <w:pPr>
        <w:pStyle w:val="Heading2"/>
        <w:keepNext/>
        <w:spacing w:after="120" w:before="200"/>
      </w:pPr>
      <w:r>
        <w:rPr>
          <w:rFonts w:ascii="Times New Roman" w:cs="Times New Roman" w:eastAsia="Times New Roman" w:hAnsi="Times New Roman"/>
          <w:b/>
          <w:bCs/>
          <w:color w:val="000000"/>
          <w:sz w:val="28"/>
          <w:szCs w:val="28"/>
        </w:rPr>
        <w:t xml:space="preserve">9. Mistakes to avoid</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Uploading claims.docx with Appendix A and Appendix B still attached. Upload editable/application-body.docx, which omits both, or delete the appendices first.</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Leaving the review line in the page header of the filed DOCX.</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Filing the application body as PDF (surcharge).</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Selecting the wrong entity status (micro is not available; large pays more than double).</w:t>
      </w:r>
    </w:p>
    <w:p>
      <w:pPr>
        <w:tabs>
          <w:tab w:val="left" w:pos="540"/>
        </w:tabs>
        <w:spacing w:after="80" w:line="264"/>
        <w:ind w:left="540" w:hanging="54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Signing the declaration before reading the final application, or having anyone other than the inventor sign it.</w:t>
      </w:r>
    </w:p>
    <w:p>
      <w:pPr>
        <w:tabs>
          <w:tab w:val="left" w:pos="540"/>
        </w:tabs>
        <w:spacing w:after="80" w:line="264"/>
        <w:ind w:left="540" w:hanging="540"/>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Omitting the signed declaration (surcharge and a notice to file it).</w:t>
      </w:r>
    </w:p>
    <w:p>
      <w:pPr>
        <w:tabs>
          <w:tab w:val="left" w:pos="540"/>
        </w:tabs>
        <w:spacing w:after="80" w:line="264"/>
        <w:ind w:left="540" w:hanging="540"/>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Entering the inventor name differently in the ADS and the declaration. It is "Ravi Kiran Raju" (given) and "Yerra" (family) in both.</w:t>
      </w:r>
    </w:p>
    <w:p>
      <w:pPr>
        <w:tabs>
          <w:tab w:val="left" w:pos="540"/>
        </w:tabs>
        <w:spacing w:after="80" w:line="264"/>
        <w:ind w:left="540" w:hanging="540"/>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Forgetting to download the Electronic Acknowledgement Receipt and, later, the Filing Receipt.</w:t>
      </w:r>
    </w:p>
    <w:p>
      <w:pPr>
        <w:tabs>
          <w:tab w:val="left" w:pos="540"/>
        </w:tabs>
        <w:spacing w:after="80" w:line="264"/>
        <w:ind w:left="540" w:hanging="540"/>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Letting the twelve-month foreign filing window pass without a decision.</w:t>
      </w:r>
    </w:p>
    <w:p>
      <w:pPr>
        <w:pStyle w:val="Heading2"/>
        <w:keepNext/>
        <w:spacing w:after="120" w:before="200"/>
      </w:pPr>
      <w:r>
        <w:rPr>
          <w:rFonts w:ascii="Times New Roman" w:cs="Times New Roman" w:eastAsia="Times New Roman" w:hAnsi="Times New Roman"/>
          <w:b/>
          <w:bCs/>
          <w:color w:val="000000"/>
          <w:sz w:val="28"/>
          <w:szCs w:val="28"/>
        </w:rPr>
        <w:t xml:space="preserve">10. Final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rPr>
          <w:tblHeader/>
        </w:trPr>
        <w:tc>
          <w:tcPr>
            <w:tcW w:type="dxa" w:w="7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Done</w:t>
            </w:r>
          </w:p>
        </w:tc>
        <w:tc>
          <w:tcPr>
            <w:tcW w:type="dxa" w:w="866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Item</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USPTO.gov account created and identity verified; Patent Center opens "New submission"</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application-body.docx read in full by the inventor; review line removed from its header</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drawings/drawings.pdf, 13 sheets, FIG. 1 to FIG. 13</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Web ADS entered from application-data-sheet.md (or PTO/AIA/14 filled, original fillable PDF)</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PTO/AIA/01 completed from inventor-declaration.md and signed by Ravi Kiran Raju Yerra</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IDS completed from ids-and-references.md; one PDF per non-patent literature item</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Entity status small; fee total matches fee-worksheet.md; no claims-over-20 line, independent-excess line shows 1 claim; no non-DOCX line</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Submitted; Electronic Acknowledgement Receipt saved; application number and confirmation number recorded</w:t>
            </w:r>
          </w:p>
        </w:tc>
      </w:tr>
      <w:tr>
        <w:trPr>
          <w:tblHeader w:val="false"/>
        </w:trPr>
        <w:tc>
          <w:tcPr>
            <w:tcW w:type="dxa" w:w="7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86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Calendar entries made: IDS window, 12-month foreign filing deadline, Filing Receipt check</w:t>
            </w:r>
          </w:p>
        </w:tc>
      </w:tr>
    </w:tbl>
    <w:p>
      <w:pPr>
        <w:spacing w:after="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8"/>
        <w:szCs w:val="18"/>
      </w:rPr>
      <w:t xml:space="preserve">Prepared for Ravi Kiran Raju Yerra. Attorney review recommended before filing.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Filing instructions: nonprovisional utility application (standalone, no benefit claim)</dc:title>
  <dc:creator>Ravi Kiran Raju Yerra</dc:creator>
  <dc:description>Prepared for Ravi Kiran Raju Yerra. Attorney review recommended before filing. Not legal advice.</dc:description>
  <cp:lastModifiedBy>Un-named</cp:lastModifiedBy>
  <cp:revision>1</cp:revision>
  <dcterms:created xsi:type="dcterms:W3CDTF">2026-10-28T18:43:29.959Z</dcterms:created>
  <dcterms:modified xsi:type="dcterms:W3CDTF">2026-10-28T18:43:29.961Z</dcterms:modified>
</cp:coreProperties>
</file>

<file path=docProps/custom.xml><?xml version="1.0" encoding="utf-8"?>
<Properties xmlns="http://schemas.openxmlformats.org/officeDocument/2006/custom-properties" xmlns:vt="http://schemas.openxmlformats.org/officeDocument/2006/docPropsVTypes"/>
</file>