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SPECIFICATION</w:t>
      </w: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Not applicable. This application does not claim the benefit of any earlier application.</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reuse de-identified workflow templates distilled from completed guided sessions, plan a large goal as a map of tasks whose step-level instructions are expanded only when each task becomes actionable, and tolerate transient unreadable frames in a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 There is a further need, for goals too large to be one workflow, to plan the whole effort once as an ordered set of verifiable tasks while deferring the step-level instructions of each task until the task is actually reached, so that later tasks are planned with what was learned during earlier ones and against the interface as it then is, and to decide deterministically whether a model-generated decomposition is a genuine multi-task effort at all. Finally, a system that samples the display repeatedly while a human performs a non-instant action must distinguish a frame that is momentarily unreadable because the display is in transition from a model that has failed, so that a stronger and more costly model is not invoked on display noise.</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 In a sixth aspect, a project engine plans a large goal once, by the planning model, into an ordered, dependency-annotated project map of task descriptors and a project end-state, each task descriptor carrying a task goal and a done-state describing display content that will be visible when the task is complete, and no step-level instruction; a deterministic, model-free breakdown gate refuses a decomposition that is not a genuine multi-task effort; the next task is selected from the dependency graph; the steps of the selected task only are generated just in time, seeded with a project-scoped forward-learnings ledger of deduplicated generalized facts; each expanded task runs as the read-only guidance loop of the first aspect; a verified completion marks the task done, records its outcome and writes to the ledger; a further request arriving mid-project is deduplicated by token-set similarity and placed in the dependency order without ever closing a cycle; and project-level reports roll the verified steps of every task up to the project end-state. In a seventh aspect, in the continuously sampled guidance loop, a navigation record that identifies neither an instruction nor an observation is counted on a per-session consecutive streak and, while the streak is below a tolerance, the stronger model is withheld and no incident is raised; the stronger model escalates only when the streak reaches the tolerance, a readable frame resets the streak, and a user-requested deep read escalates regardless.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 FIG. 10 is a block diagram of a multi-task project engine arrangement 1000, showing the planning of a project goal into a task map with per-task done-states and a project end-state, dependency-gated selection of the next task, just-in-time expansion of that task's steps seeded by a forward-learnings ledger, the read-only guidance loop of FIG. 2 run per task, and the write-back to the ledger on verified task completion. FIG. 11 is a flowchart of a deterministic breakdown gate 1100 applied to a model-generated decomposition before it is persisted as a project. FIG. 12 is a flowchart of a mid-project task injection flow 1200 with similarity-based deduplication, dependency-aware placement and a cycle probe. FIG. 13 is a flowchart of a transient-unreadable-frame tolerance 1300 applied to model escalation in the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 The immediate re-submission described in this paragraph applies to a one-off read, that is, a read requested by the user or performed once for a frame outside the continuous loop. In the continuously sampled watch loop the re-submission is further gated by the transient-unreadable-frame tolerance described with reference to FIG. 13, under which a single unreadable frame does not by itself cause escalation.</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In one implementation the adaptation pass takes the form of supplying the serving-tier template to the planning model together with a directive to follow the template as the backbone of the plan and to adapt it only where the current environment or the current frame differs; a seeding-tier template is supplied with a directive to treat it as a similar proven workflow to adapt. In that implementation each serve is counted on the template so that a template's usefulness is observable, and the capture of paragraphs [0073] to [0076] runs at the end of every guided session, so that the store grows from use without any separate curation step.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p>
      <w:pPr>
        <w:pStyle w:val="Heading3"/>
        <w:keepNext/>
        <w:spacing w:after="120" w:before="200"/>
      </w:pPr>
      <w:r>
        <w:rPr>
          <w:rFonts w:ascii="Times New Roman" w:cs="Times New Roman" w:eastAsia="Times New Roman" w:hAnsi="Times New Roman"/>
          <w:b/>
          <w:bCs/>
          <w:color w:val="000000"/>
          <w:sz w:val="26"/>
          <w:szCs w:val="26"/>
        </w:rPr>
        <w:t xml:space="preserve">Multi-task project guidance (FIG. 10)</w:t>
      </w:r>
    </w:p>
    <w:p>
      <w:pPr>
        <w:keepLines w:val="false"/>
        <w:spacing w:after="160" w:line="276"/>
        <w:jc w:val="both"/>
      </w:pPr>
      <w:r>
        <w:rPr>
          <w:rFonts w:ascii="Times New Roman" w:cs="Times New Roman" w:eastAsia="Times New Roman" w:hAnsi="Times New Roman"/>
          <w:sz w:val="24"/>
          <w:szCs w:val="24"/>
        </w:rPr>
        <w:t xml:space="preserve">[0090] The loop of FIG. 2 guides one task, that is, one workflow that a person completes on its own, from a single ordered plan of steps. Many goals are larger than one workflow: rolling out a service-management platform, migrating a tenant to a new identity provider, or standing up a regulated environment each comprise several distinct workflows that must be done in an order, that depend on one another, and that together must reach a stated end. Planning such a goal as one flat list of steps fails in two ways. The list is generated before any of the work is done, so the later steps are planned against an interface, a set of names and a set of facts that the earlier work will change; and the list is too long for a human performer to hold, so the performer loses the sense of where the effort stands. Referring to FIG. 10, a project engine arrangement 1000 addresses both failures by planning in two tiers and expanding the lower tier only when it is needed.</w:t>
      </w:r>
    </w:p>
    <w:p>
      <w:pPr>
        <w:keepLines w:val="false"/>
        <w:spacing w:after="160" w:line="276"/>
        <w:jc w:val="both"/>
      </w:pPr>
      <w:r>
        <w:rPr>
          <w:rFonts w:ascii="Times New Roman" w:cs="Times New Roman" w:eastAsia="Times New Roman" w:hAnsi="Times New Roman"/>
          <w:sz w:val="24"/>
          <w:szCs w:val="24"/>
        </w:rPr>
        <w:t xml:space="preserve">[0091] A project goal 1002 stated by the user is transmitted, after on-device cleaning by the policy-enforcement module 128, to a map planner 1004 of the planning module 152. The map planner 1004 prompts the planning model 174 once, at the level of workstreams rather than clicks, to return a project map 1006 comprising an ordered plurality of task descriptors 1008 and a project end-state 1016. Each task descriptor 1008 comprises a task goal 1010, being one sentence stating what that task achieves; a done-state 1012, being a statement of display content that will be visible when the task is complete; and a set of dependencies 1014, being references to the earlier task descriptors that must be in a done state before this task can begin, which may be empty. The project end-state 1016 comprises one sentence stating what is true when the whole project is complete and a short list of concrete checks that must all hold at the end. The map planner is instructed that one workflow is one task, that the task descriptors must together reach the end-state with no gap and nothing extra, that a goal which is in truth a single workflow is to be returned as exactly one task rather than padded into several, and that no step-level instruction is to be produced at this tier. The project map 1006 therefore contains no instruction to click, type or run anything; it contains only what each task achieves, how its completion will be visible, and what it depends on. The map planner may also return a short project name, and may decline a goal it must not help with, in which case no project is created.</w:t>
      </w:r>
    </w:p>
    <w:p>
      <w:pPr>
        <w:keepLines w:val="false"/>
        <w:spacing w:after="160" w:line="276"/>
        <w:jc w:val="both"/>
      </w:pPr>
      <w:r>
        <w:rPr>
          <w:rFonts w:ascii="Times New Roman" w:cs="Times New Roman" w:eastAsia="Times New Roman" w:hAnsi="Times New Roman"/>
          <w:sz w:val="24"/>
          <w:szCs w:val="24"/>
        </w:rPr>
        <w:t xml:space="preserve">[0092] Before the project map 1006 is persisted, a breakdown gate 1018, described with reference to FIG. 11, decides deterministically and without any model call whether the decomposition is a genuine multi-task effort of real, distinct, verifiable tasks. A map that fails the gate is not persisted; the user is returned to single-task guidance with a suggested goal, which in one embodiment is the task goal of the first returned task descriptor. A map that passes is written to a project store 1020 together with an initially empty forward-learnings ledger 1026 described in paragraph [0095]. Dependencies returned by the planner as positions in the returned list are remapped to the persistent identifiers of the stored task descriptors at this time. Each task descriptor is stored with a state selected from pending, active, done and rerun, with an order, with a flag recording whether its steps have been expanded, with a reference to the guided session that expands it, and with fields for its outcome and telemetry; the allowed state transitions are pending to active, active to done or back to pending, done to rerun, and rerun to active or done, and a transition outside this set is refused. The project's own state is derived from its task descriptors rather than stored independently: planning while no task has left the pending state, active once any has, and done when every task descriptor is done.</w:t>
      </w:r>
    </w:p>
    <w:p>
      <w:pPr>
        <w:keepLines w:val="false"/>
        <w:spacing w:after="160" w:line="276"/>
        <w:jc w:val="both"/>
      </w:pPr>
      <w:r>
        <w:rPr>
          <w:rFonts w:ascii="Times New Roman" w:cs="Times New Roman" w:eastAsia="Times New Roman" w:hAnsi="Times New Roman"/>
          <w:sz w:val="24"/>
          <w:szCs w:val="24"/>
        </w:rPr>
        <w:t xml:space="preserve">[0093] A next-task selector 1022 selects, from the project map, the task descriptor to guide next. The selector considers the task descriptors in the pending state in their stored order and returns the lowest-ordered one whose dependencies 1014 are each in the done state. The selector also computes the set of every pending task descriptor whose dependencies are all done, so that the presentation layer 132 can offer the user both the recommended next task and any other independent task that is ready now; the user may pick any ready task, but never one whose dependencies are unmet. When no pending task descriptor has its dependencies met, the selector returns nothing, which is the case either when every task is done or when the remaining tasks are blocked on one that is in progress.</w:t>
      </w:r>
    </w:p>
    <w:p>
      <w:pPr>
        <w:keepLines w:val="false"/>
        <w:spacing w:after="160" w:line="276"/>
        <w:jc w:val="both"/>
      </w:pPr>
      <w:r>
        <w:rPr>
          <w:rFonts w:ascii="Times New Roman" w:cs="Times New Roman" w:eastAsia="Times New Roman" w:hAnsi="Times New Roman"/>
          <w:sz w:val="24"/>
          <w:szCs w:val="24"/>
        </w:rPr>
        <w:t xml:space="preserve">[0094] A just-in-time expander 1024 generates the steps of the selected task, and only of the selected task, when the task becomes actionable and not before. The expander invokes the planning module 152 for the task goal 1010 of the selected task descriptor as the goal of an ordinary single-task plan, so that the result is an ordered plan of steps of the kind described in paragraph [0033], each step carrying its planner-generated visible-when-done condition, each passed through the security gate 162, and each eligible for the template matcher 168 of FIG. 6. The expander supplies the planning model, in addition to the task goal, with the contents of the forward-learnings ledger 1026 under a directive to treat them as current, verified facts that take precedence over the model's own prior knowledge. The resulting plan is written into a new guided session 1028 that is linked to the task descriptor, the task descriptor is marked expanded and moved to the active state, and the guided session 1028 then runs as the loop 200 of FIG. 2 in every respect: frames are captured and redacted on the device, one instruction is presented at a time, no input is injected, and each step advances only when a later redacted frame shows its visible-when-done condition satisfied. In one embodiment the done-state 1012 of the task descriptor is supplied to the guided session as the task-level verification target, so that the navigation module 154 reports the task done only when a redacted frame shows the done-state satisfied, in addition to the per-step visible-when-done conditions; in another embodiment the task is treated as complete when the guided session is finalized with its steps confirmed, and the done-state 1012 is carried into the project report of paragraph [0098] as the statement against which the task's outcome is read. Because expansion is deferred, the steps of task N are planned against the interface as it exists after tasks one to N minus one have been performed, and the performer is shown one task's worth of steps at a time.</w:t>
      </w:r>
    </w:p>
    <w:p>
      <w:pPr>
        <w:keepLines w:val="false"/>
        <w:spacing w:after="160" w:line="276"/>
        <w:jc w:val="both"/>
      </w:pPr>
      <w:r>
        <w:rPr>
          <w:rFonts w:ascii="Times New Roman" w:cs="Times New Roman" w:eastAsia="Times New Roman" w:hAnsi="Times New Roman"/>
          <w:sz w:val="24"/>
          <w:szCs w:val="24"/>
        </w:rPr>
        <w:t xml:space="preserve">[0095] The forward-learnings ledger 1026 is a project-scoped, ordered list of generalized facts, each stored with the task descriptor that was its source. Two write paths feed it, shown together as ledger write-back 1032. First, when the expander 1024 plans a task, the planning model is asked to flag, in one line, any generalized learning it formed about the tool or flow in use that differs from older knowledge (for example that an export control has moved under a settings menu in the current version); such a learning is appended at that time so that it is available to the very next expansion. Second, when a task reaches completion as described in paragraph [0096], facts confirmed during its guided session, in some embodiments including the discrepancy indication of step 234 that records where a named control was actually found, are appended. Every append is deduplicated by a normalized comparison of the fact text, so that a fact learned twice is stored once; the ledger is bounded to a fixed number of most recent entries so that it cannot grow without limit; and an empty fact is ignored. The ledger is distinct from the workflow templates of FIG. 6 in scope and in lifetime: a template is distilled from a whole completed session, is held by a tenant or by the shared store, and is matched to other users' later goals, whereas the ledger holds facts within one project for the benefit of that project's own later tasks and ends with the project. Text written to the ledger passes through the same stored-text scrub as every other persisted text (paragraph [0055]).</w:t>
      </w:r>
    </w:p>
    <w:p>
      <w:pPr>
        <w:keepLines w:val="false"/>
        <w:spacing w:after="160" w:line="276"/>
        <w:jc w:val="both"/>
      </w:pPr>
      <w:r>
        <w:rPr>
          <w:rFonts w:ascii="Times New Roman" w:cs="Times New Roman" w:eastAsia="Times New Roman" w:hAnsi="Times New Roman"/>
          <w:sz w:val="24"/>
          <w:szCs w:val="24"/>
        </w:rPr>
        <w:t xml:space="preserve">[0096] Task completion 1030 closes the loop for one task. When the guided session 1028 that expands a task descriptor is finalized, the project engine locates the task descriptor by its session reference, marks it done if its state permits that transition, records on the task descriptor an outcome comprising at least the number of steps whose visible-when-done conditions were identified as satisfied, the total number of steps and the session summary, records telemetry describing how the task was planned and guided (for example whether a critique pass or a stronger model was used and how long the task took), and performs the ledger write-back 1032. Marking the task done makes its dependents eligible in the next-task selector 1022, so the user is immediately shown the next actionable task or the set of tasks that are ready. A task whose session ends without every step confirmed is not marked done; it stays active and can be resumed or returned to pending, and a done task may be moved to the rerun state and expanded again, which produces a fresh plan from the ledger as it then stands.</w:t>
      </w:r>
    </w:p>
    <w:p>
      <w:pPr>
        <w:keepLines w:val="false"/>
        <w:spacing w:after="160" w:line="276"/>
        <w:jc w:val="both"/>
      </w:pPr>
      <w:r>
        <w:rPr>
          <w:rFonts w:ascii="Times New Roman" w:cs="Times New Roman" w:eastAsia="Times New Roman" w:hAnsi="Times New Roman"/>
          <w:sz w:val="24"/>
          <w:szCs w:val="24"/>
        </w:rPr>
        <w:t xml:space="preserve">[0097] A project completion check 1034 declares the project complete only when every task descriptor is in the done state. In the embodiment in which the done-state 1012 is supplied to the guided session as a verification target, the project end-state 1016 is additionally verified: the final redacted frame of the last task, or a frame captured on request, is submitted with the end-state checks to the navigation module 154, and the project is declared complete only when the frame shows the end-state satisfied; otherwise the unmet checks are reported and the user may inject a task (FIG. 12) to meet them. The project engine never marks a task or a project done on the strength of the plan alone; the state of the display, as read from redacted frames, remains the oracle at both tiers.</w:t>
      </w:r>
    </w:p>
    <w:p>
      <w:pPr>
        <w:keepLines w:val="false"/>
        <w:spacing w:after="160" w:line="276"/>
        <w:jc w:val="both"/>
      </w:pPr>
      <w:r>
        <w:rPr>
          <w:rFonts w:ascii="Times New Roman" w:cs="Times New Roman" w:eastAsia="Times New Roman" w:hAnsi="Times New Roman"/>
          <w:sz w:val="24"/>
          <w:szCs w:val="24"/>
        </w:rPr>
        <w:t xml:space="preserve">[0098] A project report generator 1036 produces, on demand, a report that aggregates the guided sessions of all task descriptors of a project. In a success report, for each task descriptor in the done state, the generator lists the task's done-state 1012, its recorded outcome, and the steps of its guided session whose visible-when-done conditions were identified as satisfied, each with the condition that confirmed it, and rolls these up under the project end-state 1016 and its checks; steps not confirmed and tasks not done are listed by name and state only, consistent with paragraph [0085]. In a security report, the generator lists, per task, the steps annotated by the security gate 162 as destructive together with their reasons, and every flag raised during the task's guided session. In an issues report, the generator lists the task descriptors not in the done state with their states and the flags recorded for them. The generator is a pure aggregation over stored artifacts and makes no model call; the report is rendered in the same style as the session report of paragraph [0085] and is subject to the same screenshot-evidence setting 514 and encryption at rest.</w:t>
      </w:r>
    </w:p>
    <w:p>
      <w:pPr>
        <w:keepLines w:val="false"/>
        <w:spacing w:after="160" w:line="276"/>
        <w:jc w:val="both"/>
      </w:pPr>
      <w:r>
        <w:rPr>
          <w:rFonts w:ascii="Times New Roman" w:cs="Times New Roman" w:eastAsia="Times New Roman" w:hAnsi="Times New Roman"/>
          <w:sz w:val="24"/>
          <w:szCs w:val="24"/>
        </w:rPr>
        <w:t xml:space="preserve">[0099] Mid-project injection 1038, described with reference to FIG. 12, allows a request that arises while a task is active to be added to the project map without creating a duplicate task and without breaking the dependency order. It is the task-tier counterpart of the step-tier prerequisite re-targeting of step 230.</w:t>
      </w:r>
    </w:p>
    <w:p>
      <w:pPr>
        <w:keepLines w:val="false"/>
        <w:spacing w:after="160" w:line="276"/>
        <w:jc w:val="both"/>
      </w:pPr>
      <w:r>
        <w:rPr>
          <w:rFonts w:ascii="Times New Roman" w:cs="Times New Roman" w:eastAsia="Times New Roman" w:hAnsi="Times New Roman"/>
          <w:sz w:val="24"/>
          <w:szCs w:val="24"/>
        </w:rPr>
        <w:t xml:space="preserve">[0100] Guidance depth. In some embodiments the project engine is reachable only at a deep guidance depth, while a standard depth provides single-task guidance alone, and a depth resolver 1040 resolves the effective depth for a user from a single rule set. For an individual user the depth follows the user's subscription tier. For a member of a tenant, a platform operator sets a per-tenant ceiling, a tenant administrator assigns a depth to each seat pool of the tenant, and the resolver clamps the pool assignment to the ceiling, so that a tenant administrator can distribute depth within the operator's grant but can never grant beyond it; a pool with no assignment receives the ceiling itself. The deep depth also removes a cap on the number of tasks a user may have open at once. A user below the deep depth who states a goal that is in truth a project is shown a choice to upgrade or to shorten the goal to a single task that can start now, never a project. The resolver is a pure function of the tier, membership, ceiling and pool depth, which makes the entitlement decision reproducible and auditable.</w:t>
      </w:r>
    </w:p>
    <w:p>
      <w:pPr>
        <w:keepLines w:val="false"/>
        <w:spacing w:after="160" w:line="276"/>
        <w:jc w:val="both"/>
      </w:pPr>
      <w:r>
        <w:rPr>
          <w:rFonts w:ascii="Times New Roman" w:cs="Times New Roman" w:eastAsia="Times New Roman" w:hAnsi="Times New Roman"/>
          <w:sz w:val="24"/>
          <w:szCs w:val="24"/>
        </w:rPr>
        <w:t xml:space="preserve">[0101] Deepened planning. In some embodiments the plan of steps generated by the planning module 152, for a single task or for a task expanded by the expander 1024, is hardened by a second, text-only critique pass 1042 that runs when the goal is judged to branch or to be capable of failing (for example a cross-system handoff, a verification, a sign-in, an install or a configuration). The critique pass receives the draft plan and is asked to add the missing prerequisite, the on-screen fork, the recovery for a step that can fail, a value the user may not have, and any loop. Its output replaces the draft only under a monotone no-degrade acceptance rule: the hardened plan must be a real plan that is not a refusal and that contains at least as many steps as the draft; otherwise the draft is kept. Whether the critique pass ran and whether its output was accepted are recorded as telemetry on the session and, for a project task, on the task descriptor, separately from whether a stronger model was used, so that the operator can see that deep planning actually happened. The critique pass is skipped for a plain linear task, so that it adds no cost where it adds no value.</w:t>
      </w:r>
    </w:p>
    <w:p>
      <w:pPr>
        <w:pStyle w:val="Heading3"/>
        <w:keepNext/>
        <w:spacing w:after="120" w:before="200"/>
      </w:pPr>
      <w:r>
        <w:rPr>
          <w:rFonts w:ascii="Times New Roman" w:cs="Times New Roman" w:eastAsia="Times New Roman" w:hAnsi="Times New Roman"/>
          <w:b/>
          <w:bCs/>
          <w:color w:val="000000"/>
          <w:sz w:val="26"/>
          <w:szCs w:val="26"/>
        </w:rPr>
        <w:t xml:space="preserve">Deterministic breakdown gate (FIG. 11)</w:t>
      </w:r>
    </w:p>
    <w:p>
      <w:pPr>
        <w:keepLines w:val="false"/>
        <w:spacing w:after="160" w:line="276"/>
        <w:jc w:val="both"/>
      </w:pPr>
      <w:r>
        <w:rPr>
          <w:rFonts w:ascii="Times New Roman" w:cs="Times New Roman" w:eastAsia="Times New Roman" w:hAnsi="Times New Roman"/>
          <w:sz w:val="24"/>
          <w:szCs w:val="24"/>
        </w:rPr>
        <w:t xml:space="preserve">[0102] Referring to FIG. 11, the breakdown gate 1100 (corresponding to 1018) receives at 1102 the proposed breakdown returned by the map planner 1004, being the task descriptors and the project end-state, and decides without invoking any machine-learning model whether it may become a project. The gate embodies a policy: a task is one verifiable workflow; a task whose completion cannot be confirmed from the display is not a task; and a plan cannot be padded into a project by filler or by restatement. Every check is run in full rather than short-circuited, so that the caller is shown every problem at once.</w:t>
      </w:r>
    </w:p>
    <w:p>
      <w:pPr>
        <w:keepLines w:val="false"/>
        <w:spacing w:after="160" w:line="276"/>
        <w:jc w:val="both"/>
      </w:pPr>
      <w:r>
        <w:rPr>
          <w:rFonts w:ascii="Times New Roman" w:cs="Times New Roman" w:eastAsia="Times New Roman" w:hAnsi="Times New Roman"/>
          <w:sz w:val="24"/>
          <w:szCs w:val="24"/>
        </w:rPr>
        <w:t xml:space="preserve">[0103] At 1104 a real-task test is applied to each task descriptor: a descriptor is real only when it has an aim, being a non-empty task goal or title, and a non-empty done-state 1012. Both are required; a descriptor with an aim but no done-state is a filler, and a descriptor with a done-state but no aim is not a task. At 1106 the identifying label of each descriptor, being its task goal or, failing that, its title, is normalized by lowercasing, trimming and collapsing internal whitespace, and descriptors whose normalized labels are equal are collapsed to one for counting, so that two restatements of the same work cannot count twice. At decision 1108 the gate requires at least two distinct real task descriptors; when fewer remain, the breakdown is, at 1110, returned to the user as a single task with a suggested goal, because one workflow is one task and never a project. At 1112 every dependency reference must resolve to a task descriptor in the set; at 1114 the dependency graph must be acyclic, which the gate determines by a three-color depth-first search that reports the members of any cycle, including a self-dependency; and at 1116 the project end-state must be defined, that is, its done sentence must be non-empty, because a project whose completion is undefined cannot be confirmed. Any failing check is an error, and at 1118 the gate rejects the breakdown with every error named; the breakdown is not persisted and the map planner is not re-run automatically. When no error is found the breakdown is accepted at 1120 and persisted as described in paragraph [0092]. A missing project goal text is a warning only.</w:t>
      </w:r>
    </w:p>
    <w:p>
      <w:pPr>
        <w:keepLines w:val="false"/>
        <w:spacing w:after="160" w:line="276"/>
        <w:jc w:val="both"/>
      </w:pPr>
      <w:r>
        <w:rPr>
          <w:rFonts w:ascii="Times New Roman" w:cs="Times New Roman" w:eastAsia="Times New Roman" w:hAnsi="Times New Roman"/>
          <w:sz w:val="24"/>
          <w:szCs w:val="24"/>
        </w:rPr>
        <w:t xml:space="preserve">[0104] The gate is deliberately asymmetric. Over-splitting, that is, presenting a single workflow or a padded list as a project, is an error that the gate refuses. Under-splitting, that is, a single task whose expanded plan carries more steps than a threshold (in one embodiment twenty), produces at 1122 an advisory indication only, which prompts the user or the planner to reconsider whether the task is a project; the gate never divides a task automatically, because a long linear procedure is legitimately one task and an automatic division would manufacture exactly the false project the gate exists to prevent. The thresholds and the normalization are fixed, named rules, so the gate's verdict is explainable and reproducible.</w:t>
      </w:r>
    </w:p>
    <w:p>
      <w:pPr>
        <w:pStyle w:val="Heading3"/>
        <w:keepNext/>
        <w:spacing w:after="120" w:before="200"/>
      </w:pPr>
      <w:r>
        <w:rPr>
          <w:rFonts w:ascii="Times New Roman" w:cs="Times New Roman" w:eastAsia="Times New Roman" w:hAnsi="Times New Roman"/>
          <w:b/>
          <w:bCs/>
          <w:color w:val="000000"/>
          <w:sz w:val="26"/>
          <w:szCs w:val="26"/>
        </w:rPr>
        <w:t xml:space="preserve">Mid-project task injection (FIG. 12)</w:t>
      </w:r>
    </w:p>
    <w:p>
      <w:pPr>
        <w:keepLines w:val="false"/>
        <w:spacing w:after="160" w:line="276"/>
        <w:jc w:val="both"/>
      </w:pPr>
      <w:r>
        <w:rPr>
          <w:rFonts w:ascii="Times New Roman" w:cs="Times New Roman" w:eastAsia="Times New Roman" w:hAnsi="Times New Roman"/>
          <w:sz w:val="24"/>
          <w:szCs w:val="24"/>
        </w:rPr>
        <w:t xml:space="preserve">[0105] Referring to FIG. 12, the injection flow 1200 (corresponding to 1038) begins at 1202 when a further request from the user arrives while a task of the project is active, for example "we also need to enable audit logging". The semantic question of whether the request is the same work as a planned task is answered deterministically. At 1204 the request and the task goal and title of each task descriptor are each reduced to a set of normalized word tokens, by lowercasing, replacing punctuation by spaces and splitting on whitespace, and a token-set similarity, in one embodiment the Jaccard index of the two sets, is computed between the request and the better of each descriptor's goal and title. An empty token set on either side yields zero similarity. At decision 1206 the best-matching descriptor is compared with a threshold (in one embodiment 0.6). When the threshold is met, at 1208 the request is folded into the existing task descriptor and no new descriptor is created, so that a mid-project request cannot pad the project with a duplicate; the user is told which planned task already covers the request.</w:t>
      </w:r>
    </w:p>
    <w:p>
      <w:pPr>
        <w:keepLines w:val="false"/>
        <w:spacing w:after="160" w:line="276"/>
        <w:jc w:val="both"/>
      </w:pPr>
      <w:r>
        <w:rPr>
          <w:rFonts w:ascii="Times New Roman" w:cs="Times New Roman" w:eastAsia="Times New Roman" w:hAnsi="Times New Roman"/>
          <w:sz w:val="24"/>
          <w:szCs w:val="24"/>
        </w:rPr>
        <w:t xml:space="preserve">[0106] When no descriptor meets the threshold, a new task descriptor 1210 is created from the request and a placement selector 1212 decides where it belongs in the ordered map, according to what the request says about its relation to the planned tasks. When the request names a task that it blocks, that is, the new task is a prerequisite of a named task, placement 1214 inserts the new descriptor immediately before the named task, adds the new descriptor to the named task's dependencies so that the named task now waits for it, and carries the named task's own upstream dependencies over to the new descriptor so that the prerequisite still runs after them; a dependency that would reference the new descriptor itself or the named task is never carried. When the request names tasks on which it depends, placement 1216 inserts the new descriptor immediately after the latest of those tasks in the stored order and records those tasks as its dependencies. When the request names neither, placement 1218 appends the new descriptor at the frontier, being the position after the last task descriptor that is not in the done state, or at the end when every task is done. A named task that does not exist in the map is treated as unnamed and the request is appended at the frontier with a notice.</w:t>
      </w:r>
    </w:p>
    <w:p>
      <w:pPr>
        <w:keepLines w:val="false"/>
        <w:spacing w:after="160" w:line="276"/>
        <w:jc w:val="both"/>
      </w:pPr>
      <w:r>
        <w:rPr>
          <w:rFonts w:ascii="Times New Roman" w:cs="Times New Roman" w:eastAsia="Times New Roman" w:hAnsi="Times New Roman"/>
          <w:sz w:val="24"/>
          <w:szCs w:val="24"/>
        </w:rPr>
        <w:t xml:space="preserve">[0107] Every placement is probed for cycles at 1220 before it is committed: the dependency graph that would result from the proposed edges is walked by depth-first search. When the proposed edges would close a cycle, the flow does not refuse the user's request; at 1222 the offending edge (the edge from the named task to the new descriptor, or the requested dependency) is dropped, the new descriptor keeps only those of its originally requested dependencies that are themselves acyclic, the descriptor is appended at the frontier, and a cycle-avoided notice naming the omitted dependency is recorded and shown, so that the user knows the ordering constraint was not applied and why. At 1224 the task orders are renumbered to a clean consecutive sequence from one and the new map is persisted. The flow never mutates the stored map in place while deciding: it works on a copy and commits the result, so a rejected placement leaves the project unchanged. A task injected mid-project carries no done-state until it is expanded, and its expansion by the expander 1024 proceeds exactly as for a planned task, seeded from the ledger as it then stands.</w:t>
      </w:r>
    </w:p>
    <w:p>
      <w:pPr>
        <w:pStyle w:val="Heading3"/>
        <w:keepNext/>
        <w:spacing w:after="120" w:before="200"/>
      </w:pPr>
      <w:r>
        <w:rPr>
          <w:rFonts w:ascii="Times New Roman" w:cs="Times New Roman" w:eastAsia="Times New Roman" w:hAnsi="Times New Roman"/>
          <w:b/>
          <w:bCs/>
          <w:color w:val="000000"/>
          <w:sz w:val="26"/>
          <w:szCs w:val="26"/>
        </w:rPr>
        <w:t xml:space="preserve">Transient-unreadable-frame tolerance in the watch loop (FIG. 13)</w:t>
      </w:r>
    </w:p>
    <w:p>
      <w:pPr>
        <w:keepLines w:val="false"/>
        <w:spacing w:after="160" w:line="276"/>
        <w:jc w:val="both"/>
      </w:pPr>
      <w:r>
        <w:rPr>
          <w:rFonts w:ascii="Times New Roman" w:cs="Times New Roman" w:eastAsia="Times New Roman" w:hAnsi="Times New Roman"/>
          <w:sz w:val="24"/>
          <w:szCs w:val="24"/>
        </w:rPr>
        <w:t xml:space="preserve">[0108] Referring to FIG. 13, the tolerance 1300 qualifies the model escalation of paragraph [0042] for the continuously sampled watch loop. In the watch loop the capture module 122 transmits a frame whenever the display settles after a change (paragraph [0028]), so that while the user performs a non-instant action the navigation module 154 receives a sequence of frames, several of which may be captured while the display is in transition: a page is loading, a dialog is animating, a camera image is blurred, or the content of interest has momentarily scrolled away. For such a frame the first model 172 correctly returns a navigation record 1304 that identifies neither an instruction nor an observation, because there is nothing yet to instruct or observe. Treating that record as an unusable model output and re-submitting the frame to the stronger model 174, as paragraph [0042] does for a one-off read, is wrong in the loop: it spends the costlier model on display noise, it switches models on a signal that says nothing about the model, it raises a false incident, and the next frame would in most cases have recovered on its own. The tolerance 1300 makes escalation a function of persistence across frames rather than of one frame's usability.</w:t>
      </w:r>
    </w:p>
    <w:p>
      <w:pPr>
        <w:keepLines w:val="false"/>
        <w:spacing w:after="160" w:line="276"/>
        <w:jc w:val="both"/>
      </w:pPr>
      <w:r>
        <w:rPr>
          <w:rFonts w:ascii="Times New Roman" w:cs="Times New Roman" w:eastAsia="Times New Roman" w:hAnsi="Times New Roman"/>
          <w:sz w:val="24"/>
          <w:szCs w:val="24"/>
        </w:rPr>
        <w:t xml:space="preserve">[0109] For each frame 1302 captured in the watch loop and redacted on the device, the navigation module 154 obtains the navigation record 1304 from the first model 172. At decision 1306 the record is classified as readable when it identifies an instruction or an observation, and as unreadable when it identifies neither. For a readable record, at 1308 a per-session count of consecutive unreadable records is reset to zero and the record is applied as described with reference to FIG. 2: steps shown satisfied are marked, the current step advances or a corrective instruction is given, and flags are surfaced. For an unreadable record, at 1310 the count is incremented and persisted with the session. At decision 1312 the count is compared with a tolerance threshold (in one embodiment two). While the count is below the threshold, at 1314 the stronger model 174 is withheld: the redacted frame is not re-submitted, the current step and the instruction already presented remain unchanged, no escalation event and no operator incident is raised, and the frame is nonetheless recorded in the transmission audit of FIG. 5 like every other frame, so that the withheld escalation is visible in the audit trail and is not silent. When the count has reached the threshold, at 1316 the stronger model 174 is permitted: the next captured frame whose first-model record is unreadable is re-submitted, with the plan, to the stronger model 174 for that call, the escalation is recorded as an event visible to the user as in paragraph [0042], and the count continues until a readable record resets it. A read that the user requests explicitly as a deep read, at 1318, is escalated on an unreadable first-model record regardless of the count, because the user has asked for the stronger reading of this particular frame. A one-off read outside the loop retains the immediate escalation of paragraph [0042].</w:t>
      </w:r>
    </w:p>
    <w:p>
      <w:pPr>
        <w:keepLines w:val="false"/>
        <w:spacing w:after="160" w:line="276"/>
        <w:jc w:val="both"/>
      </w:pPr>
      <w:r>
        <w:rPr>
          <w:rFonts w:ascii="Times New Roman" w:cs="Times New Roman" w:eastAsia="Times New Roman" w:hAnsi="Times New Roman"/>
          <w:sz w:val="24"/>
          <w:szCs w:val="24"/>
        </w:rPr>
        <w:t xml:space="preserve">[0110] The count is a consecutive streak: it is reset by any readable record, so three unreadable frames separated by readable ones never escalate, while two unreadable frames in a row do. In an alternative embodiment the persistence test is a sliding window over the most recent frames of the session, under which escalation is permitted when at least a first number of the last second number of frames (for example two of the last five) produced unreadable records, the window advancing with each frame; this embodiment tolerates an isolated unreadable frame equally but also catches a display that alternates between readable and unreadable states. In either embodiment the tolerance threshold is a named constant, and in some embodiments it scales with the guidance intensity selected for the session. The tolerance applies only to the readability signal; an error raised by the first model, as opposed to an empty but well-formed record, continues to escalate immediately as in paragraph [0042], and a successful response that contains no content at all is classified as a retriable failure of the model rather than as an unreadable frame and is handled by the reliability ladder of paragraph [0087] within the same credential, without transmitting the redacted frame under any other credential.</w:t>
      </w:r>
    </w:p>
    <w:p>
      <w:pPr>
        <w:keepLines w:val="false"/>
        <w:spacing w:after="160" w:line="276"/>
        <w:jc w:val="both"/>
      </w:pPr>
      <w:r>
        <w:rPr>
          <w:rFonts w:ascii="Times New Roman" w:cs="Times New Roman" w:eastAsia="Times New Roman" w:hAnsi="Times New Roman"/>
          <w:sz w:val="24"/>
          <w:szCs w:val="24"/>
        </w:rPr>
        <w:t xml:space="preserve">[0111] The technical effect of the tolerance is specific to screen-sampled guidance of a human performer. An autonomous agent that acts on each frame cannot tolerate a blank reading, because it must decide an action for that frame; a guidance system that waits for a human to act can, because the human's action is already under way and the next frame is the oracle. Withholding the stronger model within the tolerance therefore reduces cost and false incidents without reducing the guidance the user receives, since within the tolerance the correct guidance is in every case the instruction already presented.</w:t>
      </w:r>
    </w:p>
    <w:p>
      <w:pPr>
        <w:keepLines w:val="false"/>
        <w:spacing w:after="160" w:line="276"/>
        <w:jc w:val="both"/>
      </w:pPr>
      <w:r>
        <w:rPr>
          <w:rFonts w:ascii="Times New Roman" w:cs="Times New Roman" w:eastAsia="Times New Roman" w:hAnsi="Times New Roman"/>
          <w:sz w:val="24"/>
          <w:szCs w:val="24"/>
        </w:rPr>
        <w:t xml:space="preserve">[0112] The project engine of FIG. 10 to FIG. 12 and the tolerance of FIG. 13 may each be used with the loop of FIG. 2 and with the other embodiments described, or independently of them, as the claims define; in particular the breakdown gate 1100, the injection flow 1200 and the project report generator 1036 operate on the project map 1006 and its guided sessions however those sessions are presented, and the tolerance 1300 applies to any embodiment in which frames are sampled repeatedly while the user performs an instructed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dc:title>
  <dc:creator>Ravi Kiran Raju Yerra</dc:creator>
  <dc:description>Prepared for Ravi Kiran Raju Yerra. Attorney review recommended before filing. Not legal advice.</dc:description>
  <cp:lastModifiedBy>Un-named</cp:lastModifiedBy>
  <cp:revision>1</cp:revision>
  <dcterms:created xsi:type="dcterms:W3CDTF">2026-10-28T18:43:31.934Z</dcterms:created>
  <dcterms:modified xsi:type="dcterms:W3CDTF">2026-10-28T18:43:31.935Z</dcterms:modified>
</cp:coreProperties>
</file>

<file path=docProps/custom.xml><?xml version="1.0" encoding="utf-8"?>
<Properties xmlns="http://schemas.openxmlformats.org/officeDocument/2006/custom-properties" xmlns:vt="http://schemas.openxmlformats.org/officeDocument/2006/docPropsVTypes"/>
</file>