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15D" w:rsidRDefault="00EC715D"/>
    <w:p>
      <w:pPr>
        <w:pStyle w:val="Normal"/>
      </w:pPr>
      <w:r>
        <w:rPr/>
        <w:drawing>
          <wp:inline distT="0" distB="0" distL="0" distR="0">
            <wp:extent cx="6858000" cy="5486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310896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10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Key Highlights for Decision-Makers</w:t>
      </w:r>
    </w:p>
    <w:p>
      <w:pPr>
        <w:pStyle w:val="ListBullet"/>
      </w:pPr>
      <w:r>
        <w:t xml:space="preserve">Fill in manually (2–3 bullet points).</w:t>
      </w:r>
    </w:p>
    <w:p>
      <w:pPr>
        <w:pStyle w:val="ListBullet"/>
      </w:pPr>
      <w:r>
        <w:t xml:space="preserve">Fill in manually (2–3 bullet points).</w:t>
      </w:r>
    </w:p>
    <w:p>
      <w:pPr>
        <w:pStyle w:val="ListBullet"/>
      </w:pPr>
      <w:r>
        <w:t xml:space="preserve">Fill in manually (2–3 bullet points).</w:t>
      </w:r>
    </w:p>
    <w:p>
      <w:pPr>
        <w:pStyle w:val="Heading3"/>
      </w:pPr>
      <w:r>
        <w:t xml:space="preserve">Immediately Notifiable Diseases and Events</w:t>
      </w:r>
    </w:p>
    <w:p>
      <w:pPr>
        <w:pStyle w:val="ListBullet"/>
      </w:pPr>
      <w:r>
        <w:t xml:space="preserve">Cholera: Week 34 reported 4 suspected, 0 tested, and 0 confirmed cases. Cumulative (Week 1–34): 16,684 suspected, 4,410 tested, 2,034 confirmed.</w:t>
      </w:r>
    </w:p>
    <w:p>
      <w:pPr>
        <w:pStyle w:val="ListBullet"/>
      </w:pPr>
      <w:r>
        <w:t xml:space="preserve">Anthrax: Week 34 reported 8 suspected, 2 tested, and 1 confirmed cases. Cumulative (Week 1–34): 283 suspected, 36 tested, 5 confirmed.</w:t>
      </w:r>
    </w:p>
    <w:p>
      <w:pPr>
        <w:pStyle w:val="ListBullet"/>
      </w:pPr>
      <w:r>
        <w:t xml:space="preserve">Plague: Week 34 reported 0 suspected, 0 tested, and 0 confirmed cases. Cumulative (Week 1–34): 13 suspected, 1 tested, 0 confirmed.</w:t>
      </w:r>
    </w:p>
    <w:p>
      <w:pPr>
        <w:pStyle w:val="ListBullet"/>
      </w:pPr>
      <w:r>
        <w:t xml:space="preserve">Monkeypox: Week 34 reported 0 suspected, 0 tested, and 0 confirmed cases. Cumulative (Week 1–34): 8 suspected, 4 tested, 0 confirmed.</w:t>
      </w:r>
    </w:p>
    <w:p>
      <w:pPr>
        <w:pStyle w:val="Heading3"/>
      </w:pPr>
      <w:r>
        <w:t xml:space="preserve">Other Diseases and Events</w:t>
      </w:r>
    </w:p>
    <w:p>
      <w:pPr>
        <w:pStyle w:val="ListBullet"/>
      </w:pPr>
      <w:r>
        <w:t xml:space="preserve">Malaria: Week 34 reported 144,640 suspected, 138,717 tested, and 40,329 confirmed cases. Cumulative (Week 1–34): 8,011,914 suspected, 7,570,205 tested, 3,693,242 confirmed.</w:t>
      </w:r>
    </w:p>
    <w:p>
      <w:pPr>
        <w:pStyle w:val="ListBullet"/>
      </w:pPr>
      <w:r>
        <w:t xml:space="preserve">Diarrhoea Non Bloody: Week 34 reported 0 suspected, 2,435 tested, and 2,171 confirmed cases. Cumulative (Week 1–34): 0 suspected, 46,953 tested, 50,502 confirmed.</w:t>
      </w:r>
    </w:p>
    <w:p>
      <w:pPr>
        <w:pStyle w:val="ListBullet"/>
      </w:pPr>
      <w:r>
        <w:t xml:space="preserve">Fill in manually.</w:t>
      </w:r>
    </w:p>
    <w:p>
      <w:pPr>
        <w:pStyle w:val="Normal"/>
      </w:pPr>
      <w:r>
        <w:rPr/>
        <w:drawing>
          <wp:inline distT="0" distB="0" distL="0" distR="0">
            <wp:extent cx="6766560" cy="310896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10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214884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6766560" cy="310896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10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27432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29260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310896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10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27432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766560" cy="283464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The bar chart on the left summarizes the causes of deaths of 15 maternal deaths recorded in week 34.</w:t>
      </w:r>
    </w:p>
    <w:p>
      <w:pPr>
        <w:pStyle w:val="ListBullet"/>
      </w:pPr>
      <w:r>
        <w:t xml:space="preserve">Hypertensive disorder, Non-obstetric complications, and Obstetric haemorrhage continue to be the leading causes of maternal deaths this year.</w:t>
      </w:r>
    </w:p>
    <w:p>
      <w:pPr>
        <w:pStyle w:val="ListBullet"/>
      </w:pPr>
      <w:r>
        <w:t xml:space="preserve">Cumulatively, in 2024, 395 maternal deaths have been recorded across the country, as depicted on the map.</w:t>
      </w:r>
    </w:p>
    <w:p>
      <w:pPr>
        <w:pStyle w:val="ListBullet"/>
      </w:pPr>
      <w:r>
        <w:t xml:space="preserve">Provinces with darker shades indicate those with a higher number of reported maternal deaths.</w:t>
      </w:r>
    </w:p>
    <w:sectPr w:rsidR="00EC715D" w:rsidSect="00443B9A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715D" w:rsidRDefault="00EC715D">
      <w:pPr>
        <w:spacing w:after="0" w:line="240" w:lineRule="auto"/>
      </w:pPr>
      <w:r>
        <w:separator/>
      </w:r>
    </w:p>
  </w:endnote>
  <w:endnote w:type="continuationSeparator" w:id="0">
    <w:p w:rsidR="00EC715D" w:rsidRDefault="00EC7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DD0" w:rsidRDefault="00000000">
    <w:pPr>
      <w:pStyle w:val="Footer"/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715D" w:rsidRDefault="00EC715D">
      <w:pPr>
        <w:spacing w:after="0" w:line="240" w:lineRule="auto"/>
      </w:pPr>
      <w:r>
        <w:separator/>
      </w:r>
    </w:p>
  </w:footnote>
  <w:footnote w:type="continuationSeparator" w:id="0">
    <w:p w:rsidR="00EC715D" w:rsidRDefault="00EC7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DD0" w:rsidRDefault="00000000">
    <w:pPr>
      <w:pStyle w:val="Header"/>
    </w:pPr>
    <w:r>
      <w:rPr>
        <w:sz w:val="18"/>
      </w:rPr>
      <w:t>ZNPHI | Weekly Epidemiological Bulletin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14352">
    <w:abstractNumId w:val="8"/>
  </w:num>
  <w:num w:numId="2" w16cid:durableId="1451315625">
    <w:abstractNumId w:val="6"/>
  </w:num>
  <w:num w:numId="3" w16cid:durableId="168370255">
    <w:abstractNumId w:val="5"/>
  </w:num>
  <w:num w:numId="4" w16cid:durableId="425539775">
    <w:abstractNumId w:val="4"/>
  </w:num>
  <w:num w:numId="5" w16cid:durableId="236480593">
    <w:abstractNumId w:val="7"/>
  </w:num>
  <w:num w:numId="6" w16cid:durableId="545812">
    <w:abstractNumId w:val="3"/>
  </w:num>
  <w:num w:numId="7" w16cid:durableId="2143427377">
    <w:abstractNumId w:val="2"/>
  </w:num>
  <w:num w:numId="8" w16cid:durableId="685323981">
    <w:abstractNumId w:val="1"/>
  </w:num>
  <w:num w:numId="9" w16cid:durableId="895049460">
    <w:abstractNumId w:val="0"/>
  </w:num>
</w:numbering>
</file>

<file path=word/settings.xml><?xml version="1.0" encoding="utf-8"?>
<w:settings xmlns:w="http://schemas.openxmlformats.org/wordprocessingml/2006/main">
  <w:zoom w:percent="13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hd w:val="clear" w:color="auto" w:fill="92D050"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hd w:val="clear" w:color="auto" w:fill="92D050"/>
      <w:spacing w:before="16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1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theme" Target="theme/theme1.xml"/>
<Relationship Id="rId5" Type="http://schemas.openxmlformats.org/officeDocument/2006/relationships/webSettings" Target="webSettings.xml"/>
<Relationship Id="rId10" Type="http://schemas.openxmlformats.org/officeDocument/2006/relationships/fontTable" Target="fontTable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2" Type="http://schemas.openxmlformats.org/officeDocument/2006/relationships/image" Target="media/47ec1f559fd7a75f6db89397cee4d35be5cb4e36.png"/>
<Relationship Id="rId13" Type="http://schemas.openxmlformats.org/officeDocument/2006/relationships/image" Target="media/6b1f428782c302c71d4e2369846ec3fc1bee0f47.png"/>
<Relationship Id="rId14" Type="http://schemas.openxmlformats.org/officeDocument/2006/relationships/image" Target="media/82dacb0e260124ce4ffbab05d2eee72643a07a4e.png"/>
<Relationship Id="rId15" Type="http://schemas.openxmlformats.org/officeDocument/2006/relationships/image" Target="media/b8161ff94889cc663baf94ef23df189d82d3e0a9.png"/>
<Relationship Id="rId16" Type="http://schemas.openxmlformats.org/officeDocument/2006/relationships/image" Target="media/199e74bcb38c3167ae15935cb47ef1e736cf1f2c.png"/>
<Relationship Id="rId17" Type="http://schemas.openxmlformats.org/officeDocument/2006/relationships/image" Target="media/561c83cdb50ce37ca8974804e90fc3c21158c960.png"/>
<Relationship Id="rId18" Type="http://schemas.openxmlformats.org/officeDocument/2006/relationships/image" Target="media/605dccd0afa1757703979c9f75118e1ba47b6db9.png"/>
<Relationship Id="rId19" Type="http://schemas.openxmlformats.org/officeDocument/2006/relationships/image" Target="media/6812fd2a5123ba44548452ea05746bbbee0ecbcd.png"/>
<Relationship Id="rId20" Type="http://schemas.openxmlformats.org/officeDocument/2006/relationships/image" Target="media/efd24663af730c10afa484f07d71960f7ea8da86.png"/>
<Relationship Id="rId21" Type="http://schemas.openxmlformats.org/officeDocument/2006/relationships/image" Target="media/177127a616a0c0ac341be99280cf75858b24876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python-docx</dc:creator>
  <cp:keywords/>
  <dc:description>generated by python-docx</dc:description>
  <cp:lastModifiedBy>nthimbogifttembo</cp:lastModifiedBy>
  <cp:revision>2</cp:revision>
  <dcterms:created xsi:type="dcterms:W3CDTF">2013-12-23T23:15:00Z</dcterms:created>
  <dcterms:modified xsi:type="dcterms:W3CDTF">2025-12-25T14:24:08Z</dcterms:modified>
  <cp:category/>
</cp:coreProperties>
</file>