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0A1C" w:rsidRDefault="00050A1C">
      <w:r w:rsidRPr="00050A1C">
        <w:rPr>
          <w:noProof/>
        </w:rPr>
        <mc:AlternateContent>
          <mc:Choice Requires="wps">
            <w:drawing>
              <wp:inline distT="0" distB="0" distL="0" distR="0" wp14:anchorId="1319815E">
                <wp:extent cx="2744598" cy="369332"/>
                <wp:effectExtent l="0" t="0" r="0" b="0"/>
                <wp:docPr id="26" name="TextBox 25">
                  <a:extLst xmlns:a="http://schemas.openxmlformats.org/drawingml/2006/main">
                    <a:ext uri="{FF2B5EF4-FFF2-40B4-BE49-F238E27FC236}">
                      <a16:creationId xmlns:a16="http://schemas.microsoft.com/office/drawing/2014/main" id="{1CDBAC93-5DEC-48C4-A24D-EA5869A89A96}"/>
                    </a:ext>
                  </a:extLst>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050A1C" w:rsidRDefault="00050A1C" w:rsidP="00050A1C">
                            <w:pPr>
                              <w:pStyle w:val="NormalWeb"/>
                              <w:spacing w:before="0" w:beforeAutospacing="0" w:after="0" w:afterAutospacing="0"/>
                            </w:pPr>
                            <w:r>
                              <w:rPr>
                                <w:rFonts w:asciiTheme="minorHAnsi" w:hAnsi="Calibri" w:cstheme="minorBidi"/>
                                <w:b/>
                                <w:bCs/>
                                <w:color w:val="000000" w:themeColor="text1"/>
                                <w:kern w:val="24"/>
                                <w:sz w:val="36"/>
                                <w:szCs w:val="36"/>
                              </w:rPr>
                              <w:t>Federal</w:t>
                            </w:r>
                          </w:p>
                        </w:txbxContent>
                      </wps:txbx>
                      <wps:bodyPr wrap="square" rtlCol="0">
                        <a:spAutoFit/>
                      </wps:bodyPr>
                    </wps:wsp>
                  </a:graphicData>
                </a:graphic>
              </wp:inline>
            </w:drawing>
          </mc:Choice>
          <mc:Fallback>
            <w:pict>
              <v:shapetype w14:anchorId="1319815E" id="_x0000_t202" coordsize="21600,21600" o:spt="202" path="m,l,21600r21600,l21600,xe">
                <v:stroke joinstyle="miter"/>
                <v:path gradientshapeok="t" o:connecttype="rect"/>
              </v:shapetype>
              <v:shape id="TextBox 25" o:spid="_x0000_s1026"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" fillcolor="#d0c4ea" stroked="f">
                <v:textbox style="mso-fit-shape-to-text:t">
                  <w:txbxContent>
                    <w:p w:rsidR="00050A1C" w:rsidRDefault="00050A1C" w:rsidP="00050A1C">
                      <w:pPr>
                        <w:pStyle w:val="NormalWeb"/>
                        <w:spacing w:before="0" w:beforeAutospacing="0" w:after="0" w:afterAutospacing="0"/>
                      </w:pPr>
                      <w:r>
                        <w:rPr>
                          <w:rFonts w:asciiTheme="minorHAnsi" w:hAnsi="Calibri" w:cstheme="minorBidi"/>
                          <w:b/>
                          <w:bCs/>
                          <w:color w:val="000000" w:themeColor="text1"/>
                          <w:kern w:val="24"/>
                          <w:sz w:val="36"/>
                          <w:szCs w:val="36"/>
                        </w:rPr>
                        <w:t>Federal</w:t>
                      </w:r>
                    </w:p>
                  </w:txbxContent>
                </v:textbox>
                <w10:anchorlock/>
              </v:shape>
            </w:pict>
          </mc:Fallback>
        </mc:AlternateContent>
      </w:r>
    </w:p>
    <w:p w:rsidR="00050A1C" w:rsidRPr="00050A1C" w:rsidRDefault="009050B7" w:rsidP="00050A1C">
      <w:pPr>
        <w:jc w:val="both"/>
        <w:rPr>
          <w:rFonts w:ascii="Arial" w:hAnsi="Arial" w:cs="Arial"/>
        </w:rPr>
      </w:pPr>
      <w:r w:rsidRPr="009050B7">
        <w:rPr>
          <w:rFonts w:ascii="Arial" w:hAnsi="Arial" w:cs="Arial"/>
        </w:rPr>
        <w:t>The biobased economy has been impacted by key Federal legislation related to alternative fuels and biobased products. This section will analyze the policies that have contributed to the growth of production and consumption of biofuel, renewable chemicals, and biobased products.</w:t>
      </w:r>
    </w:p>
    <w:p w:rsidR="00050A1C" w:rsidRPr="00050A1C" w:rsidRDefault="00050A1C" w:rsidP="00050A1C">
      <w:pPr>
        <w:pStyle w:val="Heading3"/>
      </w:pPr>
      <w:r w:rsidRPr="00050A1C">
        <w:t>Biofuel</w:t>
      </w:r>
      <w:r w:rsidR="00F94DF0">
        <w:t xml:space="preserve"> Policies</w:t>
      </w:r>
    </w:p>
    <w:p w:rsidR="00050A1C" w:rsidRPr="00050A1C" w:rsidRDefault="00050A1C" w:rsidP="00BA5C93">
      <w:pPr>
        <w:spacing w:after="0"/>
        <w:jc w:val="both"/>
        <w:rPr>
          <w:rFonts w:ascii="Arial" w:hAnsi="Arial" w:cs="Arial"/>
        </w:rPr>
      </w:pPr>
    </w:p>
    <w:p w:rsidR="00050A1C" w:rsidRDefault="00F94DF0" w:rsidP="00BA5C93">
      <w:pPr>
        <w:spacing w:after="0"/>
        <w:jc w:val="both"/>
        <w:rPr>
          <w:rFonts w:ascii="Arial" w:hAnsi="Arial" w:cs="Arial"/>
        </w:rPr>
      </w:pPr>
      <w:r w:rsidRPr="00F94DF0">
        <w:rPr>
          <w:rFonts w:ascii="Arial" w:hAnsi="Arial" w:cs="Arial"/>
        </w:rPr>
        <w:t xml:space="preserve">Federal policies dating back to 1975 relating to biofuels include the following: fuel economy standards, tax incentives, alternative fuels, biomass and bioenergy, and energy conservation (see </w:t>
      </w:r>
      <w:r>
        <w:rPr>
          <w:rFonts w:ascii="Arial" w:hAnsi="Arial" w:cs="Arial"/>
        </w:rPr>
        <w:t>timeline</w:t>
      </w:r>
      <w:r w:rsidRPr="00F94DF0">
        <w:rPr>
          <w:rFonts w:ascii="Arial" w:hAnsi="Arial" w:cs="Arial"/>
        </w:rPr>
        <w:t>).</w:t>
      </w:r>
    </w:p>
    <w:p w:rsidR="00BA5C93" w:rsidRDefault="00BA5C93" w:rsidP="00BA5C93">
      <w:pPr>
        <w:spacing w:after="0"/>
        <w:jc w:val="both"/>
        <w:rPr>
          <w:rFonts w:ascii="Arial" w:hAnsi="Arial" w:cs="Arial"/>
        </w:rPr>
      </w:pPr>
    </w:p>
    <w:p w:rsidR="00F94DF0" w:rsidRDefault="00F94DF0" w:rsidP="00BA5C93">
      <w:pPr>
        <w:spacing w:after="0"/>
        <w:jc w:val="both"/>
        <w:rPr>
          <w:rFonts w:ascii="Arial" w:hAnsi="Arial" w:cs="Arial"/>
        </w:rPr>
      </w:pPr>
      <w:r w:rsidRPr="005306A4">
        <w:rPr>
          <w:rFonts w:ascii="Arial" w:hAnsi="Arial" w:cs="Arial"/>
          <w:highlight w:val="yellow"/>
        </w:rPr>
        <w:t>[TIMELINE</w:t>
      </w:r>
      <w:r w:rsidR="002661DB" w:rsidRPr="005306A4">
        <w:rPr>
          <w:rFonts w:ascii="Arial" w:hAnsi="Arial" w:cs="Arial"/>
          <w:highlight w:val="yellow"/>
        </w:rPr>
        <w:t xml:space="preserve"> 1</w:t>
      </w:r>
      <w:r w:rsidRPr="005306A4">
        <w:rPr>
          <w:rFonts w:ascii="Arial" w:hAnsi="Arial" w:cs="Arial"/>
          <w:highlight w:val="yellow"/>
        </w:rPr>
        <w:t>]</w:t>
      </w:r>
    </w:p>
    <w:p w:rsidR="00BA5C93" w:rsidRDefault="00BA5C93" w:rsidP="00BA5C93">
      <w:pPr>
        <w:spacing w:after="0"/>
        <w:jc w:val="both"/>
        <w:rPr>
          <w:rFonts w:ascii="Arial" w:hAnsi="Arial" w:cs="Arial"/>
        </w:rPr>
      </w:pPr>
    </w:p>
    <w:p w:rsidR="00BA5C93" w:rsidRPr="00BA5C93" w:rsidRDefault="007F032A" w:rsidP="00BA5C93">
      <w:pPr>
        <w:spacing w:after="0"/>
        <w:jc w:val="both"/>
        <w:rPr>
          <w:rFonts w:ascii="Arial" w:hAnsi="Arial" w:cs="Arial"/>
        </w:rPr>
      </w:pPr>
      <w:r>
        <w:rPr>
          <w:rFonts w:ascii="Arial" w:hAnsi="Arial" w:cs="Arial"/>
        </w:rPr>
        <w:t xml:space="preserve"> </w:t>
      </w:r>
      <w:r w:rsidR="00BA5C93" w:rsidRPr="00BA5C93">
        <w:rPr>
          <w:rFonts w:ascii="Arial" w:hAnsi="Arial" w:cs="Arial"/>
        </w:rPr>
        <w:t>The Energy Policy and Conservation Act of 1975 established what is known as the Corporate Average Fuel Economy (CAFE) standards. The CAFE standards regulate how far vehicles must travel on a gallon of fuel. The motion also requires consumers be</w:t>
      </w:r>
      <w:r w:rsidR="00BA5C93">
        <w:rPr>
          <w:rFonts w:ascii="Arial" w:hAnsi="Arial" w:cs="Arial"/>
        </w:rPr>
        <w:t xml:space="preserve"> given fuel economy information.</w:t>
      </w:r>
    </w:p>
    <w:p w:rsidR="00BA5C93" w:rsidRPr="00BA5C93" w:rsidRDefault="00BA5C93" w:rsidP="00BA5C93">
      <w:pPr>
        <w:spacing w:after="0"/>
        <w:jc w:val="both"/>
        <w:rPr>
          <w:rFonts w:ascii="Arial" w:hAnsi="Arial" w:cs="Arial"/>
        </w:rPr>
      </w:pPr>
      <w:r w:rsidRPr="00BA5C93">
        <w:rPr>
          <w:rFonts w:ascii="Arial" w:hAnsi="Arial" w:cs="Arial"/>
        </w:rPr>
        <w:t xml:space="preserve"> </w:t>
      </w:r>
    </w:p>
    <w:p w:rsidR="00BA5C93" w:rsidRPr="00BA5C93" w:rsidRDefault="00BA5C93" w:rsidP="00BA5C93">
      <w:pPr>
        <w:spacing w:after="0"/>
        <w:jc w:val="both"/>
        <w:rPr>
          <w:rFonts w:ascii="Arial" w:hAnsi="Arial" w:cs="Arial"/>
        </w:rPr>
      </w:pPr>
      <w:r w:rsidRPr="00BA5C93">
        <w:rPr>
          <w:rFonts w:ascii="Arial" w:hAnsi="Arial" w:cs="Arial"/>
        </w:rPr>
        <w:t>Three years later, the Energy Tax Act of 1978 was created as part of the National Energy Act. It provides tax incentives, such as the tax credit of 15 percent of the energy conservation expenditures up to a maximum of 2,000 dollars, to those who conserve energy or substitute alternative s</w:t>
      </w:r>
      <w:r>
        <w:rPr>
          <w:rFonts w:ascii="Arial" w:hAnsi="Arial" w:cs="Arial"/>
        </w:rPr>
        <w:t>ources of energy for oil and gas</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A decade later, the Alternative Motor Fuel Act of 1988 was enacted to establish vehicle manufacturer incentives through CAFE credits.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Energy Policy Act of 1992 sets regulation requirements for Federal, State, and alternative fuel provider fleets to increase the amount of alternative fuel vehicles.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In 2000, the Biomass Research and Development Act authorized 49 million dollars in founding to: develop crops and systems that improve production and processing; use cellulosic biomass to produce biobased fuels and products; improve production technologies of biofuels and bioproducts; and analyze the impact of biomass technologies.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Biomass Research and Development Act of 2000 was amended by the Food, Conservation and Energy Act of 2008, and created the Biomass Research and Development initiative to further develop the biomass industry in the United States. The program provided grant funding (35 million dollars each fiscal year, 2009 to 2012) for projects addressing research, development, and demonstration of biofuels and bio-based products and the methods, practices, and technologies for their production.</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2002 Farm Bill directed 115 million dollars of funding toward agricultural subsidies. The purpose was to encourage the production of energy on farms, as well as to promote the use of renewable energy sources and a</w:t>
      </w:r>
      <w:r>
        <w:rPr>
          <w:rFonts w:ascii="Arial" w:hAnsi="Arial" w:cs="Arial"/>
        </w:rPr>
        <w:t>n increase in energy efficiency</w:t>
      </w:r>
      <w:r w:rsidRPr="00BA5C93">
        <w:rPr>
          <w:rFonts w:ascii="Arial" w:hAnsi="Arial" w:cs="Arial"/>
        </w:rPr>
        <w:t>.</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Rural Energy for America Program (REAP) of 2002 provides ethanol infrastructure grants and loan guarantees to agricultural producers and rural small businesses to purchase renewable </w:t>
      </w:r>
      <w:r w:rsidRPr="00BA5C93">
        <w:rPr>
          <w:rFonts w:ascii="Arial" w:hAnsi="Arial" w:cs="Arial"/>
        </w:rPr>
        <w:lastRenderedPageBreak/>
        <w:t xml:space="preserve">energy systems or make energy efficiency improvements. The maximum loan guarantee is 25 million dollars, and the maximum grant funding is 25 percent of total project costs. At least a fifth of the grant funds awarded must be for grants of 20,000 dollars or less. REAP is funded through fiscal year 2018, and it is essential for those making energy efficiency improvements for renewables, feasibility studies, and energy audits.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goal of the American Jobs Creation Act of 2004 was to help the agricultural and energy sectors, in addition to supporting domestic and multinational manufacturers. The act offers tax cuts while also aiming to increase revenue for the United States economy in the following years.</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Energy Policy Act of 2005 provides tax incentives and loan guarantees for energy production of various types. Entities using innovative technologies avoiding the by-production of greenhouse gas</w:t>
      </w:r>
      <w:r>
        <w:rPr>
          <w:rFonts w:ascii="Arial" w:hAnsi="Arial" w:cs="Arial"/>
        </w:rPr>
        <w:t>es can receive loan guarantees</w:t>
      </w:r>
      <w:r w:rsidRPr="00BA5C93">
        <w:rPr>
          <w:rFonts w:ascii="Arial" w:hAnsi="Arial" w:cs="Arial"/>
        </w:rPr>
        <w:t xml:space="preserve">. The act also increased the amount of biofuel required to be mixed in with gasoline sold in the United States.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Energy Policy Act of 2005 introduced the Renewable Fuels Standards (RFS) to increase the production of alternative fuels. The program, which was amended by the Energy Independence and Security Act of 2007, ensures that transportation fuel sold in the United State contains a minimum volume of renewable fuel. The standards set requirements for cellulosic biofuel, biodiesel, advanced biofuel, and total renewable fuel. These standards apply to all gasoline and diesel produced or imported.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Energy conservation is a main goal for legislation and funding pertaining to biofuels. Legislation has been passed and grants used for incentivizing and promoting greater energy independence and security for the United States, in addition to improving energy performance and reducing energy-related greenhouse gas emissions. The Energy Independence and Security Act of 2007 was established with the goals of: increasing the production of clean renewable fuels; reducing the dependence on fossil fuels; reducing greenhouse gas emissions; an</w:t>
      </w:r>
      <w:r>
        <w:rPr>
          <w:rFonts w:ascii="Arial" w:hAnsi="Arial" w:cs="Arial"/>
        </w:rPr>
        <w:t>d increasing energy security</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Energy Improvement and Extension Act of 2008 provides incentives for energy production and conservation. The act made revenue enhancements as well. Those who invest in new clean renewable energy bonds can get a tax credit for the operation of renewable energy fa</w:t>
      </w:r>
      <w:r>
        <w:rPr>
          <w:rFonts w:ascii="Arial" w:hAnsi="Arial" w:cs="Arial"/>
        </w:rPr>
        <w:t>cilities</w:t>
      </w:r>
      <w:r w:rsidRPr="00BA5C93">
        <w:rPr>
          <w:rFonts w:ascii="Arial" w:hAnsi="Arial" w:cs="Arial"/>
        </w:rPr>
        <w:t>.</w:t>
      </w:r>
    </w:p>
    <w:p w:rsidR="00BA5C93" w:rsidRPr="00BA5C93" w:rsidRDefault="00BA5C93" w:rsidP="00BA5C93">
      <w:pPr>
        <w:spacing w:after="0"/>
        <w:jc w:val="both"/>
        <w:rPr>
          <w:rFonts w:ascii="Arial" w:hAnsi="Arial" w:cs="Arial"/>
        </w:rPr>
      </w:pPr>
      <w:r w:rsidRPr="00BA5C93">
        <w:rPr>
          <w:rFonts w:ascii="Arial" w:hAnsi="Arial" w:cs="Arial"/>
        </w:rPr>
        <w:t xml:space="preserve"> </w:t>
      </w:r>
    </w:p>
    <w:p w:rsidR="00BA5C93" w:rsidRPr="00BA5C93" w:rsidRDefault="00BA5C93" w:rsidP="00BA5C93">
      <w:pPr>
        <w:spacing w:after="0"/>
        <w:jc w:val="both"/>
        <w:rPr>
          <w:rFonts w:ascii="Arial" w:hAnsi="Arial" w:cs="Arial"/>
        </w:rPr>
      </w:pPr>
      <w:r w:rsidRPr="00BA5C93">
        <w:rPr>
          <w:rFonts w:ascii="Arial" w:hAnsi="Arial" w:cs="Arial"/>
        </w:rPr>
        <w:t>Repowering Assistance of 2008 and the Bioenergy Program for Advanced Biofuels 2008 both promote advanced biofuel production. Repowering Assistance provides payments to existing biorefineries to replace fossil fuels, used for heating or electricity, with renewable biomass. On the other hand, the Bioenergy Program for Advanced Biofuels provides payments to eligible agricultural producers to support and ensure an expanding production of advanced biofuels. Nearly every other type of biofuel besides corn starch ethanol is eligible for the program. This includes ethanol, biogas, butanol, or biodiesel derived from cellulose, sugar or starches, waste material</w:t>
      </w:r>
      <w:r>
        <w:rPr>
          <w:rFonts w:ascii="Arial" w:hAnsi="Arial" w:cs="Arial"/>
        </w:rPr>
        <w:t>s, sugarcane, or woody biomass</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Farm Bill of 2008 was enacted to provide increased support </w:t>
      </w:r>
      <w:proofErr w:type="gramStart"/>
      <w:r w:rsidRPr="00BA5C93">
        <w:rPr>
          <w:rFonts w:ascii="Arial" w:hAnsi="Arial" w:cs="Arial"/>
        </w:rPr>
        <w:t>for the production of</w:t>
      </w:r>
      <w:proofErr w:type="gramEnd"/>
      <w:r w:rsidRPr="00BA5C93">
        <w:rPr>
          <w:rFonts w:ascii="Arial" w:hAnsi="Arial" w:cs="Arial"/>
        </w:rPr>
        <w:t xml:space="preserve"> cellulosic ethanol and also funding for the research of pests, diseases and other agricultural problems. The Biomass Crop Assistance Program of 2008 was then authorized by the 2008 Farm Bill to support the establishment and production of crops for conversion to bioenergy and assist with the </w:t>
      </w:r>
      <w:r w:rsidRPr="00BA5C93">
        <w:rPr>
          <w:rFonts w:ascii="Arial" w:hAnsi="Arial" w:cs="Arial"/>
        </w:rPr>
        <w:lastRenderedPageBreak/>
        <w:t>collection, harvest, storage and transportation of ma</w:t>
      </w:r>
      <w:r>
        <w:rPr>
          <w:rFonts w:ascii="Arial" w:hAnsi="Arial" w:cs="Arial"/>
        </w:rPr>
        <w:t>terials for biomass conversion</w:t>
      </w:r>
      <w:r w:rsidRPr="00BA5C93">
        <w:rPr>
          <w:rFonts w:ascii="Arial" w:hAnsi="Arial" w:cs="Arial"/>
        </w:rPr>
        <w:t>. Qualified feedstock producers are eligible for a reimbursement of 50 percent of the cost of establishing a biomass feedstock crop, as well as annual payments for up to five years for herbaceous feedstocks and up to 15 years for woody feedstocks. This program is f</w:t>
      </w:r>
      <w:r>
        <w:rPr>
          <w:rFonts w:ascii="Arial" w:hAnsi="Arial" w:cs="Arial"/>
        </w:rPr>
        <w:t>unded through fiscal year 2018</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American Recovery and Reinvestment Act of 2009 was enacted to appropriate nearly 800 billion dollars towards job creation, economic growth, tax relief, improvements in education and healthcare, infrastructure modernization, and investments in energy independence and renewable energy technologies. The act supports a variety of alternative fuel and advanced vehicle technologies through grant programs, tax credits, research and development, flee</w:t>
      </w:r>
      <w:r>
        <w:rPr>
          <w:rFonts w:ascii="Arial" w:hAnsi="Arial" w:cs="Arial"/>
        </w:rPr>
        <w:t>t funding, and other measures</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Renewable Fuels for America's Future Act of 2011 extended, through 2016, and modified credits for alcohol used as a fuel and other purposes. It required a reduction in the income and excise tax credits for alcohol used for fuel by the amount of alcohol used to meet the taxpayer's renewable fuel obligation under the Clean Air Act. The Dual Fuel Vehicle Act of 2011 increased demand of ethanol to ensure the availability of dual fueled automobiles and light duty trucks. Under this act, automobile manufacturers are required to ensure that at least 50 percent of 2014 and 2015 model year automobiles and light duty trucks manufactured for sale in the United States are dual fueled, capable of operating on alternative fuel and on gasoline or diesel fuel or a mixture of biodiesel and diesel fuel. In 2013, the Biofuels Market Expansion Act revised ethanol content requirements for renewable fuel and increased manufacturing of dual fueled vehicles. The act requires automobile manufacturers to ensure that at least 50 percent of 2015 and 2016 model year automobiles and light duty trucks manufactured for sale in the United States are dual fueled. It increased the minimum to 90 percent for 2017 and subsequent model years and excluded automobiles and light duty trucks that operate only </w:t>
      </w:r>
      <w:r w:rsidR="00430A8F">
        <w:rPr>
          <w:rFonts w:ascii="Arial" w:hAnsi="Arial" w:cs="Arial"/>
        </w:rPr>
        <w:t>on electricity</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H.R. 1149 of 2011 includes algae as a biofuel. It amended the Clean Air Act to include algae biofuel in the renewable fuel program and amends the Internal Revenue Code of 1986 to include algae biofuel in the cellulosic biofuel producer credit.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American Tax Payer Relief of 2012 was effective through December 31, 2013 and increased the demand of biofuels by extending discretionary funding for the United States Department of Agriculture's Advanced Biofuel Production Grants and Loan Guarantees, Advanced Biofuel Production Payments, Biodiesel Education Grants, Biomass Research and Development Initiative, and Ethanol Infrastructure Grants and Loan Guarantees. In addition to the American Tax Payer Relief of 2012, both the Tax Increase Prevention Act of 2014 and the Consolidated Appropriations Act of 2016 reinstated alternative fuel tax incentives. When in effect, the following incentives were reinstated: alternative fuel infrastructure tax credit, excise tax credit for alternative fuels, tax credit for second generation biofuel production, income and excise tax credit for biodiesel and renewable diesel fuel mixtures, the special depreciation allowance for second generation biofuel plant property, tax credit for second generation biofuel production, and the fuel cell motor vehicle tax credit. The Consolidated Appropriations Act of 2016 also reinstated many </w:t>
      </w:r>
      <w:r w:rsidR="00430A8F">
        <w:rPr>
          <w:rFonts w:ascii="Arial" w:hAnsi="Arial" w:cs="Arial"/>
        </w:rPr>
        <w:t>alternative fuel tax incentives.</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lastRenderedPageBreak/>
        <w:t xml:space="preserve">The Farm Bill of 2014 is a continuation of critical programs such as Supplemental Nutrition Assistance Program (SNAP), specialty crops, organic farmers, and bioenergy. With the 2014 Farm Bill, the USDA </w:t>
      </w:r>
      <w:proofErr w:type="gramStart"/>
      <w:r w:rsidRPr="00BA5C93">
        <w:rPr>
          <w:rFonts w:ascii="Arial" w:hAnsi="Arial" w:cs="Arial"/>
        </w:rPr>
        <w:t>is allowed to</w:t>
      </w:r>
      <w:proofErr w:type="gramEnd"/>
      <w:r w:rsidRPr="00BA5C93">
        <w:rPr>
          <w:rFonts w:ascii="Arial" w:hAnsi="Arial" w:cs="Arial"/>
        </w:rPr>
        <w:t xml:space="preserve"> continue to record accomplishments and expand the agricultural product market. The benefits include the following: makes major changes in commodity programs; adds new crop insurance options; streamlines conservation programs; modifies some provisions of SNAP; and expands programs for specialty crops, organic farmers, bioenergy, rural development, and beginning farmers</w:t>
      </w:r>
      <w:r w:rsidR="00430A8F">
        <w:rPr>
          <w:rFonts w:ascii="Arial" w:hAnsi="Arial" w:cs="Arial"/>
        </w:rPr>
        <w:t xml:space="preserve"> and ranchers</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Executive Order 13693 of 2015 looks to reduce the governmental footprint with national greenhouse gas emissions reduction. Planning for Federal sustainability in the next decade includes cutting the government's greenhouse gas emissions by 40% in next decade (2008 levels) and increasing the share of electricity the government consumes from renewable energy to at least 30 percent by fiscal year 2025</w:t>
      </w:r>
      <w:r w:rsidR="00430A8F">
        <w:rPr>
          <w:rFonts w:ascii="Arial" w:hAnsi="Arial" w:cs="Arial"/>
        </w:rPr>
        <w:t xml:space="preserve">. </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In addition to the policies analyzed above, there are other programs and initiatives such as taxes, tax credits, grants and bonds to promote the production and use of biofuels.</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Tax credits and grants are given to businesses for their fuels and blends. A value-added producer grant is a competitive grant program administered by the Rural Business-Cooperative Service of USDA that will help to generate new products, create and expand marketing opportunities, and increase producer income. The grant is available to help independent agricultural producers enter or expand value added activities, including innovative uses of agricultural projects, such as biofuels production.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The alternative fuel infrastructure tax credit allowed for fueling equipment for natural gas, propane, liquefied hydrogen, electricity, E85 (an ethanol fuel blend consisting of 15 percent gasoline and 85 percent ethanol), or diesel fuel blends containing a minimum of 20 percent biodiesel installed through December 31, 2017, to be eligible for a tax credit of 30 percent of the cost, not to exceed 30,000 dollars. Fueling station owners who install qualified equipment at multiple sites </w:t>
      </w:r>
      <w:proofErr w:type="gramStart"/>
      <w:r w:rsidRPr="00BA5C93">
        <w:rPr>
          <w:rFonts w:ascii="Arial" w:hAnsi="Arial" w:cs="Arial"/>
        </w:rPr>
        <w:t>are allowed to</w:t>
      </w:r>
      <w:proofErr w:type="gramEnd"/>
      <w:r w:rsidRPr="00BA5C93">
        <w:rPr>
          <w:rFonts w:ascii="Arial" w:hAnsi="Arial" w:cs="Arial"/>
        </w:rPr>
        <w:t xml:space="preserve"> use the credit towards each location. Consumers who purchased qualified residential fueling equipment prior to December 31, 2017 may receive a tax credit of up to 1,000</w:t>
      </w:r>
      <w:r w:rsidR="00430A8F">
        <w:rPr>
          <w:rFonts w:ascii="Arial" w:hAnsi="Arial" w:cs="Arial"/>
        </w:rPr>
        <w:t xml:space="preserve"> dollars</w:t>
      </w:r>
      <w:r w:rsidRPr="00BA5C93">
        <w:rPr>
          <w:rFonts w:ascii="Arial" w:hAnsi="Arial" w:cs="Arial"/>
        </w:rPr>
        <w:t>.</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biodiesel mixture excise tax credit authorizes an alternative fuel blender, registered with the Internal Revenue Service, to be eligible for a tax incentive on the sale or use of the alternative fuel blend. The credit is in the amount of 0.50 dollars per gallon of alternative fuel used to produce a mixture containing at least 0.1 percent gasoline, diesel, or kerosene. Compressed natural gas, liquefied natural gas, liquefied hydrogen, propane, P-Series fuel, liquid fuel derived from coal through the Fischer-</w:t>
      </w:r>
      <w:proofErr w:type="spellStart"/>
      <w:r w:rsidRPr="00BA5C93">
        <w:rPr>
          <w:rFonts w:ascii="Arial" w:hAnsi="Arial" w:cs="Arial"/>
        </w:rPr>
        <w:t>Tropsch</w:t>
      </w:r>
      <w:proofErr w:type="spellEnd"/>
      <w:r w:rsidRPr="00BA5C93">
        <w:rPr>
          <w:rFonts w:ascii="Arial" w:hAnsi="Arial" w:cs="Arial"/>
        </w:rPr>
        <w:t xml:space="preserve"> process, and compressed or liquefied gas derived from biomass are qualified alternative fuels.</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second generation biofuel producer tax credit allows for a second generation biofuel producer, registered with the Internal Revenue Service, to be eligible for a tax incentive in the amount of up to 1.01 dollar per gallon of second generation biofuel that is: sold and used by the purchaser in the purchaser's trade or business to produce a second generation biofuel mixture, sold and used by the purchaser as a fuel in a trade or business, sold at retail for use as a motor vehicle fuel, used by the producer in a trade or business to produce a second generation biofuel mixture, used by the producer a</w:t>
      </w:r>
      <w:r w:rsidR="00430A8F">
        <w:rPr>
          <w:rFonts w:ascii="Arial" w:hAnsi="Arial" w:cs="Arial"/>
        </w:rPr>
        <w:t>s a fuel in a trade or business</w:t>
      </w:r>
      <w:r w:rsidRPr="00BA5C93">
        <w:rPr>
          <w:rFonts w:ascii="Arial" w:hAnsi="Arial" w:cs="Arial"/>
        </w:rPr>
        <w:t xml:space="preserve">.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The alternative fuel and advanced vehicle technology research and demonstration bonds promote qualified energy conservation projects by offering competitive rates on bonds to fund capital expenditures. Qualified state, tribal, and local governments may issue Qualified Energy Conservation Bonds subsidized by the United States Department of Treasury at competitive rates to fund capital expenditures on qualified energy conservation projects.</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Advanced biofuel production grants and loan guarantees promote the increase of biorefineries that produce advanced biofuels. The Biorefinery Assistance Program provides loan guarantees for the development, construction, and retrofitting of commercial-scale biorefineries that produce advanced biofuels. Grants for demonstration scale biorefineries are also available. Eligible applicants include individuals, state or local governments, farm cooperatives, national laboratories, institutions of higher education, and rural electric cooperatives. The maximum loan guarantee is 250 million dollars, and the maximum grant f</w:t>
      </w:r>
      <w:r w:rsidR="00430A8F">
        <w:rPr>
          <w:rFonts w:ascii="Arial" w:hAnsi="Arial" w:cs="Arial"/>
        </w:rPr>
        <w:t>unding is 50% of project costs</w:t>
      </w:r>
      <w:r w:rsidRPr="00BA5C93">
        <w:rPr>
          <w:rFonts w:ascii="Arial" w:hAnsi="Arial" w:cs="Arial"/>
        </w:rPr>
        <w:t>.</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To support and ensure an expanding production of advanced biofuels, advanced biofuel production payments are given to biofuel producers for their finished advanced biofuel products. Any entity that produces and sells advanced biofuel is eligible to apply.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Biodiesel education grants educate people on the benefits of biodiesel use. Competitive grants are available through the Biodiesel Fuel Education Program to educate governmental and private entities that operate vehicle fleets, the public, and other interested entities about the benefits of biodiesel use. Eligible applicants are non-profit organizations and institutes of higher education that have demonstrated knowledge of biodiesel fuel production, use, or distribution.</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Diesel emissions reduction is a priority for those looking to reduce pollution. There are more than two million agricultural diesel engines in operation within the United States. The agricultural sector contributes nearly one-quarter of the nitrogen oxides and one third particulate matter of all land-based, non-road diesel emissions. Two innovative programs – the Clean Construction USA and Clean Agriculture USA – are part of the National Clean Diesel Campaign, working at reducing pollution emitted from diesel engines from construction and agricultural equipment. </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 xml:space="preserve">Several programs have been created to promote better air quality via cleaner fuels. These programs include the Voluntary Airport Low Emission Program, the Air Pollution Control Program, the Clean Cities, and the Clean Ports USA/ Ports Initiative: </w:t>
      </w:r>
    </w:p>
    <w:p w:rsidR="00BA5C93" w:rsidRPr="00BA5C93" w:rsidRDefault="00BA5C93" w:rsidP="00BA5C93">
      <w:pPr>
        <w:spacing w:after="0"/>
        <w:jc w:val="both"/>
        <w:rPr>
          <w:rFonts w:ascii="Arial" w:hAnsi="Arial" w:cs="Arial"/>
        </w:rPr>
      </w:pPr>
    </w:p>
    <w:p w:rsidR="00BA5C93" w:rsidRPr="00BA5C93" w:rsidRDefault="00BA5C93" w:rsidP="00430A8F">
      <w:pPr>
        <w:spacing w:after="0"/>
        <w:ind w:left="360" w:hanging="360"/>
        <w:jc w:val="both"/>
        <w:rPr>
          <w:rFonts w:ascii="Arial" w:hAnsi="Arial" w:cs="Arial"/>
        </w:rPr>
      </w:pPr>
      <w:r w:rsidRPr="00BA5C93">
        <w:rPr>
          <w:rFonts w:ascii="Arial" w:hAnsi="Arial" w:cs="Arial"/>
        </w:rPr>
        <w:t>•</w:t>
      </w:r>
      <w:r w:rsidRPr="00BA5C93">
        <w:rPr>
          <w:rFonts w:ascii="Arial" w:hAnsi="Arial" w:cs="Arial"/>
        </w:rPr>
        <w:tab/>
        <w:t>The Voluntary Airport Low Emission Program of 2004 improves airport air quality and provides air quality credits for future airport development. Through this program, airport sponsors can use Airport Improvement Program funds and Passenger Facility Charges to finance low emission vehicles, refueling and recharging stations, gate electrification, and other airport air quality improvements.</w:t>
      </w:r>
    </w:p>
    <w:p w:rsidR="00BA5C93" w:rsidRPr="00BA5C93" w:rsidRDefault="00BA5C93" w:rsidP="00430A8F">
      <w:pPr>
        <w:spacing w:after="0"/>
        <w:ind w:left="360" w:hanging="360"/>
        <w:jc w:val="both"/>
        <w:rPr>
          <w:rFonts w:ascii="Arial" w:hAnsi="Arial" w:cs="Arial"/>
        </w:rPr>
      </w:pPr>
    </w:p>
    <w:p w:rsidR="00BA5C93" w:rsidRPr="00BA5C93" w:rsidRDefault="00BA5C93" w:rsidP="00430A8F">
      <w:pPr>
        <w:spacing w:after="0"/>
        <w:ind w:left="360" w:hanging="360"/>
        <w:jc w:val="both"/>
        <w:rPr>
          <w:rFonts w:ascii="Arial" w:hAnsi="Arial" w:cs="Arial"/>
        </w:rPr>
      </w:pPr>
      <w:r w:rsidRPr="00BA5C93">
        <w:rPr>
          <w:rFonts w:ascii="Arial" w:hAnsi="Arial" w:cs="Arial"/>
        </w:rPr>
        <w:t>•</w:t>
      </w:r>
      <w:r w:rsidRPr="00BA5C93">
        <w:rPr>
          <w:rFonts w:ascii="Arial" w:hAnsi="Arial" w:cs="Arial"/>
        </w:rPr>
        <w:tab/>
        <w:t xml:space="preserve">The Air Pollution Control Program aims to prevent and control air pollution by assisting state, tribal, municipal, intermunicipal, and interstate agencies in planning, developing, establishing, improving, and maintaining adequate programs for the continuing prevention and control of air pollution and/or in the implementation of national primary and secondary air quality standards. </w:t>
      </w:r>
    </w:p>
    <w:p w:rsidR="00BA5C93" w:rsidRPr="00BA5C93" w:rsidRDefault="00BA5C93" w:rsidP="00430A8F">
      <w:pPr>
        <w:spacing w:after="0"/>
        <w:ind w:left="360" w:hanging="360"/>
        <w:jc w:val="both"/>
        <w:rPr>
          <w:rFonts w:ascii="Arial" w:hAnsi="Arial" w:cs="Arial"/>
        </w:rPr>
      </w:pPr>
    </w:p>
    <w:p w:rsidR="00BA5C93" w:rsidRPr="00BA5C93" w:rsidRDefault="00BA5C93" w:rsidP="00430A8F">
      <w:pPr>
        <w:spacing w:after="0"/>
        <w:ind w:left="360" w:hanging="360"/>
        <w:jc w:val="both"/>
        <w:rPr>
          <w:rFonts w:ascii="Arial" w:hAnsi="Arial" w:cs="Arial"/>
        </w:rPr>
      </w:pPr>
      <w:r w:rsidRPr="00BA5C93">
        <w:rPr>
          <w:rFonts w:ascii="Arial" w:hAnsi="Arial" w:cs="Arial"/>
        </w:rPr>
        <w:t>•</w:t>
      </w:r>
      <w:r w:rsidRPr="00BA5C93">
        <w:rPr>
          <w:rFonts w:ascii="Arial" w:hAnsi="Arial" w:cs="Arial"/>
        </w:rPr>
        <w:tab/>
        <w:t>Clean Cities advances the energy, economic, and environmental security of the United States by supporting local initiatives to adopt practices that reduce the use of petroleu</w:t>
      </w:r>
      <w:r w:rsidR="00430A8F">
        <w:rPr>
          <w:rFonts w:ascii="Arial" w:hAnsi="Arial" w:cs="Arial"/>
        </w:rPr>
        <w:t>m in the transportation sector</w:t>
      </w:r>
      <w:r w:rsidRPr="00BA5C93">
        <w:rPr>
          <w:rFonts w:ascii="Arial" w:hAnsi="Arial" w:cs="Arial"/>
        </w:rPr>
        <w:t xml:space="preserve">. </w:t>
      </w:r>
    </w:p>
    <w:p w:rsidR="00BA5C93" w:rsidRPr="00BA5C93" w:rsidRDefault="00BA5C93" w:rsidP="00430A8F">
      <w:pPr>
        <w:spacing w:after="0"/>
        <w:ind w:left="360" w:hanging="360"/>
        <w:jc w:val="both"/>
        <w:rPr>
          <w:rFonts w:ascii="Arial" w:hAnsi="Arial" w:cs="Arial"/>
        </w:rPr>
      </w:pPr>
    </w:p>
    <w:p w:rsidR="00BA5C93" w:rsidRPr="00BA5C93" w:rsidRDefault="00BA5C93" w:rsidP="00430A8F">
      <w:pPr>
        <w:spacing w:after="0"/>
        <w:ind w:left="360" w:hanging="360"/>
        <w:jc w:val="both"/>
        <w:rPr>
          <w:rFonts w:ascii="Arial" w:hAnsi="Arial" w:cs="Arial"/>
        </w:rPr>
      </w:pPr>
      <w:r w:rsidRPr="00BA5C93">
        <w:rPr>
          <w:rFonts w:ascii="Arial" w:hAnsi="Arial" w:cs="Arial"/>
        </w:rPr>
        <w:t>•</w:t>
      </w:r>
      <w:r w:rsidRPr="00BA5C93">
        <w:rPr>
          <w:rFonts w:ascii="Arial" w:hAnsi="Arial" w:cs="Arial"/>
        </w:rPr>
        <w:tab/>
        <w:t>Clean Ports USA/Ports Initiative was created to promote the replacement of old diesel engines with new technologies and use cleaner fuels. Port authorities and terminal operators can retrofit and replace older diesel engines with new technologies and use cleaner fuels.</w:t>
      </w:r>
    </w:p>
    <w:p w:rsidR="00BA5C93" w:rsidRPr="00BA5C93" w:rsidRDefault="00BA5C93" w:rsidP="00BA5C93">
      <w:pPr>
        <w:spacing w:after="0"/>
        <w:jc w:val="both"/>
        <w:rPr>
          <w:rFonts w:ascii="Arial" w:hAnsi="Arial" w:cs="Arial"/>
        </w:rPr>
      </w:pPr>
    </w:p>
    <w:p w:rsidR="00BA5C93" w:rsidRPr="00BA5C93" w:rsidRDefault="00BA5C93" w:rsidP="00BA5C93">
      <w:pPr>
        <w:spacing w:after="0"/>
        <w:jc w:val="both"/>
        <w:rPr>
          <w:rFonts w:ascii="Arial" w:hAnsi="Arial" w:cs="Arial"/>
        </w:rPr>
      </w:pPr>
      <w:r w:rsidRPr="00BA5C93">
        <w:rPr>
          <w:rFonts w:ascii="Arial" w:hAnsi="Arial" w:cs="Arial"/>
        </w:rPr>
        <w:t>Grants are used to incentivize developing new, advanced technology that will increase fuel efficiency and reduce dependence on foreign energy imports. Advanced energy research project grants are developing new advanced energy technologies for reducing dependence on foreign energy imports and reducing the United States energy-related emissions. Grants ensure that the United States maintains its leadership in developing and deployin</w:t>
      </w:r>
      <w:r w:rsidR="00430A8F">
        <w:rPr>
          <w:rFonts w:ascii="Arial" w:hAnsi="Arial" w:cs="Arial"/>
        </w:rPr>
        <w:t>g advanced energy technologies</w:t>
      </w:r>
      <w:r w:rsidRPr="00BA5C93">
        <w:rPr>
          <w:rFonts w:ascii="Arial" w:hAnsi="Arial" w:cs="Arial"/>
        </w:rPr>
        <w:t>.</w:t>
      </w:r>
    </w:p>
    <w:p w:rsidR="00BA5C93" w:rsidRPr="00BA5C93" w:rsidRDefault="00BA5C93" w:rsidP="00BA5C93">
      <w:pPr>
        <w:spacing w:after="0"/>
        <w:jc w:val="both"/>
        <w:rPr>
          <w:rFonts w:ascii="Arial" w:hAnsi="Arial" w:cs="Arial"/>
        </w:rPr>
      </w:pPr>
    </w:p>
    <w:p w:rsidR="00F94DF0" w:rsidRDefault="00BA5C93" w:rsidP="00BA5C93">
      <w:pPr>
        <w:spacing w:after="0"/>
        <w:jc w:val="both"/>
        <w:rPr>
          <w:rFonts w:ascii="Arial" w:hAnsi="Arial" w:cs="Arial"/>
        </w:rPr>
      </w:pPr>
      <w:r w:rsidRPr="00BA5C93">
        <w:rPr>
          <w:rFonts w:ascii="Arial" w:hAnsi="Arial" w:cs="Arial"/>
        </w:rPr>
        <w:t>Both the Air Force and the Navy have tested jet biofuel in their aircraft. Together with the Departments of Energy and Agriculture, the Navy has launched a project to invest up to half a billion dollars in biofuel refineries. It is estimated that 50 percent of the Navy's fuel for aircraft and surface ships will come from renewable sources by 2020. The Great Green Fleet, which began in 2009, is an internal program beginning to use biofuel options for energy innovation. The Department of the Navy initiative demonstrates the sea service’s efforts to transform its energy use. Maritime vessels also utilized alternative fuel sources, including nuclear power for aircraft carriers and a blend of advanced biofuel and traditional petroleum for escort ships.</w:t>
      </w:r>
    </w:p>
    <w:p w:rsidR="00430A8F" w:rsidRPr="00050A1C" w:rsidRDefault="00430A8F" w:rsidP="00BA5C93">
      <w:pPr>
        <w:spacing w:after="0"/>
        <w:jc w:val="both"/>
        <w:rPr>
          <w:rFonts w:ascii="Arial" w:hAnsi="Arial" w:cs="Arial"/>
        </w:rPr>
      </w:pPr>
    </w:p>
    <w:p w:rsidR="00050A1C" w:rsidRPr="00050A1C" w:rsidRDefault="00050A1C" w:rsidP="00050A1C">
      <w:pPr>
        <w:pStyle w:val="Heading3"/>
      </w:pPr>
      <w:r w:rsidRPr="00050A1C">
        <w:t xml:space="preserve">Biobased </w:t>
      </w:r>
      <w:r w:rsidR="002D4599">
        <w:t>P</w:t>
      </w:r>
      <w:r w:rsidRPr="00050A1C">
        <w:t>roducts</w:t>
      </w:r>
      <w:r w:rsidR="002D4599">
        <w:t xml:space="preserve"> Policies</w:t>
      </w:r>
    </w:p>
    <w:p w:rsidR="00050A1C" w:rsidRPr="00050A1C" w:rsidRDefault="00050A1C" w:rsidP="00050A1C">
      <w:pPr>
        <w:jc w:val="both"/>
        <w:rPr>
          <w:rFonts w:ascii="Arial" w:hAnsi="Arial" w:cs="Arial"/>
        </w:rPr>
      </w:pPr>
    </w:p>
    <w:p w:rsidR="00217422" w:rsidRDefault="00217422" w:rsidP="00217422">
      <w:pPr>
        <w:spacing w:after="0"/>
        <w:jc w:val="both"/>
        <w:rPr>
          <w:rFonts w:ascii="Arial" w:hAnsi="Arial" w:cs="Arial"/>
        </w:rPr>
      </w:pPr>
      <w:r w:rsidRPr="00217422">
        <w:rPr>
          <w:rFonts w:ascii="Arial" w:hAnsi="Arial" w:cs="Arial"/>
        </w:rPr>
        <w:t xml:space="preserve">A focus on the bioproduct industry has led to an increase of policies supporting the production of biobased products. Many programs and executive orders have stressed the development of biobased products within the United States economy (see </w:t>
      </w:r>
      <w:r>
        <w:rPr>
          <w:rFonts w:ascii="Arial" w:hAnsi="Arial" w:cs="Arial"/>
        </w:rPr>
        <w:t>timeline</w:t>
      </w:r>
      <w:r w:rsidRPr="00217422">
        <w:rPr>
          <w:rFonts w:ascii="Arial" w:hAnsi="Arial" w:cs="Arial"/>
        </w:rPr>
        <w:t>).</w:t>
      </w:r>
    </w:p>
    <w:p w:rsidR="00217422" w:rsidRDefault="00217422" w:rsidP="00217422">
      <w:pPr>
        <w:spacing w:after="0"/>
        <w:jc w:val="both"/>
        <w:rPr>
          <w:rFonts w:ascii="Arial" w:hAnsi="Arial" w:cs="Arial"/>
        </w:rPr>
      </w:pPr>
    </w:p>
    <w:p w:rsidR="00217422" w:rsidRDefault="00217422" w:rsidP="00217422">
      <w:pPr>
        <w:spacing w:after="0"/>
        <w:jc w:val="both"/>
        <w:rPr>
          <w:rFonts w:ascii="Arial" w:hAnsi="Arial" w:cs="Arial"/>
        </w:rPr>
      </w:pPr>
      <w:r w:rsidRPr="005306A4">
        <w:rPr>
          <w:rFonts w:ascii="Arial" w:hAnsi="Arial" w:cs="Arial"/>
          <w:highlight w:val="yellow"/>
        </w:rPr>
        <w:t>[TIMELINE</w:t>
      </w:r>
      <w:r w:rsidR="002661DB" w:rsidRPr="005306A4">
        <w:rPr>
          <w:rFonts w:ascii="Arial" w:hAnsi="Arial" w:cs="Arial"/>
          <w:highlight w:val="yellow"/>
        </w:rPr>
        <w:t xml:space="preserve"> 2</w:t>
      </w:r>
      <w:r w:rsidRPr="005306A4">
        <w:rPr>
          <w:rFonts w:ascii="Arial" w:hAnsi="Arial" w:cs="Arial"/>
          <w:highlight w:val="yellow"/>
        </w:rPr>
        <w:t>]</w:t>
      </w:r>
    </w:p>
    <w:p w:rsidR="00217422" w:rsidRDefault="00217422" w:rsidP="00217422">
      <w:pPr>
        <w:spacing w:after="0"/>
        <w:jc w:val="both"/>
        <w:rPr>
          <w:rFonts w:ascii="Arial" w:hAnsi="Arial" w:cs="Arial"/>
        </w:rPr>
      </w:pPr>
    </w:p>
    <w:p w:rsidR="00217422" w:rsidRPr="00217422" w:rsidRDefault="00217422" w:rsidP="00217422">
      <w:pPr>
        <w:spacing w:after="0"/>
        <w:jc w:val="both"/>
        <w:rPr>
          <w:rFonts w:ascii="Arial" w:hAnsi="Arial" w:cs="Arial"/>
        </w:rPr>
      </w:pPr>
      <w:r w:rsidRPr="00217422">
        <w:rPr>
          <w:rFonts w:ascii="Arial" w:hAnsi="Arial" w:cs="Arial"/>
        </w:rPr>
        <w:t xml:space="preserve">Under Executive Order 13101 (1998), federal agencies must comply with executive branch policies for the acquisition and use of environmentally preferable products and services. The agencies implement cost-effective procurement preference programs that favor the purchase of these products and services. </w:t>
      </w:r>
      <w:proofErr w:type="gramStart"/>
      <w:r w:rsidRPr="00217422">
        <w:rPr>
          <w:rFonts w:ascii="Arial" w:hAnsi="Arial" w:cs="Arial"/>
        </w:rPr>
        <w:t>In order to</w:t>
      </w:r>
      <w:proofErr w:type="gramEnd"/>
      <w:r w:rsidRPr="00217422">
        <w:rPr>
          <w:rFonts w:ascii="Arial" w:hAnsi="Arial" w:cs="Arial"/>
        </w:rPr>
        <w:t xml:space="preserve"> achieve "Greening the Government," pollution prevention must be activated whenever feasible. This includes the actions of waste prevention and recycling. Use of environmentally preferable products and services is recommended and the pollution that cannot be prevented or recycled should be treated in an environmentally safe manner.</w:t>
      </w:r>
    </w:p>
    <w:p w:rsidR="00217422" w:rsidRPr="00217422" w:rsidRDefault="00217422" w:rsidP="00217422">
      <w:pPr>
        <w:spacing w:after="0"/>
        <w:jc w:val="both"/>
        <w:rPr>
          <w:rFonts w:ascii="Arial" w:hAnsi="Arial" w:cs="Arial"/>
        </w:rPr>
      </w:pPr>
    </w:p>
    <w:p w:rsidR="00217422" w:rsidRPr="00217422" w:rsidRDefault="00217422" w:rsidP="00217422">
      <w:pPr>
        <w:spacing w:after="0"/>
        <w:jc w:val="both"/>
        <w:rPr>
          <w:rFonts w:ascii="Arial" w:hAnsi="Arial" w:cs="Arial"/>
        </w:rPr>
      </w:pPr>
      <w:r w:rsidRPr="00217422">
        <w:rPr>
          <w:rFonts w:ascii="Arial" w:hAnsi="Arial" w:cs="Arial"/>
        </w:rPr>
        <w:t>Executive Order 13134 (1999) was created to develop and promote biobased products and bioenergy with research, development, and private sector incentives used to stimulate the creation and early adoption of technologies needed to make biobased products and bioenergy cost-competitive in large national and international markets.</w:t>
      </w:r>
    </w:p>
    <w:p w:rsidR="00217422" w:rsidRPr="00217422" w:rsidRDefault="00217422" w:rsidP="00217422">
      <w:pPr>
        <w:spacing w:after="0"/>
        <w:jc w:val="both"/>
        <w:rPr>
          <w:rFonts w:ascii="Arial" w:hAnsi="Arial" w:cs="Arial"/>
        </w:rPr>
      </w:pPr>
    </w:p>
    <w:p w:rsidR="00217422" w:rsidRPr="00217422" w:rsidRDefault="00217422" w:rsidP="00217422">
      <w:pPr>
        <w:spacing w:after="0"/>
        <w:jc w:val="both"/>
        <w:rPr>
          <w:rFonts w:ascii="Arial" w:hAnsi="Arial" w:cs="Arial"/>
        </w:rPr>
      </w:pPr>
      <w:r w:rsidRPr="00217422">
        <w:rPr>
          <w:rFonts w:ascii="Arial" w:hAnsi="Arial" w:cs="Arial"/>
        </w:rPr>
        <w:lastRenderedPageBreak/>
        <w:t>In 2002, the USDA BioPreferred Program was created by the 2002 Farm Bill to focus on new and emerging markets, further supported by the 2008 Farm Bill, and then reauthorized and revised by the 2014 Farm Bill. The goal of the 2014 Farm Bill was to increase the purchase and use of biobased products, such as biobased chemicals, enzymes, bioplastics, forest products and textiles. The USDA BioPreferred Program uses the mandatory federal purchasing initiative and voluntary “USDA Certified Biobased Product” label. Federal agencies are required to purchase biobased products designated for mandatory federal purchasing</w:t>
      </w:r>
      <w:r>
        <w:rPr>
          <w:rFonts w:ascii="Arial" w:hAnsi="Arial" w:cs="Arial"/>
        </w:rPr>
        <w:t xml:space="preserve"> under the BioPreferred program.</w:t>
      </w:r>
    </w:p>
    <w:p w:rsidR="00217422" w:rsidRPr="00217422" w:rsidRDefault="00217422" w:rsidP="00217422">
      <w:pPr>
        <w:spacing w:after="0"/>
        <w:jc w:val="both"/>
        <w:rPr>
          <w:rFonts w:ascii="Arial" w:hAnsi="Arial" w:cs="Arial"/>
        </w:rPr>
      </w:pPr>
    </w:p>
    <w:p w:rsidR="00217422" w:rsidRDefault="00217422" w:rsidP="00217422">
      <w:pPr>
        <w:spacing w:after="0"/>
        <w:jc w:val="both"/>
        <w:rPr>
          <w:rFonts w:ascii="Arial" w:hAnsi="Arial" w:cs="Arial"/>
        </w:rPr>
      </w:pPr>
      <w:r w:rsidRPr="00217422">
        <w:rPr>
          <w:rFonts w:ascii="Arial" w:hAnsi="Arial" w:cs="Arial"/>
        </w:rPr>
        <w:t>Projects eligible for the Biorefinery, Renewable Chemical, and Biobased Product Manufacturing Assistance Program of 2014 include biorefineries and biobased manufacturing facilities. A project loan guarantees up to 250 million dollars for the development, construction and retrofitting of new and emerging technologies for advanced biofuels, renewable chemicals and biobased products.</w:t>
      </w:r>
    </w:p>
    <w:p w:rsidR="00217422" w:rsidRDefault="00217422" w:rsidP="00050A1C">
      <w:pPr>
        <w:jc w:val="both"/>
        <w:rPr>
          <w:rFonts w:ascii="Arial" w:hAnsi="Arial" w:cs="Arial"/>
        </w:rPr>
      </w:pPr>
    </w:p>
    <w:p w:rsidR="002100F2" w:rsidRDefault="00CE1D2B" w:rsidP="00050A1C">
      <w:pPr>
        <w:jc w:val="both"/>
        <w:rPr>
          <w:rFonts w:ascii="Arial" w:hAnsi="Arial" w:cs="Arial"/>
        </w:rPr>
      </w:pPr>
      <w:r w:rsidRPr="00050A1C">
        <w:rPr>
          <w:noProof/>
        </w:rPr>
        <mc:AlternateContent>
          <mc:Choice Requires="wps">
            <w:drawing>
              <wp:inline distT="0" distB="0" distL="0" distR="0" wp14:anchorId="682760F4" wp14:editId="49BF708B">
                <wp:extent cx="2744598" cy="369332"/>
                <wp:effectExtent l="0" t="0" r="0" b="0"/>
                <wp:docPr id="1" name="TextBox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State</w:t>
                            </w:r>
                          </w:p>
                        </w:txbxContent>
                      </wps:txbx>
                      <wps:bodyPr wrap="square" rtlCol="0">
                        <a:spAutoFit/>
                      </wps:bodyPr>
                    </wps:wsp>
                  </a:graphicData>
                </a:graphic>
              </wp:inline>
            </w:drawing>
          </mc:Choice>
          <mc:Fallback>
            <w:pict>
              <v:shape w14:anchorId="682760F4" id="_x0000_s1027"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" fillcolor="#d0c4ea" stroked="f">
                <v:textbox style="mso-fit-shape-to-text:t">
                  <w:txbxContent>
                    <w:p w:rsidR="00CE1D2B" w:rsidRDefault="00CE1D2B" w:rsidP="00CE1D2B">
                      <w:pPr>
                        <w:pStyle w:val="NormalWeb"/>
                        <w:spacing w:before="0" w:beforeAutospacing="0" w:after="0" w:afterAutospacing="0"/>
                      </w:pPr>
                      <w:r>
                        <w:rPr>
                          <w:rFonts w:asciiTheme="minorHAnsi" w:hAnsi="Calibri" w:cstheme="minorBidi"/>
                          <w:b/>
                          <w:bCs/>
                          <w:color w:val="000000" w:themeColor="text1"/>
                          <w:kern w:val="24"/>
                          <w:sz w:val="36"/>
                          <w:szCs w:val="36"/>
                        </w:rPr>
                        <w:t>State</w:t>
                      </w:r>
                    </w:p>
                  </w:txbxContent>
                </v:textbox>
                <w10:anchorlock/>
              </v:shape>
            </w:pict>
          </mc:Fallback>
        </mc:AlternateContent>
      </w:r>
    </w:p>
    <w:p w:rsidR="00217422" w:rsidRPr="00050A1C" w:rsidRDefault="00217422" w:rsidP="00217422">
      <w:pPr>
        <w:pStyle w:val="Heading3"/>
      </w:pPr>
      <w:r w:rsidRPr="00050A1C">
        <w:t>Biofuel</w:t>
      </w:r>
      <w:r>
        <w:t xml:space="preserve"> Policies</w:t>
      </w:r>
    </w:p>
    <w:p w:rsidR="00CE1D2B" w:rsidRPr="00CE1D2B" w:rsidRDefault="00CE1D2B" w:rsidP="00CE1D2B">
      <w:pPr>
        <w:jc w:val="both"/>
        <w:rPr>
          <w:rFonts w:ascii="Arial" w:hAnsi="Arial" w:cs="Arial"/>
        </w:rPr>
      </w:pPr>
    </w:p>
    <w:p w:rsidR="008A6BCE" w:rsidRDefault="008A6BCE" w:rsidP="008A6BCE">
      <w:pPr>
        <w:spacing w:after="0" w:line="240" w:lineRule="auto"/>
        <w:jc w:val="both"/>
        <w:rPr>
          <w:rFonts w:ascii="Arial" w:hAnsi="Arial" w:cs="Arial"/>
        </w:rPr>
      </w:pPr>
      <w:r w:rsidRPr="008A6BCE">
        <w:rPr>
          <w:rFonts w:ascii="Arial" w:hAnsi="Arial" w:cs="Arial"/>
        </w:rPr>
        <w:t xml:space="preserve">Several biofuel policies exist at the state level. While many states have similar policies, several states are distinguished by their differences in terminology and standards, such as a further breakdown of how a state defines the term ‘biodiesel’. States have alternative fuel incentives, tax credits, or exemptions that are either similar or varying in nature. </w:t>
      </w:r>
    </w:p>
    <w:p w:rsidR="008A6BCE" w:rsidRDefault="008A6BCE" w:rsidP="008A6BCE">
      <w:pPr>
        <w:spacing w:after="0" w:line="240" w:lineRule="auto"/>
        <w:jc w:val="both"/>
        <w:rPr>
          <w:rFonts w:ascii="Arial" w:hAnsi="Arial" w:cs="Arial"/>
        </w:rPr>
      </w:pPr>
    </w:p>
    <w:p w:rsidR="008A6BCE" w:rsidRDefault="008A6BCE" w:rsidP="008A6BCE">
      <w:pPr>
        <w:spacing w:after="0" w:line="240" w:lineRule="auto"/>
        <w:jc w:val="both"/>
        <w:rPr>
          <w:rFonts w:ascii="Arial" w:hAnsi="Arial" w:cs="Arial"/>
        </w:rPr>
      </w:pPr>
      <w:r w:rsidRPr="005306A4">
        <w:rPr>
          <w:rFonts w:ascii="Arial" w:hAnsi="Arial" w:cs="Arial"/>
          <w:highlight w:val="yellow"/>
        </w:rPr>
        <w:t>[ FIGURE 1]</w:t>
      </w:r>
    </w:p>
    <w:p w:rsidR="008A6BCE" w:rsidRPr="008A6BCE" w:rsidRDefault="008A6BCE" w:rsidP="008A6BCE">
      <w:pPr>
        <w:spacing w:after="0" w:line="240" w:lineRule="auto"/>
        <w:jc w:val="both"/>
        <w:rPr>
          <w:rFonts w:ascii="Arial" w:hAnsi="Arial" w:cs="Arial"/>
        </w:rPr>
      </w:pPr>
    </w:p>
    <w:p w:rsidR="00EC7049" w:rsidRDefault="008A6BCE" w:rsidP="008A6BCE">
      <w:pPr>
        <w:spacing w:after="0" w:line="240" w:lineRule="auto"/>
        <w:jc w:val="both"/>
        <w:rPr>
          <w:rFonts w:ascii="Arial" w:hAnsi="Arial" w:cs="Arial"/>
        </w:rPr>
      </w:pPr>
      <w:r w:rsidRPr="008A6BCE">
        <w:rPr>
          <w:rFonts w:ascii="Arial" w:hAnsi="Arial" w:cs="Arial"/>
        </w:rPr>
        <w:t>As depicted, California has the most biofuel policies of any state; followed by Virginia, Illinois, and Indiana. Such policies include alternative fuel school bus regulations and incentives, alternative fuel labeling and ethanol labeling requirements, and biofuels blend use requirements. States with the fewest biofuel policies include Alaska, Michigan, Delaware, and the District of Columbia.</w:t>
      </w:r>
    </w:p>
    <w:p w:rsid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State biofuel policies set alternative fuel school bus regulations and incentives. Virginia and West Virginia have alternative fuel school bus regulations and incentives based on their Boards of Education. The Virginia Board of Education may not limit any local school division to purchase and use school buses powered by compressed natural gas or other alternative fuels or convert its school buses to use compressed natural gas or other alternative fuels. In West Virginia, any county that uses compressed natural gas or propane for its school bus fleet is eligible for a 10 percent reimbursement from the West Virginia Department of Education. That helps offset the cost of maintenance, operation, and other costs incurred from using those compressed natural gas or propane. </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Texas has a Clean School Bus Program. The Texas Commission on Environmental Quality gives grants to any school district or charter school to pay for the incremental costs to replace school buses or install diesel oxidation catalysts, diesel particulate filters, emission-reducing add-on equipment, and other emissions reduction technologies in qualified school buses. Like Texas, California also has a Lower-Emission School Bus Program that grants funds for the replacement of older school buses and for the purchase of air pollution control equipment for in-use buses. </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lastRenderedPageBreak/>
        <w:t xml:space="preserve">Connecticut seeks to reduce emissions by requiring school buses with engines 1994 model and newer to be equipped with specific emissions control systems. Ohio has a School Bus Replacement Grant Program. Other states with bioenergy policies pertaining to school buses include: Kentucky, North Carolina, New Jersey, Illinois, South Carolina, and Oregon. </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North Carolina and Alabama offer alternative fuel and idle reduction grants. Alabama divides low interest energy efficiency loan programs for private and public entities. On the other hand, North Carolina has grants for the incremental cost of original equipment manufacturer alternative fuel vehicles, vehicle conversions, and implementin</w:t>
      </w:r>
      <w:r>
        <w:rPr>
          <w:rFonts w:ascii="Arial" w:hAnsi="Arial" w:cs="Arial"/>
        </w:rPr>
        <w:t>g idle reduction programs</w:t>
      </w:r>
      <w:r w:rsidRPr="008A6BCE">
        <w:rPr>
          <w:rFonts w:ascii="Arial" w:hAnsi="Arial" w:cs="Arial"/>
        </w:rPr>
        <w:t>. Similarly, Maryland and Virginia have alternative fuel infrastructure grants for planning, installation, and operating public access alternative fueling and charging infrastructure.</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The following states have alternative fuel use and vehicle acquisition requirements: Nevada, Texas, Vermont Utah, Missouri, North Carolina, Oklahoma, Maryland, Ohio, West Virginia, Kansas, and Washington. </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In Utah, by August 30, 2018, at least 50 percent of new or replacement light-duty state agency vehicles must meet Bin 2 emissions standards, which apply to all vehicle weight categories, including cars, minivans, light-duty trucks, and SUVs.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In Kansas, state agencies must purchase flexible fuel vehicles capable of operating on E85 fuel if available.</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North Carolina’s alternative fuel vehicle acquisition goal is that at least 75 percent of new or replacement state government light-duty cars and trucks with a gross vehicle weight rating of 8,500 pounds or less must be alternative fuel vehicles or low emission vehicles.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New Mexico and Minnesota have biodiesel blend mandates. In New Mexico, all diesel fuel sold for use in on-road motor vehicles to state agencies, political subdivisions of the state, and public schools must contain at least 5 percent of biodiesel. In Minnesota, diesel fuel sold in the state must be at least 10 percent biodiesel, increasing to 20 percent biodiesel on May 1, 2018. Iowa and South Dakota also offer biodiesel blend tax credits.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Biodiesel production and blending tax credits are provided to aid qualified producers or blenders. Kentucky and North Dakota are examples of states that have biodiesel production and blending tax credits. In Kentucky, qualified biodiesel producers or blenders are eligible for an income tax credit of 1.00 dollar per gallon of pure biodiesel or renewable diesel produced or used in the blending process. In North Dakota, a corporate income tax credit of 10 percent of the direct costs incurred to add equipment to retrofit an existing facility or construct a new facility in the state </w:t>
      </w:r>
      <w:proofErr w:type="gramStart"/>
      <w:r w:rsidRPr="008A6BCE">
        <w:rPr>
          <w:rFonts w:ascii="Arial" w:hAnsi="Arial" w:cs="Arial"/>
        </w:rPr>
        <w:t>for the purpose of</w:t>
      </w:r>
      <w:proofErr w:type="gramEnd"/>
      <w:r w:rsidRPr="008A6BCE">
        <w:rPr>
          <w:rFonts w:ascii="Arial" w:hAnsi="Arial" w:cs="Arial"/>
        </w:rPr>
        <w:t xml:space="preserve"> producing or blending diesel fuel containing at least two percent of biodiesel or green diesel is given to qualified producers or blenders.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Texas and Oklahoma have natural gas vehicle and fueling infrastructure rebates. The Texas Gas Service Conservation Program offers a 2,000 dollars rebate for the purchase of a qualified natural gas vehicle or 3,000 dollars for the conversion of a gasoline powered vehi</w:t>
      </w:r>
      <w:r>
        <w:rPr>
          <w:rFonts w:ascii="Arial" w:hAnsi="Arial" w:cs="Arial"/>
        </w:rPr>
        <w:t xml:space="preserve">cle to operate on natural gas. </w:t>
      </w:r>
      <w:r w:rsidRPr="008A6BCE">
        <w:rPr>
          <w:rFonts w:ascii="Arial" w:hAnsi="Arial" w:cs="Arial"/>
        </w:rPr>
        <w:t>Oklahoma Natural Gas offers rebates for natural gas vehicles purchased or converted after June 20, 2016, in the amount of 2,000 dollars for a dedicated of bi-fuel natural gas vehicle. Also, 3,000 dollars can go toward the cost of a compressed natural gas home fueling station.</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Virginia and Wisconsin have alternative fuel license policies. In Virginia, people with alternative fuel vehicles from a private source that do not pay the alternative fuels tax must obtain an </w:t>
      </w:r>
      <w:r w:rsidRPr="008A6BCE">
        <w:rPr>
          <w:rFonts w:ascii="Arial" w:hAnsi="Arial" w:cs="Arial"/>
        </w:rPr>
        <w:lastRenderedPageBreak/>
        <w:t xml:space="preserve">alternative fuel license from the Virginia Department of Motor Vehicles. In Wisconsin, anyone acting as an alternative fuels dealer must hold a valid alternative fuel license and certificate from the Wisconsin Department of Administration. To conduct business in Wyoming, an annual </w:t>
      </w:r>
      <w:proofErr w:type="gramStart"/>
      <w:r w:rsidRPr="008A6BCE">
        <w:rPr>
          <w:rFonts w:ascii="Arial" w:hAnsi="Arial" w:cs="Arial"/>
        </w:rPr>
        <w:t>25 dollar</w:t>
      </w:r>
      <w:proofErr w:type="gramEnd"/>
      <w:r w:rsidRPr="008A6BCE">
        <w:rPr>
          <w:rFonts w:ascii="Arial" w:hAnsi="Arial" w:cs="Arial"/>
        </w:rPr>
        <w:t xml:space="preserve"> license from the Wyoming Department of Transportation must be obtained by an alternative fuel supplier, refiner, distributor, terminal operator, importer or exporter of alternative fuel used in motor vehicles.</w:t>
      </w: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 </w:t>
      </w:r>
    </w:p>
    <w:p w:rsidR="008A6BCE" w:rsidRPr="008A6BCE" w:rsidRDefault="008A6BCE" w:rsidP="008A6BCE">
      <w:pPr>
        <w:spacing w:after="0" w:line="240" w:lineRule="auto"/>
        <w:jc w:val="both"/>
        <w:rPr>
          <w:rFonts w:ascii="Arial" w:hAnsi="Arial" w:cs="Arial"/>
        </w:rPr>
      </w:pPr>
      <w:r w:rsidRPr="008A6BCE">
        <w:rPr>
          <w:rFonts w:ascii="Arial" w:hAnsi="Arial" w:cs="Arial"/>
        </w:rPr>
        <w:t>Virginia has clean transportation technology investment funding. In Virginia, the Commonwealth Energy Fund provides early-stage investment funds for Virginia-based technology, life science, and clean technology companies.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Alternative fuel </w:t>
      </w:r>
      <w:proofErr w:type="gramStart"/>
      <w:r w:rsidRPr="008A6BCE">
        <w:rPr>
          <w:rFonts w:ascii="Arial" w:hAnsi="Arial" w:cs="Arial"/>
        </w:rPr>
        <w:t>labeling</w:t>
      </w:r>
      <w:proofErr w:type="gramEnd"/>
      <w:r w:rsidRPr="008A6BCE">
        <w:rPr>
          <w:rFonts w:ascii="Arial" w:hAnsi="Arial" w:cs="Arial"/>
        </w:rPr>
        <w:t xml:space="preserve"> and ethanol labeling requirements vary by state. Illinois requires that 15 percent of all vehicles purchased with state funds must be fueled by electricity, natural gas, or liquefied petroleum gas (i.e., propane). In North Dakota, alternative fuel retailers must label retail dispensing units with the price, name, and main components of the alternative fuel or alternative fuel blend being sold. Every alternative fuel automobile, truck, motorcycle, motor home, or off-road vehicle in Washington must bear a reflective placard from the National Fire Protection Association indicating that the vehicle is powered by an alternative fuel. In North Carolina, pumps dispensing and selling ethanol-blended gasoline must be labeled with the registered brand name and the volume percentage, or blend level, of the ethanol (10 percent or less, 10 to 15 percent, 15 to 85 percent or 85 percent). Connecticut requires any motor vehicle fuel sold at retail containing more than one percent ethanol or methanol to be labeled according to Connecticut Department of Consumer Protection. All gasoline in Mississippi and Oklahoma containing one percent or more ethanol by volume offered for sale must be conspicuously identified as "with ethanol" or "containing ethanol".</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Many states have biofuel production facility tax credits or exemptions. For example, in South Carolina, a taxpayer constructing a commercial facility </w:t>
      </w:r>
      <w:proofErr w:type="gramStart"/>
      <w:r w:rsidRPr="008A6BCE">
        <w:rPr>
          <w:rFonts w:ascii="Arial" w:hAnsi="Arial" w:cs="Arial"/>
        </w:rPr>
        <w:t>for the production of</w:t>
      </w:r>
      <w:proofErr w:type="gramEnd"/>
      <w:r w:rsidRPr="008A6BCE">
        <w:rPr>
          <w:rFonts w:ascii="Arial" w:hAnsi="Arial" w:cs="Arial"/>
        </w:rPr>
        <w:t xml:space="preserve"> biofuel is eligible for a tax credit of up to 25 percent of the cost of constructing or renovating a building and equipping the facility. In Montana, a tax credit of up to 15 percent of the cost of constructing and equipping a facility to be used for biodiesel or bio-lubricant production is available to businesses. Any newly constructed or expanded biomass-to-energy facility in Kansas is exempt from state property taxes for up to 10 taxable years after construction. </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Alternative fuel tax rates can vary by state. In Maine, blended fuels that contain at least 10 percent of gasoline or diesel are taxed at the full tax rate of gasoline (0.30 dollars per gallon) or diesel (0.312 dollars per gallon). Wyoming has a license tax of 0.24 dollars per gasoline gallon equivalent or a diesel gallon equivalent is collected on all alternative fuel used, sold, or distributed for sale or use. In Hawaii, any alternative fuel used to operate an internal combustion engine distributor must pay a license tax of 0.0025 dollars for each gallon of alternative fuel the distributor sells or uses and pay a license tax for each gallon of fuel sold or used by the distributor for operating a motor vehicle on state public highways.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North Dakota has a special excise tax rate of two percent that is imposed on the sale of propane and an excise tax of 0.23 dollars per gallon is imposed on all special fuels sales and deliveries.</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Iowa and Kentucky have alternative fuel production tax credits. Iowa’s </w:t>
      </w:r>
      <w:proofErr w:type="gramStart"/>
      <w:r w:rsidRPr="008A6BCE">
        <w:rPr>
          <w:rFonts w:ascii="Arial" w:hAnsi="Arial" w:cs="Arial"/>
        </w:rPr>
        <w:t>High Quality</w:t>
      </w:r>
      <w:proofErr w:type="gramEnd"/>
      <w:r w:rsidRPr="008A6BCE">
        <w:rPr>
          <w:rFonts w:ascii="Arial" w:hAnsi="Arial" w:cs="Arial"/>
        </w:rPr>
        <w:t xml:space="preserve"> Jobs Program offers state tax incentives to business projects for the production of biomass or alternative fuels. Kentucky companies engaged in energy-efficient alternative fuel production, alternative fuel production, and gasification may be eligible for an incentive through the Kentucky Enterprise Initiative Act (effective July 14, 2018). Kentucky also has the Kentucky Economic Development </w:t>
      </w:r>
      <w:r w:rsidRPr="008A6BCE">
        <w:rPr>
          <w:rFonts w:ascii="Arial" w:hAnsi="Arial" w:cs="Arial"/>
        </w:rPr>
        <w:lastRenderedPageBreak/>
        <w:t>Finance Authority, which provides tax incentives to construct, retrofit, or upgrade an alternative fuel production or gasification facility that uses coal or biomass as a feedstock.</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Each state has a different biodiesel tax exemption, deduction, and refund. Oregon’s exemption is on biodiesel blends containing at least 20 percent biodiesel derived from used cooking oil. The blends are exempt from the 0.34 dollars per gallon state fuel excise tax. In Rhode Island, biodiesel is exempt from the 0.30 dollars per gallon state motor fuel tax. In North Carolina, biodiesel for use in a private passenger vehicle is exempt from the state motor fuel excise tax. </w:t>
      </w:r>
      <w:proofErr w:type="gramStart"/>
      <w:r w:rsidRPr="008A6BCE">
        <w:rPr>
          <w:rFonts w:ascii="Arial" w:hAnsi="Arial" w:cs="Arial"/>
        </w:rPr>
        <w:t>Similarly</w:t>
      </w:r>
      <w:proofErr w:type="gramEnd"/>
      <w:r w:rsidRPr="008A6BCE">
        <w:rPr>
          <w:rFonts w:ascii="Arial" w:hAnsi="Arial" w:cs="Arial"/>
        </w:rPr>
        <w:t xml:space="preserve"> in Montana, biodiesel producers that produce biodiesel from waste vegetable oil feedstock are exempt from the state special fuel tax. Montana’s biodiesel tax refund allows a licensed distributor paying the special fuel tax on biodiesel to claim a refund equal to 0.02 dollars per gallon of biodiesel sold during the previous quarter if the biodiesel is made entirely from components produced in Montana.</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As part of the Hawaii Clean Energy Initiative, Hawaii will produce 70 percent of the state's energy needs from energy-efficient and renewable sources by 2030 and 100 percent of the state's energy needs from energy-efficient and renewable sources by 2045.</w:t>
      </w:r>
    </w:p>
    <w:p w:rsidR="008A6BCE" w:rsidRPr="008A6BCE" w:rsidRDefault="008A6BCE" w:rsidP="008A6BCE">
      <w:pPr>
        <w:spacing w:after="0"/>
        <w:jc w:val="both"/>
        <w:rPr>
          <w:rFonts w:ascii="Arial" w:hAnsi="Arial" w:cs="Arial"/>
        </w:rPr>
      </w:pPr>
    </w:p>
    <w:p w:rsidR="005D5170" w:rsidRPr="008A6BCE" w:rsidRDefault="005D5170" w:rsidP="008A6BCE">
      <w:pPr>
        <w:spacing w:after="0"/>
        <w:jc w:val="both"/>
        <w:rPr>
          <w:rFonts w:ascii="Arial" w:hAnsi="Arial" w:cs="Arial"/>
        </w:rPr>
      </w:pPr>
    </w:p>
    <w:p w:rsidR="002D4599" w:rsidRPr="00050A1C" w:rsidRDefault="002D4599" w:rsidP="002D4599">
      <w:pPr>
        <w:pStyle w:val="Heading3"/>
      </w:pPr>
      <w:r w:rsidRPr="00050A1C">
        <w:t xml:space="preserve">Biobased </w:t>
      </w:r>
      <w:r>
        <w:t>P</w:t>
      </w:r>
      <w:r w:rsidRPr="00050A1C">
        <w:t>roducts</w:t>
      </w:r>
      <w:r>
        <w:t xml:space="preserve"> Policies</w:t>
      </w:r>
    </w:p>
    <w:p w:rsidR="00CE1D2B" w:rsidRPr="00CE1D2B" w:rsidRDefault="00CE1D2B" w:rsidP="00CE1D2B">
      <w:pPr>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Since 2008, States have been adding more initiatives, programs, plans, and strategies that increase the use of renewable chemicals and other biobased products. State goals include increases in biobased products and environmentally preferable products, increases in organic farms, reduction of solid waste, and giving tax credits for </w:t>
      </w:r>
      <w:proofErr w:type="spellStart"/>
      <w:r w:rsidRPr="008A6BCE">
        <w:rPr>
          <w:rFonts w:ascii="Arial" w:hAnsi="Arial" w:cs="Arial"/>
        </w:rPr>
        <w:t>biorenewable</w:t>
      </w:r>
      <w:proofErr w:type="spellEnd"/>
      <w:r w:rsidRPr="008A6BCE">
        <w:rPr>
          <w:rFonts w:ascii="Arial" w:hAnsi="Arial" w:cs="Arial"/>
        </w:rPr>
        <w:t xml:space="preserve"> chemicals. </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Massachusetts created the Environmentally Preferable Products Procurement Program of 2009, which has the following functions: gives specifications for sustainable products on statewide contracts; fosters cost effective responsible purchasing choices that help reduce impacts on public health and the environment; works with agencies, departments and others to encourage their use in public operations.</w:t>
      </w: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 </w:t>
      </w:r>
    </w:p>
    <w:p w:rsidR="008A6BCE" w:rsidRPr="008A6BCE" w:rsidRDefault="008A6BCE" w:rsidP="008A6BCE">
      <w:pPr>
        <w:spacing w:after="0" w:line="240" w:lineRule="auto"/>
        <w:jc w:val="both"/>
        <w:rPr>
          <w:rFonts w:ascii="Arial" w:hAnsi="Arial" w:cs="Arial"/>
        </w:rPr>
      </w:pPr>
      <w:r w:rsidRPr="008A6BCE">
        <w:rPr>
          <w:rFonts w:ascii="Arial" w:hAnsi="Arial" w:cs="Arial"/>
        </w:rPr>
        <w:t>In 2010, Ohio became the first state to establish a Bio-based Products Preference Program. In this program, state agencies and institutions of higher learning (state-supported colleges) are obligated to purchase products with the highest percentage of biobased content as determined via ASTM D6866.</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California's 75 Percent Initiative went into effect in 2013. The initiative increases demand for bioproducts. It has a goal of 75 percent recycling, composting or source reduction of solid waste by 2020. This will tremendously decrease California's future reliance on landfills. The highest and best use of all materials in California can be achieved when the current landfill diversion programs are equal partners with the materials management program.</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The Iowa Nutrient Reduction Strategy of 2013 is a science and technology-based approach to assess and reduce nutrients delivered to Iowa waterways and the Gulf of Mexico. It promotes voluntary efforts to reduce nutrients in surface water from both point sources (wastewater treatment plants and industrial facilities) and nonpoint sources (farm fields and urban areas), in a cost-effective manner.</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lastRenderedPageBreak/>
        <w:t xml:space="preserve">Iowa’s 2016 </w:t>
      </w:r>
      <w:proofErr w:type="spellStart"/>
      <w:r w:rsidRPr="008A6BCE">
        <w:rPr>
          <w:rFonts w:ascii="Arial" w:hAnsi="Arial" w:cs="Arial"/>
        </w:rPr>
        <w:t>Biorenewable</w:t>
      </w:r>
      <w:proofErr w:type="spellEnd"/>
      <w:r w:rsidRPr="008A6BCE">
        <w:rPr>
          <w:rFonts w:ascii="Arial" w:hAnsi="Arial" w:cs="Arial"/>
        </w:rPr>
        <w:t xml:space="preserve"> Chemical Tax Credit created an income tax credit equal to five cents per pound of qualified chemicals produced. New businesses can get up to one million dollars, while existing businesses can receive 500,000 dollars. The credit is limited to 10 million dollars per fiscal year in total awards. The </w:t>
      </w:r>
      <w:proofErr w:type="spellStart"/>
      <w:r w:rsidRPr="008A6BCE">
        <w:rPr>
          <w:rFonts w:ascii="Arial" w:hAnsi="Arial" w:cs="Arial"/>
        </w:rPr>
        <w:t>Biorenewable</w:t>
      </w:r>
      <w:proofErr w:type="spellEnd"/>
      <w:r w:rsidRPr="008A6BCE">
        <w:rPr>
          <w:rFonts w:ascii="Arial" w:hAnsi="Arial" w:cs="Arial"/>
        </w:rPr>
        <w:t xml:space="preserve"> Chemical Tax Credit Program is a revenue-neutral tax incentive and economic development package designed to attract national biochemical companies and pioneering new businesses to the state. The </w:t>
      </w:r>
      <w:proofErr w:type="spellStart"/>
      <w:r w:rsidRPr="008A6BCE">
        <w:rPr>
          <w:rFonts w:ascii="Arial" w:hAnsi="Arial" w:cs="Arial"/>
        </w:rPr>
        <w:t>Biorenewable</w:t>
      </w:r>
      <w:proofErr w:type="spellEnd"/>
      <w:r w:rsidRPr="008A6BCE">
        <w:rPr>
          <w:rFonts w:ascii="Arial" w:hAnsi="Arial" w:cs="Arial"/>
        </w:rPr>
        <w:t xml:space="preserve"> Chemical Tax Credit Program is the strongest incentive package in the world for biochemicals, and Iowa contains by far the nation’s strongest </w:t>
      </w:r>
      <w:proofErr w:type="spellStart"/>
      <w:r w:rsidRPr="008A6BCE">
        <w:rPr>
          <w:rFonts w:ascii="Arial" w:hAnsi="Arial" w:cs="Arial"/>
        </w:rPr>
        <w:t>biorenewables</w:t>
      </w:r>
      <w:proofErr w:type="spellEnd"/>
      <w:r w:rsidRPr="008A6BCE">
        <w:rPr>
          <w:rFonts w:ascii="Arial" w:hAnsi="Arial" w:cs="Arial"/>
        </w:rPr>
        <w:t xml:space="preserve"> infrastructure.</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North Dakota’s Foundation for Agricultural and Rural Resources Management and Sustainability works to ensure the sustainability, health, and diversity of small farms and communities across the state. The foundation includes educational programs and opportunities and aims to cultivate the next generation of organic farmers. It gives farmers the tools necessary to build and sustain thriving organic farms, promotes the purchase of locally grown produce, and expands agricultural education in schools. Low interest loans and grants for sustainable farm improvements or enterprise startups are available with the Grants to Grow program.</w:t>
      </w:r>
    </w:p>
    <w:p w:rsidR="008A6BCE" w:rsidRPr="008A6BCE" w:rsidRDefault="008A6BCE" w:rsidP="008A6BCE">
      <w:pPr>
        <w:spacing w:after="0" w:line="240" w:lineRule="auto"/>
        <w:jc w:val="both"/>
        <w:rPr>
          <w:rFonts w:ascii="Arial" w:hAnsi="Arial" w:cs="Arial"/>
        </w:rPr>
      </w:pPr>
    </w:p>
    <w:p w:rsidR="008A6BCE" w:rsidRPr="008A6BCE" w:rsidRDefault="008A6BCE" w:rsidP="008A6BCE">
      <w:pPr>
        <w:spacing w:after="0" w:line="240" w:lineRule="auto"/>
        <w:jc w:val="both"/>
        <w:rPr>
          <w:rFonts w:ascii="Arial" w:hAnsi="Arial" w:cs="Arial"/>
        </w:rPr>
      </w:pPr>
      <w:r w:rsidRPr="008A6BCE">
        <w:rPr>
          <w:rFonts w:ascii="Arial" w:hAnsi="Arial" w:cs="Arial"/>
        </w:rPr>
        <w:t xml:space="preserve">Reinvigorating Louisiana’s sugar and chemical industries is being promoted by the State’s Sustainable Bioproducts Initiative. The initiative entails a regional program for production of multiple agricultural feedstocks and processing to biofuels and biobased chemicals. It is led by Louisiana State University’s </w:t>
      </w:r>
      <w:proofErr w:type="spellStart"/>
      <w:r w:rsidRPr="008A6BCE">
        <w:rPr>
          <w:rFonts w:ascii="Arial" w:hAnsi="Arial" w:cs="Arial"/>
        </w:rPr>
        <w:t>AgCenter</w:t>
      </w:r>
      <w:proofErr w:type="spellEnd"/>
      <w:r w:rsidRPr="008A6BCE">
        <w:rPr>
          <w:rFonts w:ascii="Arial" w:hAnsi="Arial" w:cs="Arial"/>
        </w:rPr>
        <w:t>.</w:t>
      </w:r>
    </w:p>
    <w:p w:rsidR="00CE1D2B" w:rsidRDefault="00CE1D2B" w:rsidP="008A6BCE">
      <w:pPr>
        <w:spacing w:after="0" w:line="240" w:lineRule="auto"/>
        <w:jc w:val="both"/>
        <w:rPr>
          <w:rFonts w:ascii="Arial" w:hAnsi="Arial" w:cs="Arial"/>
        </w:rPr>
      </w:pPr>
    </w:p>
    <w:p w:rsidR="009040F7" w:rsidRDefault="009040F7" w:rsidP="008A6BCE">
      <w:pPr>
        <w:spacing w:after="0" w:line="240" w:lineRule="auto"/>
        <w:jc w:val="both"/>
        <w:rPr>
          <w:rFonts w:ascii="Arial" w:hAnsi="Arial" w:cs="Arial"/>
        </w:rPr>
      </w:pPr>
      <w:r w:rsidRPr="00050A1C">
        <w:rPr>
          <w:noProof/>
        </w:rPr>
        <mc:AlternateContent>
          <mc:Choice Requires="wps">
            <w:drawing>
              <wp:inline distT="0" distB="0" distL="0" distR="0" wp14:anchorId="2EAA8CE4" wp14:editId="5FEBE16A">
                <wp:extent cx="2744598" cy="369332"/>
                <wp:effectExtent l="0" t="0" r="0" b="0"/>
                <wp:docPr id="2" name="TextBox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9040F7" w:rsidRPr="009040F7" w:rsidRDefault="009040F7" w:rsidP="009040F7">
                            <w:pPr>
                              <w:pStyle w:val="NormalWeb"/>
                              <w:spacing w:before="0" w:beforeAutospacing="0" w:after="0" w:afterAutospacing="0"/>
                              <w:rPr>
                                <w:rFonts w:asciiTheme="minorHAnsi" w:hAnsi="Calibri" w:cstheme="minorBidi"/>
                                <w:b/>
                                <w:bCs/>
                                <w:color w:val="000000" w:themeColor="text1"/>
                                <w:kern w:val="24"/>
                                <w:sz w:val="36"/>
                                <w:szCs w:val="36"/>
                              </w:rPr>
                            </w:pPr>
                            <w:r>
                              <w:rPr>
                                <w:rFonts w:asciiTheme="minorHAnsi" w:hAnsi="Calibri" w:cstheme="minorBidi"/>
                                <w:b/>
                                <w:bCs/>
                                <w:color w:val="000000" w:themeColor="text1"/>
                                <w:kern w:val="24"/>
                                <w:sz w:val="36"/>
                                <w:szCs w:val="36"/>
                              </w:rPr>
                              <w:t>International</w:t>
                            </w:r>
                          </w:p>
                        </w:txbxContent>
                      </wps:txbx>
                      <wps:bodyPr wrap="square" rtlCol="0">
                        <a:spAutoFit/>
                      </wps:bodyPr>
                    </wps:wsp>
                  </a:graphicData>
                </a:graphic>
              </wp:inline>
            </w:drawing>
          </mc:Choice>
          <mc:Fallback>
            <w:pict>
              <v:shape w14:anchorId="2EAA8CE4" id="_x0000_s1028"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" fillcolor="#d0c4ea" stroked="f">
                <v:textbox style="mso-fit-shape-to-text:t">
                  <w:txbxContent>
                    <w:p w:rsidR="009040F7" w:rsidRPr="009040F7" w:rsidRDefault="009040F7" w:rsidP="009040F7">
                      <w:pPr>
                        <w:pStyle w:val="NormalWeb"/>
                        <w:spacing w:before="0" w:beforeAutospacing="0" w:after="0" w:afterAutospacing="0"/>
                        <w:rPr>
                          <w:rFonts w:asciiTheme="minorHAnsi" w:hAnsi="Calibri" w:cstheme="minorBidi"/>
                          <w:b/>
                          <w:bCs/>
                          <w:color w:val="000000" w:themeColor="text1"/>
                          <w:kern w:val="24"/>
                          <w:sz w:val="36"/>
                          <w:szCs w:val="36"/>
                        </w:rPr>
                      </w:pPr>
                      <w:r>
                        <w:rPr>
                          <w:rFonts w:asciiTheme="minorHAnsi" w:hAnsi="Calibri" w:cstheme="minorBidi"/>
                          <w:b/>
                          <w:bCs/>
                          <w:color w:val="000000" w:themeColor="text1"/>
                          <w:kern w:val="24"/>
                          <w:sz w:val="36"/>
                          <w:szCs w:val="36"/>
                        </w:rPr>
                        <w:t>International</w:t>
                      </w:r>
                    </w:p>
                  </w:txbxContent>
                </v:textbox>
                <w10:anchorlock/>
              </v:shape>
            </w:pict>
          </mc:Fallback>
        </mc:AlternateContent>
      </w:r>
    </w:p>
    <w:p w:rsidR="009040F7" w:rsidRDefault="009040F7" w:rsidP="008A6BCE">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International policies work toward connecting multiple countries with agreements over topics such as trade, biofuels and accessibility to resources. The United States’ biobased economy is supported by international agreements or other country actions. Many countries beyond the United States have agreements and actions in place. Some examples are presented below. </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World Trade Organization Agreements (WTO Agreements) cover goods, services and intellectual property. Individual countries commit to lower customs tariffs and trade barriers. The agreements help keep services markets open, with a focus on the imports and exports of biomaterials between countries. Developing countries are prescribed special treatment. Governments are required to make their trade policies transparent by notifying the WTO about laws in force and measures adopted. Also, the secretariat must give regular reports on countries’ trade policies.</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United States’ economic relations with neighboring countries in Central America and the Caribbean are essential to accessing goods. The Caribbean Basin Initiative of 1983 facilitates the development and export diversification of stable Caribbean Basin economies. It provides countries with duty-free access to the United States market for goods such as biofuels and bioproducts. This initiative plays a vital role in the United States’ economic relations with Central America countries and the Caribbean. Issues with imports and exports are minimalized with this initiative.</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The National Biodiesel Board (NBB), founded in 1992 as the National Soy Diesel Development Board, is a nonprofit trade association dedicated to coordinating the biodiesel industry and educating the public about the fuel. The board has been advancing the biodiesel industry for 25 years. NBB members include the following: state, national, and international feedstock and processor organizations; biodiesel suppliers; fuel marketers and distributors; and technology </w:t>
      </w:r>
      <w:r w:rsidRPr="009040F7">
        <w:rPr>
          <w:rFonts w:ascii="Arial" w:hAnsi="Arial" w:cs="Arial"/>
        </w:rPr>
        <w:lastRenderedPageBreak/>
        <w:t>providers. Today, the NBB has over 150 companies as members, representing nearly all 50 states. In 2011, the board launched the Advanced Biofuel Initiative. Last year, antidumping and countervailing duties on biodiesel imports from Indonesia and Argentina were filed. The goal of the duties is to level the playing field for domestic producers.</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International trade can be negatively affected by barriers such as tariffs, quotas, and embargos. The General Agreement on Tariffs and Trade (GATT) of 1994 is used to promote international trade by reducing or eliminating trade barriers such as tariffs or quotas. The core principles of GATT involve biofuels sustainability. Under GATT, there are many provisions including balance-of-payments, waivers, and non-application to name a few. There is an increase in surveillance of activities, which is done with stronger notification and review procedures. </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Created in 2001, Everything </w:t>
      </w:r>
      <w:proofErr w:type="gramStart"/>
      <w:r w:rsidRPr="009040F7">
        <w:rPr>
          <w:rFonts w:ascii="Arial" w:hAnsi="Arial" w:cs="Arial"/>
        </w:rPr>
        <w:t>But</w:t>
      </w:r>
      <w:proofErr w:type="gramEnd"/>
      <w:r w:rsidRPr="009040F7">
        <w:rPr>
          <w:rFonts w:ascii="Arial" w:hAnsi="Arial" w:cs="Arial"/>
        </w:rPr>
        <w:t xml:space="preserve"> Arms (EBA) grants full duty-free and quota-free access to the European Union Single Market for all products, including biofuels and bioproducts, with the exception of arms and armaments. A country is granted EBA status if it is listed as a Least Developed Country (LDC) by the United Nations Committee for Development Policy. A country will not lose EBA status by entering into a Free Trade Agreement with the European Union. </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The European Union has established more than 130 environmental targets and objectives to meet between 2010 and 2050 through the implementation of environmental policies. The environmental targets stablished cover a wide range of topics such as energy, greenhouse gas emissions and ozone-depleting substances, air quality, transport emissions, waste, water, sustainable consumption and production, chemicals and biodiversity. As an example, in March 2007 the European Council established the 20-20-20 energy targets. These targets, set with a 2020 deadline, include: a 20 percent reduction in total European Union greenhouse gas emissions; a 20 percent increase in energy efficiency; and an increase in the share of energy consumption from renewable resources by 20 percent. These targets were translated into legislations through the Climate and Energy Package in 2009, the Energy Efficiency Plan in 2011, and the Directive 2009/28/EC. Many of the policies established in the European Union influence the biofuel and bioproducts imports and exports of the United States.</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In 2017, the Nigerian government was planning to spend 50 billion dollars to fund and stimulate the investment in local biofuels production in Nigeria. Funds would be provided by the Biofuels Equity Investment Fund. This was set in place with the proposed Nigerian Bio-Fuel Policy and Incentives document. Now in 2018, the Nigerian governments, Raw Materials Research and Development Council would like to use jatropha, a flowering Euphorbiaceous plant that is native to the American tropics, as a potential feedstock for biodiesel. The council has been promoting the crop since 1991 and states that are planting the crop and distributing the seeds to farmers will be beneficial. As much as 200,000 hectares of jatropha should be planted for biodiesel feedstock.</w:t>
      </w:r>
    </w:p>
    <w:p w:rsidR="009040F7" w:rsidRPr="009040F7" w:rsidRDefault="009040F7" w:rsidP="009040F7">
      <w:pPr>
        <w:spacing w:after="0" w:line="240" w:lineRule="auto"/>
        <w:jc w:val="both"/>
        <w:rPr>
          <w:rFonts w:ascii="Arial" w:hAnsi="Arial" w:cs="Arial"/>
        </w:rPr>
      </w:pPr>
    </w:p>
    <w:p w:rsidR="009040F7" w:rsidRDefault="009040F7" w:rsidP="009040F7">
      <w:pPr>
        <w:spacing w:after="0" w:line="240" w:lineRule="auto"/>
        <w:jc w:val="both"/>
        <w:rPr>
          <w:rFonts w:ascii="Arial" w:hAnsi="Arial" w:cs="Arial"/>
        </w:rPr>
      </w:pPr>
      <w:r w:rsidRPr="009040F7">
        <w:rPr>
          <w:rFonts w:ascii="Arial" w:hAnsi="Arial" w:cs="Arial"/>
        </w:rPr>
        <w:t>The national policy on biofuels for India (2018) expands the scope of raw material for ethanol production. With the approval of National Biofuel Coordination Committee, the policy allows the use of surplus food grains for ethanol production for blending with petrol. Conversion of surplus grains and agricultural biomass can help in price stabilization. India’s policy supports the setting up of supply chain mechanisms for biodiesel production, which can come from non-edible oilseeds, used cooking oil, and short gestation crops. India’s biofuel policy will help to reduce import dependency year-over-year with better ethanol supply.</w:t>
      </w:r>
    </w:p>
    <w:p w:rsidR="009040F7" w:rsidRDefault="009040F7" w:rsidP="009040F7">
      <w:pPr>
        <w:spacing w:after="0" w:line="240" w:lineRule="auto"/>
        <w:jc w:val="both"/>
        <w:rPr>
          <w:rFonts w:ascii="Arial" w:hAnsi="Arial" w:cs="Arial"/>
        </w:rPr>
      </w:pPr>
    </w:p>
    <w:p w:rsidR="009040F7" w:rsidRDefault="009040F7" w:rsidP="008A6BCE">
      <w:pPr>
        <w:spacing w:after="0" w:line="240" w:lineRule="auto"/>
        <w:jc w:val="both"/>
        <w:rPr>
          <w:rFonts w:ascii="Arial" w:hAnsi="Arial" w:cs="Arial"/>
        </w:rPr>
      </w:pPr>
    </w:p>
    <w:p w:rsidR="009040F7" w:rsidRDefault="009040F7" w:rsidP="008A6BCE">
      <w:pPr>
        <w:spacing w:after="0" w:line="240" w:lineRule="auto"/>
        <w:jc w:val="both"/>
        <w:rPr>
          <w:rFonts w:ascii="Arial" w:hAnsi="Arial" w:cs="Arial"/>
        </w:rPr>
      </w:pPr>
      <w:r w:rsidRPr="00050A1C">
        <w:rPr>
          <w:noProof/>
        </w:rPr>
        <w:lastRenderedPageBreak/>
        <mc:AlternateContent>
          <mc:Choice Requires="wps">
            <w:drawing>
              <wp:inline distT="0" distB="0" distL="0" distR="0" wp14:anchorId="2EAA8CE4" wp14:editId="5FEBE16A">
                <wp:extent cx="2744598" cy="369332"/>
                <wp:effectExtent l="0" t="0" r="0" b="0"/>
                <wp:docPr id="3" name="TextBox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744598" cy="369332"/>
                        </a:xfrm>
                        <a:prstGeom prst="rect">
                          <a:avLst/>
                        </a:prstGeom>
                        <a:solidFill>
                          <a:srgbClr val="D0C4EA"/>
                        </a:solidFill>
                      </wps:spPr>
                      <wps:txbx>
                        <w:txbxContent>
                          <w:p w:rsidR="009040F7" w:rsidRDefault="009040F7" w:rsidP="009040F7">
                            <w:pPr>
                              <w:pStyle w:val="NormalWeb"/>
                              <w:spacing w:before="0" w:beforeAutospacing="0" w:after="0" w:afterAutospacing="0"/>
                            </w:pPr>
                            <w:r>
                              <w:rPr>
                                <w:rFonts w:asciiTheme="minorHAnsi" w:hAnsi="Calibri" w:cstheme="minorBidi"/>
                                <w:b/>
                                <w:bCs/>
                                <w:color w:val="000000" w:themeColor="text1"/>
                                <w:kern w:val="24"/>
                                <w:sz w:val="36"/>
                                <w:szCs w:val="36"/>
                              </w:rPr>
                              <w:t>Business to Business</w:t>
                            </w:r>
                          </w:p>
                        </w:txbxContent>
                      </wps:txbx>
                      <wps:bodyPr wrap="square" rtlCol="0">
                        <a:spAutoFit/>
                      </wps:bodyPr>
                    </wps:wsp>
                  </a:graphicData>
                </a:graphic>
              </wp:inline>
            </w:drawing>
          </mc:Choice>
          <mc:Fallback>
            <w:pict>
              <v:shape w14:anchorId="2EAA8CE4" id="_x0000_s1029" type="#_x0000_t202" style="width:216.1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" fillcolor="#d0c4ea" stroked="f">
                <v:textbox style="mso-fit-shape-to-text:t">
                  <w:txbxContent>
                    <w:p w:rsidR="009040F7" w:rsidRDefault="009040F7" w:rsidP="009040F7">
                      <w:pPr>
                        <w:pStyle w:val="NormalWeb"/>
                        <w:spacing w:before="0" w:beforeAutospacing="0" w:after="0" w:afterAutospacing="0"/>
                      </w:pPr>
                      <w:r>
                        <w:rPr>
                          <w:rFonts w:asciiTheme="minorHAnsi" w:hAnsi="Calibri" w:cstheme="minorBidi"/>
                          <w:b/>
                          <w:bCs/>
                          <w:color w:val="000000" w:themeColor="text1"/>
                          <w:kern w:val="24"/>
                          <w:sz w:val="36"/>
                          <w:szCs w:val="36"/>
                        </w:rPr>
                        <w:t>Business to Business</w:t>
                      </w:r>
                    </w:p>
                  </w:txbxContent>
                </v:textbox>
                <w10:anchorlock/>
              </v:shape>
            </w:pict>
          </mc:Fallback>
        </mc:AlternateContent>
      </w:r>
    </w:p>
    <w:p w:rsidR="009040F7" w:rsidRDefault="009040F7" w:rsidP="008A6BCE">
      <w:pPr>
        <w:spacing w:after="0" w:line="240" w:lineRule="auto"/>
        <w:jc w:val="both"/>
        <w:rPr>
          <w:rFonts w:ascii="Arial" w:hAnsi="Arial" w:cs="Arial"/>
        </w:rPr>
      </w:pPr>
      <w:bookmarkStart w:id="0" w:name="_GoBack"/>
      <w:bookmarkEnd w:id="0"/>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Many corporations are creating their own internal and external policies that increase the demand for renewable chemicals and other biobased products. Business to business policies are designed and implemented to grow the economy and provide jobs in an environmentally sustainable and energy efficient manner. To advance the nation’s industrial ability, many of these policies are set in place to represent the nation’s leading manufacturing sectors. Select examples of business to business policies are included below. </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The Sustainable Apparel Coalition created the </w:t>
      </w:r>
      <w:proofErr w:type="spellStart"/>
      <w:r w:rsidRPr="009040F7">
        <w:rPr>
          <w:rFonts w:ascii="Arial" w:hAnsi="Arial" w:cs="Arial"/>
        </w:rPr>
        <w:t>Higg</w:t>
      </w:r>
      <w:proofErr w:type="spellEnd"/>
      <w:r w:rsidRPr="009040F7">
        <w:rPr>
          <w:rFonts w:ascii="Arial" w:hAnsi="Arial" w:cs="Arial"/>
        </w:rPr>
        <w:t xml:space="preserve"> Index, which is a standardized supply chain measurement tool that describes a company’s environmental, social, and labor impacts of making and selling their products and services. By measuring sustainability performance, the industry can address inefficiencies. It can also help to resolve damaging practices and achieve the environmental and social transparency demanded by consumers. By joining forces in a coalition, addressing urgent, systemic challenges is possible.</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Fair Trade makes sure companies’ products become certified by following social, environmental and economic standards. The companies must promote safe working conditions, aim to protect the environment, be transparent in their efforts, and empower the community to succeed. Products originating in more than 45 countries that are Fair Trade Certified™ are being sold in the United States.</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B Lab is a nonprofit organization that allows companies to become Certified B Corporations. When a company is a certified B corporation, it meets the standards of verified, social and environmental performance, public transparency, and legal accountability. B Lab promotes Mission Alignment using innovative corporate structures. These include the benefit of a corporation to align the interests of business with those of society. </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The Outdoor Industry Association is a premier trade association in Boulder, Colorado, consisting of a collaboration of hundreds of outdoor organizations to implement better practices in the supply chain. Goals of the Outdoor Industry Association include driving change in the recreation industry and trade policy, sustainability in business innovation, and increased outdoor participation. The association offers the following tools and resources: networking events, education opportunities, research reports, case studies, business savings and b</w:t>
      </w:r>
      <w:r>
        <w:rPr>
          <w:rFonts w:ascii="Arial" w:hAnsi="Arial" w:cs="Arial"/>
        </w:rPr>
        <w:t>rand recognition opportunities</w:t>
      </w:r>
      <w:r w:rsidRPr="009040F7">
        <w:rPr>
          <w:rFonts w:ascii="Arial" w:hAnsi="Arial" w:cs="Arial"/>
        </w:rPr>
        <w:t>.</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Modern biotechnology offers breakthrough products and technologies that are advantageous. Current day biotechnology not only combats debilitating and rare diseases, but also reduces the environmental footprint, feeds the hungry, uses less and cleaner energy, and makes having safer, cleaner and more efficient industrial manufacturing processes possible. The Biotechnology Innovation Organization (BIO) represents more than 1,100 biotechnology companies, academic institutions, and state biotechnology centers across the United States plus 30 other countries. All members of BIO are involved in the research and development of healthcare, agricultural, industrial, and environmental biotechnology products. The organization hopes to educate the media and public about the biotechnology industry’s progress. It also provides member companies with</w:t>
      </w:r>
      <w:r>
        <w:rPr>
          <w:rFonts w:ascii="Arial" w:hAnsi="Arial" w:cs="Arial"/>
        </w:rPr>
        <w:t xml:space="preserve"> business development services</w:t>
      </w:r>
      <w:r w:rsidRPr="009040F7">
        <w:rPr>
          <w:rFonts w:ascii="Arial" w:hAnsi="Arial" w:cs="Arial"/>
        </w:rPr>
        <w:t>.</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Patagonia, is a designer of outdoor clothing, currently uses fossil fuels to produce the shell of their coats. Alternative energy sources are being sought out to develop a more environmentally-friendly process. Patagonia is being transparent about the fact that they are contributing to climate </w:t>
      </w:r>
      <w:r w:rsidRPr="009040F7">
        <w:rPr>
          <w:rFonts w:ascii="Arial" w:hAnsi="Arial" w:cs="Arial"/>
        </w:rPr>
        <w:lastRenderedPageBreak/>
        <w:t xml:space="preserve">change. The brand supports a variety of initiatives to reduce their carbon footprint and discover more sustainable ways to produce these high-quality products. To give back, the company donates one percent of sales to an Earth Tax. That money in turn supports environmental organizations around the world that take down dams, restore forests, protect endangered species, and promote sustainable agriculture practices. Patagonia has donated 70 million dollars to these initiatives so far. The company is also looking for ways to make their facilities </w:t>
      </w:r>
      <w:proofErr w:type="gramStart"/>
      <w:r w:rsidRPr="009040F7">
        <w:rPr>
          <w:rFonts w:ascii="Arial" w:hAnsi="Arial" w:cs="Arial"/>
        </w:rPr>
        <w:t>more eco-friendly</w:t>
      </w:r>
      <w:proofErr w:type="gramEnd"/>
      <w:r w:rsidRPr="009040F7">
        <w:rPr>
          <w:rFonts w:ascii="Arial" w:hAnsi="Arial" w:cs="Arial"/>
        </w:rPr>
        <w:t>. Through the Employee Drive Less Program, Patagonia provides a monetary incentive to employees that car pool, take public transportation, walk, or use any mode of transportation besides driving alone.</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IKEA utilizes renewable energy sources and waste management tactics to become environmentally friendly. IKEA has a sustainability strategy called People &amp; Planet Positive. Because consumers shouldn’t have to choose between design, functionality, price, or sustainability when purchasing a product, their product lines are manufactured through eco-friendly practices. IKEA only uses LED bulbs in their facilities and was the first major retailer to sell exclusively LED bulbs and lighting fixtures in their stores. Solar panels have been installed on 90 percent of their United States buildings. To power their buildings in Texas and Illinois, IKEA has two wind farms generating renewable energy. IKEA has planted 2.4 million trees in American forests and only sends about 15 percent of waste to landfills to offset carbon dioxide emissions. IKEA’s goal is to use 100 percent renewable energy through wind farms and solar panels. IKEA also plans to source wood from more sustainable locations. All these initiatives have cost IKEA over one billion dollars.</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Johnson &amp; Johnson is another business looking forward to offsetting carbon dioxide emissions. The company’s sustainability plan is called Citizenship &amp; Sustainability 2020 Goals. It focuses on making individual consumers and their homes healthier by increasing the recyclability of products and reducing carbon dioxide emissions by 20 percent. Johnson &amp; Johnson includes their vehicle fleet and facility emissions when calculating </w:t>
      </w:r>
      <w:r>
        <w:rPr>
          <w:rFonts w:ascii="Arial" w:hAnsi="Arial" w:cs="Arial"/>
        </w:rPr>
        <w:t>their carbon dioxide emissions</w:t>
      </w:r>
      <w:r w:rsidRPr="009040F7">
        <w:rPr>
          <w:rFonts w:ascii="Arial" w:hAnsi="Arial" w:cs="Arial"/>
        </w:rPr>
        <w:t>.</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The Hershey Company, consisting of manufacturing and distribution centers, hotels, and an amusement park, wants to do more with their sustainability efforts. In the next seven years, the company would like to reduce greenhouse gas emissions by 50 percent. </w:t>
      </w:r>
      <w:proofErr w:type="gramStart"/>
      <w:r w:rsidRPr="009040F7">
        <w:rPr>
          <w:rFonts w:ascii="Arial" w:hAnsi="Arial" w:cs="Arial"/>
        </w:rPr>
        <w:t>Also</w:t>
      </w:r>
      <w:proofErr w:type="gramEnd"/>
      <w:r w:rsidRPr="009040F7">
        <w:rPr>
          <w:rFonts w:ascii="Arial" w:hAnsi="Arial" w:cs="Arial"/>
        </w:rPr>
        <w:t xml:space="preserve"> by 2025, all 11 Hershey facilities would like to achieve zero waste-to-landfill status. Another goal for the company is to reach a 95 percent company-wide recycling rate. By 2020, the company would like to transition to 100 percent certified cocoa. The cocoa will need to be verified by independent auditors to ensure that it meets labor, environmental, and farming standards. Other company incentives include the expanded use of electric vehicles to reduce emissions.</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r w:rsidRPr="009040F7">
        <w:rPr>
          <w:rFonts w:ascii="Arial" w:hAnsi="Arial" w:cs="Arial"/>
        </w:rPr>
        <w:t xml:space="preserve">TMD Technologies Group Company- Go Green Bioproducts, LLC, which has its headquarters in the United Kingdom, breaks down and recycles packaged Go Green Bioproducts from a wide variety of beverage and food products to </w:t>
      </w:r>
      <w:proofErr w:type="gramStart"/>
      <w:r w:rsidRPr="009040F7">
        <w:rPr>
          <w:rFonts w:ascii="Arial" w:hAnsi="Arial" w:cs="Arial"/>
        </w:rPr>
        <w:t>completely eliminate</w:t>
      </w:r>
      <w:proofErr w:type="gramEnd"/>
      <w:r w:rsidRPr="009040F7">
        <w:rPr>
          <w:rFonts w:ascii="Arial" w:hAnsi="Arial" w:cs="Arial"/>
        </w:rPr>
        <w:t xml:space="preserve"> waste discharge, not leaving any materials that must be disposed of or discharged as a liquid. The Go Green Concentrate (sugar) is converted into biofuels or value ad</w:t>
      </w:r>
      <w:r>
        <w:rPr>
          <w:rFonts w:ascii="Arial" w:hAnsi="Arial" w:cs="Arial"/>
        </w:rPr>
        <w:t>ded bioproducts for future use.</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proofErr w:type="spellStart"/>
      <w:r w:rsidRPr="009040F7">
        <w:rPr>
          <w:rFonts w:ascii="Arial" w:hAnsi="Arial" w:cs="Arial"/>
        </w:rPr>
        <w:t>Olleco</w:t>
      </w:r>
      <w:proofErr w:type="spellEnd"/>
      <w:r w:rsidRPr="009040F7">
        <w:rPr>
          <w:rFonts w:ascii="Arial" w:hAnsi="Arial" w:cs="Arial"/>
        </w:rPr>
        <w:t xml:space="preserve">, established in 2014, is a renewable energy business. It provides the United Kingdom’s food sector with the opportunity of fleets to be run on the same oil in which they fry their chips. This makes carbon dioxide savings of more than 95 percent when compared to fossil fuels. </w:t>
      </w:r>
      <w:proofErr w:type="spellStart"/>
      <w:r w:rsidRPr="009040F7">
        <w:rPr>
          <w:rFonts w:ascii="Arial" w:hAnsi="Arial" w:cs="Arial"/>
        </w:rPr>
        <w:t>Olleco</w:t>
      </w:r>
      <w:proofErr w:type="spellEnd"/>
      <w:r w:rsidRPr="009040F7">
        <w:rPr>
          <w:rFonts w:ascii="Arial" w:hAnsi="Arial" w:cs="Arial"/>
        </w:rPr>
        <w:t xml:space="preserve"> collects used cooking oils, fats and food waste from 50,000 catering and hospitality businesses to produce biofuels such as biodiesel. </w:t>
      </w:r>
      <w:proofErr w:type="spellStart"/>
      <w:r w:rsidRPr="009040F7">
        <w:rPr>
          <w:rFonts w:ascii="Arial" w:hAnsi="Arial" w:cs="Arial"/>
        </w:rPr>
        <w:t>Olleco</w:t>
      </w:r>
      <w:proofErr w:type="spellEnd"/>
      <w:r w:rsidRPr="009040F7">
        <w:rPr>
          <w:rFonts w:ascii="Arial" w:hAnsi="Arial" w:cs="Arial"/>
        </w:rPr>
        <w:t xml:space="preserve"> recycles more than 100,000 tons of organic waste each year. It generates 1MWh of renewable heat and power and produces 16 million liters of biodiesel, which meets the strict European Union specifications. </w:t>
      </w:r>
    </w:p>
    <w:p w:rsidR="009040F7" w:rsidRPr="009040F7" w:rsidRDefault="009040F7" w:rsidP="009040F7">
      <w:pPr>
        <w:spacing w:after="0" w:line="240" w:lineRule="auto"/>
        <w:jc w:val="both"/>
        <w:rPr>
          <w:rFonts w:ascii="Arial" w:hAnsi="Arial" w:cs="Arial"/>
        </w:rPr>
      </w:pPr>
    </w:p>
    <w:p w:rsidR="009040F7" w:rsidRPr="009040F7" w:rsidRDefault="009040F7" w:rsidP="009040F7">
      <w:pPr>
        <w:spacing w:after="0" w:line="240" w:lineRule="auto"/>
        <w:jc w:val="both"/>
        <w:rPr>
          <w:rFonts w:ascii="Arial" w:hAnsi="Arial" w:cs="Arial"/>
        </w:rPr>
      </w:pPr>
      <w:proofErr w:type="spellStart"/>
      <w:r w:rsidRPr="009040F7">
        <w:rPr>
          <w:rFonts w:ascii="Arial" w:hAnsi="Arial" w:cs="Arial"/>
        </w:rPr>
        <w:t>GENeco</w:t>
      </w:r>
      <w:proofErr w:type="spellEnd"/>
      <w:r w:rsidRPr="009040F7">
        <w:rPr>
          <w:rFonts w:ascii="Arial" w:hAnsi="Arial" w:cs="Arial"/>
        </w:rPr>
        <w:t xml:space="preserve">, located in the United Kingdom, extracts energy in the form of biogas from a mix of food waste, commercial liquid waste and domestic sewage. It is then refined to the same composition as natural gas. The company is diverting 100 percent of waste from landfills and providing renewable energy for nearly 150,000 homes. In 2013, the company was awarded zero-waste-to-landfill status and is carbon neutral. </w:t>
      </w:r>
      <w:proofErr w:type="spellStart"/>
      <w:r w:rsidRPr="009040F7">
        <w:rPr>
          <w:rFonts w:ascii="Arial" w:hAnsi="Arial" w:cs="Arial"/>
        </w:rPr>
        <w:t>GENeco’s</w:t>
      </w:r>
      <w:proofErr w:type="spellEnd"/>
      <w:r w:rsidRPr="009040F7">
        <w:rPr>
          <w:rFonts w:ascii="Arial" w:hAnsi="Arial" w:cs="Arial"/>
        </w:rPr>
        <w:t xml:space="preserve"> plant turns the biogas to biomethane. </w:t>
      </w:r>
      <w:proofErr w:type="spellStart"/>
      <w:r w:rsidRPr="009040F7">
        <w:rPr>
          <w:rFonts w:ascii="Arial" w:hAnsi="Arial" w:cs="Arial"/>
        </w:rPr>
        <w:t>GENeco</w:t>
      </w:r>
      <w:proofErr w:type="spellEnd"/>
      <w:r w:rsidRPr="009040F7">
        <w:rPr>
          <w:rFonts w:ascii="Arial" w:hAnsi="Arial" w:cs="Arial"/>
        </w:rPr>
        <w:t xml:space="preserve"> helped create the Bio-Bug, the United Kingdom’s first VW Beetle powered by human waste. The Bio-Bug can be powered for a whole year with the biogas f</w:t>
      </w:r>
      <w:r>
        <w:rPr>
          <w:rFonts w:ascii="Arial" w:hAnsi="Arial" w:cs="Arial"/>
        </w:rPr>
        <w:t>rom the waste of just 70 homes</w:t>
      </w:r>
      <w:r w:rsidRPr="009040F7">
        <w:rPr>
          <w:rFonts w:ascii="Arial" w:hAnsi="Arial" w:cs="Arial"/>
        </w:rPr>
        <w:t xml:space="preserve">. </w:t>
      </w:r>
    </w:p>
    <w:p w:rsidR="009040F7" w:rsidRPr="009040F7" w:rsidRDefault="009040F7" w:rsidP="009040F7">
      <w:pPr>
        <w:spacing w:after="0" w:line="240" w:lineRule="auto"/>
        <w:jc w:val="both"/>
        <w:rPr>
          <w:rFonts w:ascii="Arial" w:hAnsi="Arial" w:cs="Arial"/>
        </w:rPr>
      </w:pPr>
    </w:p>
    <w:p w:rsidR="009040F7" w:rsidRPr="00CE1D2B" w:rsidRDefault="009040F7" w:rsidP="009040F7">
      <w:pPr>
        <w:spacing w:after="0" w:line="240" w:lineRule="auto"/>
        <w:jc w:val="both"/>
        <w:rPr>
          <w:rFonts w:ascii="Arial" w:hAnsi="Arial" w:cs="Arial"/>
        </w:rPr>
      </w:pPr>
      <w:r w:rsidRPr="009040F7">
        <w:rPr>
          <w:rFonts w:ascii="Arial" w:hAnsi="Arial" w:cs="Arial"/>
        </w:rPr>
        <w:t>Wyke Farms is working on redefining the dairy business. It has become the first national cheddar brand to be 100 percent self-sufficient in solar and biogas energy. Wyke Farms is one of the first United Kingdom grocery brands and it saves over 22 million kilos of carbon dioxide per year. Over the next few years, the company aspires to be one of the most sustainable grocery suppliers in the sector. The company’s latest investment project is to generate more upgraded biogas to fuel HGV vehicles like milk tankers and increase solar energy by using other roofs and recovering heat from the rear of solar panels.</w:t>
      </w:r>
    </w:p>
    <w:sectPr w:rsidR="009040F7" w:rsidRPr="00CE1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3E134D"/>
    <w:multiLevelType w:val="hybridMultilevel"/>
    <w:tmpl w:val="45AC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1C"/>
    <w:rsid w:val="00050A1C"/>
    <w:rsid w:val="00153B06"/>
    <w:rsid w:val="00217422"/>
    <w:rsid w:val="002661DB"/>
    <w:rsid w:val="002D4599"/>
    <w:rsid w:val="00430A8F"/>
    <w:rsid w:val="00476827"/>
    <w:rsid w:val="005306A4"/>
    <w:rsid w:val="005D5170"/>
    <w:rsid w:val="006344CA"/>
    <w:rsid w:val="007F032A"/>
    <w:rsid w:val="00847034"/>
    <w:rsid w:val="008A6BCE"/>
    <w:rsid w:val="009040F7"/>
    <w:rsid w:val="009050B7"/>
    <w:rsid w:val="00BA5C93"/>
    <w:rsid w:val="00CE1D2B"/>
    <w:rsid w:val="00EC7049"/>
    <w:rsid w:val="00F94DF0"/>
    <w:rsid w:val="00FB1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D0DE"/>
  <w15:chartTrackingRefBased/>
  <w15:docId w15:val="{8DB16441-58D2-4924-823C-36AFC431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050A1C"/>
    <w:pPr>
      <w:spacing w:after="0" w:line="240" w:lineRule="auto"/>
      <w:jc w:val="both"/>
      <w:outlineLvl w:val="2"/>
    </w:pPr>
    <w:rPr>
      <w:rFonts w:ascii="Arial" w:hAnsi="Arial" w:cs="Arial"/>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0A1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050A1C"/>
    <w:rPr>
      <w:rFonts w:ascii="Arial" w:hAnsi="Arial" w:cs="Arial"/>
      <w:b/>
      <w:bCs/>
      <w:sz w:val="24"/>
      <w:szCs w:val="24"/>
      <w:lang w:eastAsia="zh-CN"/>
    </w:rPr>
  </w:style>
  <w:style w:type="paragraph" w:styleId="ListParagraph">
    <w:name w:val="List Paragraph"/>
    <w:basedOn w:val="Normal"/>
    <w:uiPriority w:val="34"/>
    <w:qFormat/>
    <w:rsid w:val="00050A1C"/>
    <w:pPr>
      <w:spacing w:after="0" w:line="240" w:lineRule="auto"/>
      <w:ind w:left="720"/>
      <w:contextualSpacing/>
      <w:jc w:val="both"/>
    </w:pPr>
    <w:rPr>
      <w:rFonts w:ascii="Arial" w:hAnsi="Arial" w:cs="Arial"/>
      <w:bCs/>
      <w:szCs w:val="24"/>
      <w:lang w:eastAsia="zh-CN"/>
    </w:rPr>
  </w:style>
  <w:style w:type="paragraph" w:customStyle="1" w:styleId="Figure">
    <w:name w:val="Figure"/>
    <w:basedOn w:val="Normal"/>
    <w:link w:val="FigureChar"/>
    <w:qFormat/>
    <w:rsid w:val="00050A1C"/>
    <w:pPr>
      <w:spacing w:after="0" w:line="240" w:lineRule="auto"/>
      <w:jc w:val="both"/>
    </w:pPr>
    <w:rPr>
      <w:rFonts w:ascii="Arial" w:hAnsi="Arial" w:cs="Arial"/>
      <w:b/>
      <w:bCs/>
      <w:sz w:val="20"/>
      <w:szCs w:val="24"/>
      <w:lang w:eastAsia="zh-CN"/>
    </w:rPr>
  </w:style>
  <w:style w:type="character" w:customStyle="1" w:styleId="FigureChar">
    <w:name w:val="Figure Char"/>
    <w:basedOn w:val="DefaultParagraphFont"/>
    <w:link w:val="Figure"/>
    <w:rsid w:val="00050A1C"/>
    <w:rPr>
      <w:rFonts w:ascii="Arial" w:hAnsi="Arial" w:cs="Arial"/>
      <w:b/>
      <w:bCs/>
      <w:sz w:val="20"/>
      <w:szCs w:val="24"/>
      <w:lang w:eastAsia="zh-CN"/>
    </w:rPr>
  </w:style>
  <w:style w:type="table" w:styleId="GridTable2-Accent3">
    <w:name w:val="Grid Table 2 Accent 3"/>
    <w:basedOn w:val="TableNormal"/>
    <w:uiPriority w:val="47"/>
    <w:rsid w:val="00050A1C"/>
    <w:pPr>
      <w:spacing w:after="0" w:line="240" w:lineRule="auto"/>
    </w:pPr>
    <w:rPr>
      <w:sz w:val="24"/>
      <w:szCs w:val="24"/>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8A6B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15</Pages>
  <Words>7537</Words>
  <Characters>42962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Pascual, Janire</dc:creator>
  <cp:keywords/>
  <dc:description/>
  <cp:lastModifiedBy>Pascual, Janire</cp:lastModifiedBy>
  <cp:revision>8</cp:revision>
  <dcterms:created xsi:type="dcterms:W3CDTF">2018-03-23T17:11:00Z</dcterms:created>
  <dcterms:modified xsi:type="dcterms:W3CDTF">2018-11-21T15:24:00Z</dcterms:modified>
</cp:coreProperties>
</file>