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BAB IV</w:t>
      </w:r>
    </w:p>
    <w:p>
      <w:pPr>
        <w:jc w:val="center"/>
      </w:pPr>
      <w:r>
        <w:rPr>
          <w:rFonts w:ascii="Times New Roman" w:hAnsi="Times New Roman"/>
          <w:b/>
          <w:sz w:val="28"/>
        </w:rPr>
        <w:t>HASIL DAN PEMBAHASAN</w:t>
      </w:r>
    </w:p>
    <w:p/>
    <w:p>
      <w:r>
        <w:rPr>
          <w:rFonts w:ascii="Times New Roman" w:hAnsi="Times New Roman"/>
          <w:b/>
          <w:sz w:val="24"/>
        </w:rPr>
        <w:t>4.1 Gambaran Umum Penelitian</w:t>
      </w:r>
    </w:p>
    <w:p>
      <w:pPr>
        <w:spacing w:line="360" w:lineRule="auto"/>
        <w:ind w:firstLine="720"/>
      </w:pPr>
      <w:r>
        <w:rPr>
          <w:rFonts w:ascii="Times New Roman" w:hAnsi="Times New Roman"/>
          <w:b w:val="0"/>
          <w:i w:val="0"/>
          <w:sz w:val="24"/>
        </w:rPr>
        <w:t>Penelitian ini dilaksanakan di kebun P2L (Pekarangan Pangan Lestari) Dinas Pangan Aceh Selatan yang terletak pada ketinggian 442 mdpl dengan curah hujan rata-rata 2.000–3.500 mm/tahun, berlangsung dari bulan November 2025 hingga Februari 2026. Percobaan menggunakan Rancangan Acak Lengkap (RAL) Faktorial dengan 9 kombinasi perlakuan yang terdiri dari 3 varietas padi unggul (Mekongga, Ciherang, dan Inpari 32) yang dipadukan dengan pupuk organik kotoran kambing, masing-masing diuji pada tiga ketinggian air berbeda yaitu 5 cm, -0,01 cm, dan -0,05 cm. Setiap perlakuan diulang sebanyak 3 kali sehingga diperoleh 27 unit percobaan.</w:t>
      </w:r>
    </w:p>
    <w:p>
      <w:pPr>
        <w:spacing w:line="360" w:lineRule="auto"/>
        <w:ind w:firstLine="720"/>
      </w:pPr>
      <w:r>
        <w:rPr>
          <w:rFonts w:ascii="Times New Roman" w:hAnsi="Times New Roman"/>
          <w:b w:val="0"/>
          <w:i w:val="0"/>
          <w:sz w:val="24"/>
        </w:rPr>
        <w:t>Variabel pengamatan meliputi: (1) kepadatan gulma, (2) tutupan gulma, (3) tinggi tanaman padi, (4) jumlah anakan padi, dan (5) produktivitas padi. Berikut disajikan hasil penelitian secara berurutan beserta pembahasannya.</w:t>
      </w:r>
    </w:p>
    <w:p/>
    <w:p>
      <w:r>
        <w:rPr>
          <w:rFonts w:ascii="Times New Roman" w:hAnsi="Times New Roman"/>
          <w:b/>
          <w:sz w:val="24"/>
        </w:rPr>
        <w:t>4.2 Kepadatan Gulma (Jumlah Gulma per Ember)</w:t>
      </w:r>
    </w:p>
    <w:p>
      <w:r>
        <w:rPr>
          <w:rFonts w:ascii="Times New Roman" w:hAnsi="Times New Roman"/>
          <w:b/>
          <w:sz w:val="24"/>
        </w:rPr>
        <w:t>4.2.1 Hasil Pengamatan Kepadatan Gulma</w:t>
      </w:r>
    </w:p>
    <w:p>
      <w:pPr>
        <w:spacing w:line="360" w:lineRule="auto"/>
        <w:ind w:firstLine="720"/>
      </w:pPr>
      <w:r>
        <w:rPr>
          <w:rFonts w:ascii="Times New Roman" w:hAnsi="Times New Roman"/>
          <w:b w:val="0"/>
          <w:i w:val="0"/>
          <w:sz w:val="24"/>
        </w:rPr>
        <w:t>Hasil pengamatan kepadatan gulma pada berbagai kombinasi perlakuan ketinggian air dan varietas padi dengan pupuk organik disajikan pada Tabel 4.1 berikut:</w:t>
      </w:r>
    </w:p>
    <w:p>
      <w:pPr>
        <w:jc w:val="center"/>
      </w:pPr>
      <w:r>
        <w:rPr>
          <w:rFonts w:ascii="Times New Roman" w:hAnsi="Times New Roman"/>
          <w:b/>
          <w:sz w:val="20"/>
        </w:rPr>
        <w:t>Tabel 4.1 Rata-rata Kepadatan Gulma (individu/ember) pada Berbagai Perlakuan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Varietas + PO</w:t>
            </w:r>
          </w:p>
        </w:tc>
        <w:tc>
          <w:tcPr>
            <w:tcW w:type="dxa" w:w="2068"/>
          </w:tcPr>
          <w:p>
            <w:pPr>
              <w:jc w:val="center"/>
            </w:pPr>
            <w:r>
              <w:rPr>
                <w:rFonts w:ascii="Times New Roman" w:hAnsi="Times New Roman"/>
                <w:b/>
                <w:sz w:val="20"/>
              </w:rPr>
              <w:t>5 cm</w:t>
            </w:r>
          </w:p>
        </w:tc>
        <w:tc>
          <w:tcPr>
            <w:tcW w:type="dxa" w:w="2068"/>
          </w:tcPr>
          <w:p>
            <w:pPr>
              <w:jc w:val="center"/>
            </w:pPr>
            <w:r>
              <w:rPr>
                <w:rFonts w:ascii="Times New Roman" w:hAnsi="Times New Roman"/>
                <w:b/>
                <w:sz w:val="20"/>
              </w:rPr>
              <w:t>-0,01 cm</w:t>
            </w:r>
          </w:p>
        </w:tc>
        <w:tc>
          <w:tcPr>
            <w:tcW w:type="dxa" w:w="2068"/>
          </w:tcPr>
          <w:p>
            <w:pPr>
              <w:jc w:val="center"/>
            </w:pPr>
            <w:r>
              <w:rPr>
                <w:rFonts w:ascii="Times New Roman" w:hAnsi="Times New Roman"/>
                <w:b/>
                <w:sz w:val="20"/>
              </w:rPr>
              <w:t>-0,05 cm</w:t>
            </w:r>
          </w:p>
        </w:tc>
      </w:tr>
      <w:tr>
        <w:tc>
          <w:tcPr>
            <w:tcW w:type="dxa" w:w="2068"/>
          </w:tcPr>
          <w:p>
            <w:pPr>
              <w:jc w:val="center"/>
            </w:pPr>
            <w:r>
              <w:rPr>
                <w:rFonts w:ascii="Times New Roman" w:hAnsi="Times New Roman"/>
                <w:sz w:val="20"/>
              </w:rPr>
              <w:t>Mekongga + PO</w:t>
            </w:r>
          </w:p>
        </w:tc>
        <w:tc>
          <w:tcPr>
            <w:tcW w:type="dxa" w:w="2068"/>
          </w:tcPr>
          <w:p>
            <w:pPr>
              <w:jc w:val="center"/>
            </w:pPr>
            <w:r>
              <w:rPr>
                <w:rFonts w:ascii="Times New Roman" w:hAnsi="Times New Roman"/>
                <w:sz w:val="20"/>
              </w:rPr>
              <w:t>4,3</w:t>
            </w:r>
          </w:p>
        </w:tc>
        <w:tc>
          <w:tcPr>
            <w:tcW w:type="dxa" w:w="2068"/>
          </w:tcPr>
          <w:p>
            <w:pPr>
              <w:jc w:val="center"/>
            </w:pPr>
            <w:r>
              <w:rPr>
                <w:rFonts w:ascii="Times New Roman" w:hAnsi="Times New Roman"/>
                <w:sz w:val="20"/>
              </w:rPr>
              <w:t>8,7</w:t>
            </w:r>
          </w:p>
        </w:tc>
        <w:tc>
          <w:tcPr>
            <w:tcW w:type="dxa" w:w="2068"/>
          </w:tcPr>
          <w:p>
            <w:pPr>
              <w:jc w:val="center"/>
            </w:pPr>
            <w:r>
              <w:rPr>
                <w:rFonts w:ascii="Times New Roman" w:hAnsi="Times New Roman"/>
                <w:sz w:val="20"/>
              </w:rPr>
              <w:t>11,2</w:t>
            </w:r>
          </w:p>
        </w:tc>
      </w:tr>
      <w:tr>
        <w:tc>
          <w:tcPr>
            <w:tcW w:type="dxa" w:w="2068"/>
          </w:tcPr>
          <w:p>
            <w:pPr>
              <w:jc w:val="center"/>
            </w:pPr>
            <w:r>
              <w:rPr>
                <w:rFonts w:ascii="Times New Roman" w:hAnsi="Times New Roman"/>
                <w:sz w:val="20"/>
              </w:rPr>
              <w:t>Ciherang + PO</w:t>
            </w:r>
          </w:p>
        </w:tc>
        <w:tc>
          <w:tcPr>
            <w:tcW w:type="dxa" w:w="2068"/>
          </w:tcPr>
          <w:p>
            <w:pPr>
              <w:jc w:val="center"/>
            </w:pPr>
            <w:r>
              <w:rPr>
                <w:rFonts w:ascii="Times New Roman" w:hAnsi="Times New Roman"/>
                <w:sz w:val="20"/>
              </w:rPr>
              <w:t>3,8</w:t>
            </w:r>
          </w:p>
        </w:tc>
        <w:tc>
          <w:tcPr>
            <w:tcW w:type="dxa" w:w="2068"/>
          </w:tcPr>
          <w:p>
            <w:pPr>
              <w:jc w:val="center"/>
            </w:pPr>
            <w:r>
              <w:rPr>
                <w:rFonts w:ascii="Times New Roman" w:hAnsi="Times New Roman"/>
                <w:sz w:val="20"/>
              </w:rPr>
              <w:t>7,9</w:t>
            </w:r>
          </w:p>
        </w:tc>
        <w:tc>
          <w:tcPr>
            <w:tcW w:type="dxa" w:w="2068"/>
          </w:tcPr>
          <w:p>
            <w:pPr>
              <w:jc w:val="center"/>
            </w:pPr>
            <w:r>
              <w:rPr>
                <w:rFonts w:ascii="Times New Roman" w:hAnsi="Times New Roman"/>
                <w:sz w:val="20"/>
              </w:rPr>
              <w:t>10,5</w:t>
            </w:r>
          </w:p>
        </w:tc>
      </w:tr>
      <w:tr>
        <w:tc>
          <w:tcPr>
            <w:tcW w:type="dxa" w:w="2068"/>
          </w:tcPr>
          <w:p>
            <w:pPr>
              <w:jc w:val="center"/>
            </w:pPr>
            <w:r>
              <w:rPr>
                <w:rFonts w:ascii="Times New Roman" w:hAnsi="Times New Roman"/>
                <w:sz w:val="20"/>
              </w:rPr>
              <w:t>Inpari 32 + PO</w:t>
            </w:r>
          </w:p>
        </w:tc>
        <w:tc>
          <w:tcPr>
            <w:tcW w:type="dxa" w:w="2068"/>
          </w:tcPr>
          <w:p>
            <w:pPr>
              <w:jc w:val="center"/>
            </w:pPr>
            <w:r>
              <w:rPr>
                <w:rFonts w:ascii="Times New Roman" w:hAnsi="Times New Roman"/>
                <w:sz w:val="20"/>
              </w:rPr>
              <w:t>4,1</w:t>
            </w:r>
          </w:p>
        </w:tc>
        <w:tc>
          <w:tcPr>
            <w:tcW w:type="dxa" w:w="2068"/>
          </w:tcPr>
          <w:p>
            <w:pPr>
              <w:jc w:val="center"/>
            </w:pPr>
            <w:r>
              <w:rPr>
                <w:rFonts w:ascii="Times New Roman" w:hAnsi="Times New Roman"/>
                <w:sz w:val="20"/>
              </w:rPr>
              <w:t>8,2</w:t>
            </w:r>
          </w:p>
        </w:tc>
        <w:tc>
          <w:tcPr>
            <w:tcW w:type="dxa" w:w="2068"/>
          </w:tcPr>
          <w:p>
            <w:pPr>
              <w:jc w:val="center"/>
            </w:pPr>
            <w:r>
              <w:rPr>
                <w:rFonts w:ascii="Times New Roman" w:hAnsi="Times New Roman"/>
                <w:sz w:val="20"/>
              </w:rPr>
              <w:t>10,8</w:t>
            </w:r>
          </w:p>
        </w:tc>
      </w:tr>
      <w:tr>
        <w:tc>
          <w:tcPr>
            <w:tcW w:type="dxa" w:w="2068"/>
          </w:tcPr>
          <w:p>
            <w:pPr>
              <w:jc w:val="center"/>
            </w:pPr>
            <w:r>
              <w:rPr>
                <w:rFonts w:ascii="Times New Roman" w:hAnsi="Times New Roman"/>
                <w:sz w:val="20"/>
              </w:rPr>
              <w:t>Rata-rata</w:t>
            </w:r>
          </w:p>
        </w:tc>
        <w:tc>
          <w:tcPr>
            <w:tcW w:type="dxa" w:w="2068"/>
          </w:tcPr>
          <w:p>
            <w:pPr>
              <w:jc w:val="center"/>
            </w:pPr>
            <w:r>
              <w:rPr>
                <w:rFonts w:ascii="Times New Roman" w:hAnsi="Times New Roman"/>
                <w:sz w:val="20"/>
              </w:rPr>
              <w:t>4,1</w:t>
            </w:r>
          </w:p>
        </w:tc>
        <w:tc>
          <w:tcPr>
            <w:tcW w:type="dxa" w:w="2068"/>
          </w:tcPr>
          <w:p>
            <w:pPr>
              <w:jc w:val="center"/>
            </w:pPr>
            <w:r>
              <w:rPr>
                <w:rFonts w:ascii="Times New Roman" w:hAnsi="Times New Roman"/>
                <w:sz w:val="20"/>
              </w:rPr>
              <w:t>8,3</w:t>
            </w:r>
          </w:p>
        </w:tc>
        <w:tc>
          <w:tcPr>
            <w:tcW w:type="dxa" w:w="2068"/>
          </w:tcPr>
          <w:p>
            <w:pPr>
              <w:jc w:val="center"/>
            </w:pPr>
            <w:r>
              <w:rPr>
                <w:rFonts w:ascii="Times New Roman" w:hAnsi="Times New Roman"/>
                <w:sz w:val="20"/>
              </w:rPr>
              <w:t>10,8</w:t>
            </w:r>
          </w:p>
        </w:tc>
      </w:tr>
    </w:tbl>
    <w:p/>
    <w:p>
      <w:pPr>
        <w:ind w:firstLine="0"/>
      </w:pPr>
      <w:r>
        <w:rPr>
          <w:rFonts w:ascii="Times New Roman" w:hAnsi="Times New Roman"/>
          <w:i/>
          <w:sz w:val="20"/>
        </w:rPr>
        <w:t>Keterangan: PO = Pupuk Organik (Kohe Kambing)</w:t>
      </w:r>
    </w:p>
    <w:p/>
    <w:p>
      <w:r>
        <w:rPr>
          <w:rFonts w:ascii="Times New Roman" w:hAnsi="Times New Roman"/>
          <w:b/>
          <w:sz w:val="24"/>
        </w:rPr>
        <w:t>4.2.2 Pembahasan Kepadatan Gulma</w:t>
      </w:r>
    </w:p>
    <w:p>
      <w:pPr>
        <w:spacing w:line="360" w:lineRule="auto"/>
        <w:ind w:firstLine="720"/>
      </w:pPr>
      <w:r>
        <w:rPr>
          <w:rFonts w:ascii="Times New Roman" w:hAnsi="Times New Roman"/>
          <w:b w:val="0"/>
          <w:i w:val="0"/>
          <w:sz w:val="24"/>
        </w:rPr>
        <w:t>Berdasarkan hasil pengamatan, kepadatan gulma tertinggi ditemukan pada perlakuan ketinggian air -0,05 cm (kondisi paling aerob) dengan rata-rata berkisar antara 10,5–11,2 individu per ember, sedangkan kepadatan gulma terendah terdapat pada perlakuan ketinggian air 5 cm (kondisi tergenang) dengan rata-rata 3,8–4,3 individu per ember. Hasil ini menunjukkan bahwa semakin rendah ketinggian air (kondisi semakin aerob), maka kepadatan gulma cenderung meningkat secara signifikan.</w:t>
      </w:r>
    </w:p>
    <w:p>
      <w:pPr>
        <w:spacing w:line="360" w:lineRule="auto"/>
        <w:ind w:firstLine="720"/>
      </w:pPr>
      <w:r>
        <w:rPr>
          <w:rFonts w:ascii="Times New Roman" w:hAnsi="Times New Roman"/>
          <w:b w:val="0"/>
          <w:i w:val="0"/>
          <w:sz w:val="24"/>
        </w:rPr>
        <w:t>Fenomena ini dapat dijelaskan melalui mekanisme ekologis gulma pada ekosistem sawah. Pada kondisi tergenang (5 cm), keberadaan air yang menutupi permukaan tanah secara konsisten menghambat perkecambahan biji gulma darat seperti Echinochloa crus-galli dan Cyperus difformis karena keterbatasan oksigen di zona perakaran. Sebaliknya, pada kondisi aerob (-0,01 cm dan -0,05 cm), permukaan tanah yang terbuka dan tersedia oksigen cukup memungkinkan biji-biji gulma berkecambah dengan lebih mudah dan tumbuh lebih subur.</w:t>
      </w:r>
    </w:p>
    <w:p>
      <w:pPr>
        <w:spacing w:line="360" w:lineRule="auto"/>
        <w:ind w:firstLine="720"/>
      </w:pPr>
      <w:r>
        <w:rPr>
          <w:rFonts w:ascii="Times New Roman" w:hAnsi="Times New Roman"/>
          <w:b w:val="0"/>
          <w:i w:val="0"/>
          <w:sz w:val="24"/>
        </w:rPr>
        <w:t>Temuan ini sejalan dengan hasil penelitian Anwar et al. (2012) yang menyatakan bahwa pada sistem padi aerob, gulma merupakan kendala biotik utama karena kondisi tanah yang tidak tergenang memberikan lingkungan yang kondusif bagi perkecambahan gulma. Lebih lanjut, Chauhan dan Johnson (2011) dalam penelitiannya yang dipublikasikan pada Field Crops Research melaporkan bahwa pengelolaan air merupakan faktor paling menentukan dalam dinamika populasi gulma di lahan padi, di mana penurunan ketinggian genangan secara signifikan meningkatkan kepadatan gulma hingga 40–60% dibandingkan sistem tergenang penuh.</w:t>
      </w:r>
    </w:p>
    <w:p>
      <w:pPr>
        <w:spacing w:line="360" w:lineRule="auto"/>
        <w:ind w:firstLine="720"/>
      </w:pPr>
      <w:r>
        <w:rPr>
          <w:rFonts w:ascii="Times New Roman" w:hAnsi="Times New Roman"/>
          <w:b w:val="0"/>
          <w:i w:val="0"/>
          <w:sz w:val="24"/>
        </w:rPr>
        <w:t>Dari aspek interaksi varietas, ketiga varietas yang diuji (Mekongga, Ciherang, dan Inpari 32) tidak menunjukkan perbedaan nyata terhadap kepadatan gulma pada setiap level ketinggian air. Hal ini mengindikasikan bahwa faktor ketinggian air lebih dominan pengaruhnya dibandingkan faktor varietas dalam menentukan kepadatan populasi gulma. Hasil ini konsisten dengan temuan Mahajan et al. (2014) yang menyatakan bahwa manajemen air lebih efektif sebagai pengendali gulma dibandingkan karakter kompetitif varietas pada fase awal pertumbuhan.</w:t>
      </w:r>
    </w:p>
    <w:p/>
    <w:p>
      <w:r>
        <w:rPr>
          <w:rFonts w:ascii="Times New Roman" w:hAnsi="Times New Roman"/>
          <w:b/>
          <w:sz w:val="24"/>
        </w:rPr>
        <w:t>4.3 Tutupan Gulma (Persentase Area Tertutup Gulma)</w:t>
      </w:r>
    </w:p>
    <w:p>
      <w:r>
        <w:rPr>
          <w:rFonts w:ascii="Times New Roman" w:hAnsi="Times New Roman"/>
          <w:b/>
          <w:sz w:val="24"/>
        </w:rPr>
        <w:t>4.3.1 Hasil Pengamatan Tutupan Gulma</w:t>
      </w:r>
    </w:p>
    <w:p>
      <w:pPr>
        <w:spacing w:line="360" w:lineRule="auto"/>
        <w:ind w:firstLine="720"/>
      </w:pPr>
      <w:r>
        <w:rPr>
          <w:rFonts w:ascii="Times New Roman" w:hAnsi="Times New Roman"/>
          <w:b w:val="0"/>
          <w:i w:val="0"/>
          <w:sz w:val="24"/>
        </w:rPr>
        <w:t>Hasil pengamatan persentase tutupan gulma pada berbagai kombinasi perlakuan disajikan pada Tabel 4.2 berikut:</w:t>
      </w:r>
    </w:p>
    <w:p>
      <w:pPr>
        <w:jc w:val="center"/>
      </w:pPr>
      <w:r>
        <w:rPr>
          <w:rFonts w:ascii="Times New Roman" w:hAnsi="Times New Roman"/>
          <w:b/>
          <w:sz w:val="20"/>
        </w:rPr>
        <w:t>Tabel 4.2 Rata-rata Tutupan Gulma (%) pada Berbagai Perlakuan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Varietas + PO</w:t>
            </w:r>
          </w:p>
        </w:tc>
        <w:tc>
          <w:tcPr>
            <w:tcW w:type="dxa" w:w="2068"/>
          </w:tcPr>
          <w:p>
            <w:pPr>
              <w:jc w:val="center"/>
            </w:pPr>
            <w:r>
              <w:rPr>
                <w:rFonts w:ascii="Times New Roman" w:hAnsi="Times New Roman"/>
                <w:b/>
                <w:sz w:val="20"/>
              </w:rPr>
              <w:t>5 cm</w:t>
            </w:r>
          </w:p>
        </w:tc>
        <w:tc>
          <w:tcPr>
            <w:tcW w:type="dxa" w:w="2068"/>
          </w:tcPr>
          <w:p>
            <w:pPr>
              <w:jc w:val="center"/>
            </w:pPr>
            <w:r>
              <w:rPr>
                <w:rFonts w:ascii="Times New Roman" w:hAnsi="Times New Roman"/>
                <w:b/>
                <w:sz w:val="20"/>
              </w:rPr>
              <w:t>-0,01 cm</w:t>
            </w:r>
          </w:p>
        </w:tc>
        <w:tc>
          <w:tcPr>
            <w:tcW w:type="dxa" w:w="2068"/>
          </w:tcPr>
          <w:p>
            <w:pPr>
              <w:jc w:val="center"/>
            </w:pPr>
            <w:r>
              <w:rPr>
                <w:rFonts w:ascii="Times New Roman" w:hAnsi="Times New Roman"/>
                <w:b/>
                <w:sz w:val="20"/>
              </w:rPr>
              <w:t>-0,05 cm</w:t>
            </w:r>
          </w:p>
        </w:tc>
      </w:tr>
      <w:tr>
        <w:tc>
          <w:tcPr>
            <w:tcW w:type="dxa" w:w="2068"/>
          </w:tcPr>
          <w:p>
            <w:pPr>
              <w:jc w:val="center"/>
            </w:pPr>
            <w:r>
              <w:rPr>
                <w:rFonts w:ascii="Times New Roman" w:hAnsi="Times New Roman"/>
                <w:sz w:val="20"/>
              </w:rPr>
              <w:t>Mekongga + PO</w:t>
            </w:r>
          </w:p>
        </w:tc>
        <w:tc>
          <w:tcPr>
            <w:tcW w:type="dxa" w:w="2068"/>
          </w:tcPr>
          <w:p>
            <w:pPr>
              <w:jc w:val="center"/>
            </w:pPr>
            <w:r>
              <w:rPr>
                <w:rFonts w:ascii="Times New Roman" w:hAnsi="Times New Roman"/>
                <w:sz w:val="20"/>
              </w:rPr>
              <w:t>12,4%</w:t>
            </w:r>
          </w:p>
        </w:tc>
        <w:tc>
          <w:tcPr>
            <w:tcW w:type="dxa" w:w="2068"/>
          </w:tcPr>
          <w:p>
            <w:pPr>
              <w:jc w:val="center"/>
            </w:pPr>
            <w:r>
              <w:rPr>
                <w:rFonts w:ascii="Times New Roman" w:hAnsi="Times New Roman"/>
                <w:sz w:val="20"/>
              </w:rPr>
              <w:t>28,6%</w:t>
            </w:r>
          </w:p>
        </w:tc>
        <w:tc>
          <w:tcPr>
            <w:tcW w:type="dxa" w:w="2068"/>
          </w:tcPr>
          <w:p>
            <w:pPr>
              <w:jc w:val="center"/>
            </w:pPr>
            <w:r>
              <w:rPr>
                <w:rFonts w:ascii="Times New Roman" w:hAnsi="Times New Roman"/>
                <w:sz w:val="20"/>
              </w:rPr>
              <w:t>38,7%</w:t>
            </w:r>
          </w:p>
        </w:tc>
      </w:tr>
      <w:tr>
        <w:tc>
          <w:tcPr>
            <w:tcW w:type="dxa" w:w="2068"/>
          </w:tcPr>
          <w:p>
            <w:pPr>
              <w:jc w:val="center"/>
            </w:pPr>
            <w:r>
              <w:rPr>
                <w:rFonts w:ascii="Times New Roman" w:hAnsi="Times New Roman"/>
                <w:sz w:val="20"/>
              </w:rPr>
              <w:t>Ciherang + PO</w:t>
            </w:r>
          </w:p>
        </w:tc>
        <w:tc>
          <w:tcPr>
            <w:tcW w:type="dxa" w:w="2068"/>
          </w:tcPr>
          <w:p>
            <w:pPr>
              <w:jc w:val="center"/>
            </w:pPr>
            <w:r>
              <w:rPr>
                <w:rFonts w:ascii="Times New Roman" w:hAnsi="Times New Roman"/>
                <w:sz w:val="20"/>
              </w:rPr>
              <w:t>10,8%</w:t>
            </w:r>
          </w:p>
        </w:tc>
        <w:tc>
          <w:tcPr>
            <w:tcW w:type="dxa" w:w="2068"/>
          </w:tcPr>
          <w:p>
            <w:pPr>
              <w:jc w:val="center"/>
            </w:pPr>
            <w:r>
              <w:rPr>
                <w:rFonts w:ascii="Times New Roman" w:hAnsi="Times New Roman"/>
                <w:sz w:val="20"/>
              </w:rPr>
              <w:t>25,3%</w:t>
            </w:r>
          </w:p>
        </w:tc>
        <w:tc>
          <w:tcPr>
            <w:tcW w:type="dxa" w:w="2068"/>
          </w:tcPr>
          <w:p>
            <w:pPr>
              <w:jc w:val="center"/>
            </w:pPr>
            <w:r>
              <w:rPr>
                <w:rFonts w:ascii="Times New Roman" w:hAnsi="Times New Roman"/>
                <w:sz w:val="20"/>
              </w:rPr>
              <w:t>34,2%</w:t>
            </w:r>
          </w:p>
        </w:tc>
      </w:tr>
      <w:tr>
        <w:tc>
          <w:tcPr>
            <w:tcW w:type="dxa" w:w="2068"/>
          </w:tcPr>
          <w:p>
            <w:pPr>
              <w:jc w:val="center"/>
            </w:pPr>
            <w:r>
              <w:rPr>
                <w:rFonts w:ascii="Times New Roman" w:hAnsi="Times New Roman"/>
                <w:sz w:val="20"/>
              </w:rPr>
              <w:t>Inpari 32 + PO</w:t>
            </w:r>
          </w:p>
        </w:tc>
        <w:tc>
          <w:tcPr>
            <w:tcW w:type="dxa" w:w="2068"/>
          </w:tcPr>
          <w:p>
            <w:pPr>
              <w:jc w:val="center"/>
            </w:pPr>
            <w:r>
              <w:rPr>
                <w:rFonts w:ascii="Times New Roman" w:hAnsi="Times New Roman"/>
                <w:sz w:val="20"/>
              </w:rPr>
              <w:t>11,5%</w:t>
            </w:r>
          </w:p>
        </w:tc>
        <w:tc>
          <w:tcPr>
            <w:tcW w:type="dxa" w:w="2068"/>
          </w:tcPr>
          <w:p>
            <w:pPr>
              <w:jc w:val="center"/>
            </w:pPr>
            <w:r>
              <w:rPr>
                <w:rFonts w:ascii="Times New Roman" w:hAnsi="Times New Roman"/>
                <w:sz w:val="20"/>
              </w:rPr>
              <w:t>26,9%</w:t>
            </w:r>
          </w:p>
        </w:tc>
        <w:tc>
          <w:tcPr>
            <w:tcW w:type="dxa" w:w="2068"/>
          </w:tcPr>
          <w:p>
            <w:pPr>
              <w:jc w:val="center"/>
            </w:pPr>
            <w:r>
              <w:rPr>
                <w:rFonts w:ascii="Times New Roman" w:hAnsi="Times New Roman"/>
                <w:sz w:val="20"/>
              </w:rPr>
              <w:t>36,1%</w:t>
            </w:r>
          </w:p>
        </w:tc>
      </w:tr>
      <w:tr>
        <w:tc>
          <w:tcPr>
            <w:tcW w:type="dxa" w:w="2068"/>
          </w:tcPr>
          <w:p>
            <w:pPr>
              <w:jc w:val="center"/>
            </w:pPr>
            <w:r>
              <w:rPr>
                <w:rFonts w:ascii="Times New Roman" w:hAnsi="Times New Roman"/>
                <w:sz w:val="20"/>
              </w:rPr>
              <w:t>Rata-rata</w:t>
            </w:r>
          </w:p>
        </w:tc>
        <w:tc>
          <w:tcPr>
            <w:tcW w:type="dxa" w:w="2068"/>
          </w:tcPr>
          <w:p>
            <w:pPr>
              <w:jc w:val="center"/>
            </w:pPr>
            <w:r>
              <w:rPr>
                <w:rFonts w:ascii="Times New Roman" w:hAnsi="Times New Roman"/>
                <w:sz w:val="20"/>
              </w:rPr>
              <w:t>11,6%</w:t>
            </w:r>
          </w:p>
        </w:tc>
        <w:tc>
          <w:tcPr>
            <w:tcW w:type="dxa" w:w="2068"/>
          </w:tcPr>
          <w:p>
            <w:pPr>
              <w:jc w:val="center"/>
            </w:pPr>
            <w:r>
              <w:rPr>
                <w:rFonts w:ascii="Times New Roman" w:hAnsi="Times New Roman"/>
                <w:sz w:val="20"/>
              </w:rPr>
              <w:t>26,9%</w:t>
            </w:r>
          </w:p>
        </w:tc>
        <w:tc>
          <w:tcPr>
            <w:tcW w:type="dxa" w:w="2068"/>
          </w:tcPr>
          <w:p>
            <w:pPr>
              <w:jc w:val="center"/>
            </w:pPr>
            <w:r>
              <w:rPr>
                <w:rFonts w:ascii="Times New Roman" w:hAnsi="Times New Roman"/>
                <w:sz w:val="20"/>
              </w:rPr>
              <w:t>36,3%</w:t>
            </w:r>
          </w:p>
        </w:tc>
      </w:tr>
    </w:tbl>
    <w:p/>
    <w:p/>
    <w:p>
      <w:r>
        <w:rPr>
          <w:rFonts w:ascii="Times New Roman" w:hAnsi="Times New Roman"/>
          <w:b/>
          <w:sz w:val="24"/>
        </w:rPr>
        <w:t>4.3.2 Pembahasan Tutupan Gulma</w:t>
      </w:r>
    </w:p>
    <w:p>
      <w:pPr>
        <w:spacing w:line="360" w:lineRule="auto"/>
        <w:ind w:firstLine="720"/>
      </w:pPr>
      <w:r>
        <w:rPr>
          <w:rFonts w:ascii="Times New Roman" w:hAnsi="Times New Roman"/>
          <w:b w:val="0"/>
          <w:i w:val="0"/>
          <w:sz w:val="24"/>
        </w:rPr>
        <w:t>Hasil pengamatan menunjukkan pola yang konsisten dengan kepadatan gulma, di mana persentase tutupan gulma tertinggi terdapat pada perlakuan ketinggian air -0,05 cm (34,2–38,7%), diikuti oleh -0,01 cm (25,3–28,6%), dan terendah pada perlakuan 5 cm (10,8–12,4%). Data ini mengkonfirmasi bahwa kondisi aerob pada sistem IPAT-BO memang memberikan peluang lebih besar bagi gulma untuk mendominasi area pertanaman.</w:t>
      </w:r>
    </w:p>
    <w:p>
      <w:pPr>
        <w:spacing w:line="360" w:lineRule="auto"/>
        <w:ind w:firstLine="720"/>
      </w:pPr>
      <w:r>
        <w:rPr>
          <w:rFonts w:ascii="Times New Roman" w:hAnsi="Times New Roman"/>
          <w:b w:val="0"/>
          <w:i w:val="0"/>
          <w:sz w:val="24"/>
        </w:rPr>
        <w:t>Persentase tutupan gulma yang tinggi pada kondisi aerob disebabkan oleh beberapa faktor. Pertama, pada kondisi tanah lembab tanpa genangan, gulma tidak hanya berkecambah lebih banyak tetapi juga tumbuh lebih cepat karena ketersediaan oksigen yang memadai untuk respirasi akar. Kedua, pupuk organik yang diberikan tidak hanya dimanfaatkan oleh tanaman padi tetapi juga oleh gulma, sehingga pertumbuhan vegetatif gulma menjadi lebih pesat. Hal ini sesuai dengan temuan Phuong et al. (2005) bahwa aplikasi bahan organik pada lahan padi aerob meningkatkan biomassa gulma karena nutrisi tersedia bagi semua tumbuhan yang ada di lahan tersebut.</w:t>
      </w:r>
    </w:p>
    <w:p>
      <w:pPr>
        <w:spacing w:line="360" w:lineRule="auto"/>
        <w:ind w:firstLine="720"/>
      </w:pPr>
      <w:r>
        <w:rPr>
          <w:rFonts w:ascii="Times New Roman" w:hAnsi="Times New Roman"/>
          <w:b w:val="0"/>
          <w:i w:val="0"/>
          <w:sz w:val="24"/>
        </w:rPr>
        <w:t>Menariknya, varietas Ciherang menunjukkan tutupan gulma yang relatif lebih rendah dibandingkan Mekongga dan Inpari 32 pada semua level ketinggian air. Hal ini diduga berkaitan dengan karakteristik morfologi Ciherang yang memiliki tajuk lebih lebar dan pertumbuhan vegetatif yang cepat sehingga mampu menaungi permukaan tanah dan menekan penetrasi cahaya yang dibutuhkan gulma untuk tumbuh. Temuan serupa dilaporkan oleh Zhao et al. (2006) dalam jurnal Field Crops Research yang menyatakan bahwa varietas padi dengan kanopi lebih rapat memiliki daya tekan gulma (weed suppressive ability) yang lebih tinggi.</w:t>
      </w:r>
    </w:p>
    <w:p/>
    <w:p>
      <w:r>
        <w:rPr>
          <w:rFonts w:ascii="Times New Roman" w:hAnsi="Times New Roman"/>
          <w:b/>
          <w:sz w:val="24"/>
        </w:rPr>
        <w:t>4.4 Tinggi Tanaman Padi</w:t>
      </w:r>
    </w:p>
    <w:p>
      <w:r>
        <w:rPr>
          <w:rFonts w:ascii="Times New Roman" w:hAnsi="Times New Roman"/>
          <w:b/>
          <w:sz w:val="24"/>
        </w:rPr>
        <w:t>4.4.1 Hasil Pengamatan Tinggi Tanaman</w:t>
      </w:r>
    </w:p>
    <w:p>
      <w:pPr>
        <w:spacing w:line="360" w:lineRule="auto"/>
        <w:ind w:firstLine="720"/>
      </w:pPr>
      <w:r>
        <w:rPr>
          <w:rFonts w:ascii="Times New Roman" w:hAnsi="Times New Roman"/>
          <w:b w:val="0"/>
          <w:i w:val="0"/>
          <w:sz w:val="24"/>
        </w:rPr>
        <w:t>Hasil pengamatan tinggi tanaman padi pada umur 60 hari setelah tanam (HST) disajikan pada Tabel 4.3 berikut:</w:t>
      </w:r>
    </w:p>
    <w:p>
      <w:pPr>
        <w:jc w:val="center"/>
      </w:pPr>
      <w:r>
        <w:rPr>
          <w:rFonts w:ascii="Times New Roman" w:hAnsi="Times New Roman"/>
          <w:b/>
          <w:sz w:val="20"/>
        </w:rPr>
        <w:t>Tabel 4.3 Rata-rata Tinggi Tanaman Padi (cm) pada Umur 60 HST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Varietas + PO</w:t>
            </w:r>
          </w:p>
        </w:tc>
        <w:tc>
          <w:tcPr>
            <w:tcW w:type="dxa" w:w="2068"/>
          </w:tcPr>
          <w:p>
            <w:pPr>
              <w:jc w:val="center"/>
            </w:pPr>
            <w:r>
              <w:rPr>
                <w:rFonts w:ascii="Times New Roman" w:hAnsi="Times New Roman"/>
                <w:b/>
                <w:sz w:val="20"/>
              </w:rPr>
              <w:t>5 cm</w:t>
            </w:r>
          </w:p>
        </w:tc>
        <w:tc>
          <w:tcPr>
            <w:tcW w:type="dxa" w:w="2068"/>
          </w:tcPr>
          <w:p>
            <w:pPr>
              <w:jc w:val="center"/>
            </w:pPr>
            <w:r>
              <w:rPr>
                <w:rFonts w:ascii="Times New Roman" w:hAnsi="Times New Roman"/>
                <w:b/>
                <w:sz w:val="20"/>
              </w:rPr>
              <w:t>-0,01 cm</w:t>
            </w:r>
          </w:p>
        </w:tc>
        <w:tc>
          <w:tcPr>
            <w:tcW w:type="dxa" w:w="2068"/>
          </w:tcPr>
          <w:p>
            <w:pPr>
              <w:jc w:val="center"/>
            </w:pPr>
            <w:r>
              <w:rPr>
                <w:rFonts w:ascii="Times New Roman" w:hAnsi="Times New Roman"/>
                <w:b/>
                <w:sz w:val="20"/>
              </w:rPr>
              <w:t>-0,05 cm</w:t>
            </w:r>
          </w:p>
        </w:tc>
      </w:tr>
      <w:tr>
        <w:tc>
          <w:tcPr>
            <w:tcW w:type="dxa" w:w="2068"/>
          </w:tcPr>
          <w:p>
            <w:pPr>
              <w:jc w:val="center"/>
            </w:pPr>
            <w:r>
              <w:rPr>
                <w:rFonts w:ascii="Times New Roman" w:hAnsi="Times New Roman"/>
                <w:sz w:val="20"/>
              </w:rPr>
              <w:t>Mekongga + PO</w:t>
            </w:r>
          </w:p>
        </w:tc>
        <w:tc>
          <w:tcPr>
            <w:tcW w:type="dxa" w:w="2068"/>
          </w:tcPr>
          <w:p>
            <w:pPr>
              <w:jc w:val="center"/>
            </w:pPr>
            <w:r>
              <w:rPr>
                <w:rFonts w:ascii="Times New Roman" w:hAnsi="Times New Roman"/>
                <w:sz w:val="20"/>
              </w:rPr>
              <w:t>78,5 cm</w:t>
            </w:r>
          </w:p>
        </w:tc>
        <w:tc>
          <w:tcPr>
            <w:tcW w:type="dxa" w:w="2068"/>
          </w:tcPr>
          <w:p>
            <w:pPr>
              <w:jc w:val="center"/>
            </w:pPr>
            <w:r>
              <w:rPr>
                <w:rFonts w:ascii="Times New Roman" w:hAnsi="Times New Roman"/>
                <w:sz w:val="20"/>
              </w:rPr>
              <w:t>72,3 cm</w:t>
            </w:r>
          </w:p>
        </w:tc>
        <w:tc>
          <w:tcPr>
            <w:tcW w:type="dxa" w:w="2068"/>
          </w:tcPr>
          <w:p>
            <w:pPr>
              <w:jc w:val="center"/>
            </w:pPr>
            <w:r>
              <w:rPr>
                <w:rFonts w:ascii="Times New Roman" w:hAnsi="Times New Roman"/>
                <w:sz w:val="20"/>
              </w:rPr>
              <w:t>65,8 cm</w:t>
            </w:r>
          </w:p>
        </w:tc>
      </w:tr>
      <w:tr>
        <w:tc>
          <w:tcPr>
            <w:tcW w:type="dxa" w:w="2068"/>
          </w:tcPr>
          <w:p>
            <w:pPr>
              <w:jc w:val="center"/>
            </w:pPr>
            <w:r>
              <w:rPr>
                <w:rFonts w:ascii="Times New Roman" w:hAnsi="Times New Roman"/>
                <w:sz w:val="20"/>
              </w:rPr>
              <w:t>Ciherang + PO</w:t>
            </w:r>
          </w:p>
        </w:tc>
        <w:tc>
          <w:tcPr>
            <w:tcW w:type="dxa" w:w="2068"/>
          </w:tcPr>
          <w:p>
            <w:pPr>
              <w:jc w:val="center"/>
            </w:pPr>
            <w:r>
              <w:rPr>
                <w:rFonts w:ascii="Times New Roman" w:hAnsi="Times New Roman"/>
                <w:sz w:val="20"/>
              </w:rPr>
              <w:t>82,1 cm</w:t>
            </w:r>
          </w:p>
        </w:tc>
        <w:tc>
          <w:tcPr>
            <w:tcW w:type="dxa" w:w="2068"/>
          </w:tcPr>
          <w:p>
            <w:pPr>
              <w:jc w:val="center"/>
            </w:pPr>
            <w:r>
              <w:rPr>
                <w:rFonts w:ascii="Times New Roman" w:hAnsi="Times New Roman"/>
                <w:sz w:val="20"/>
              </w:rPr>
              <w:t>76,4 cm</w:t>
            </w:r>
          </w:p>
        </w:tc>
        <w:tc>
          <w:tcPr>
            <w:tcW w:type="dxa" w:w="2068"/>
          </w:tcPr>
          <w:p>
            <w:pPr>
              <w:jc w:val="center"/>
            </w:pPr>
            <w:r>
              <w:rPr>
                <w:rFonts w:ascii="Times New Roman" w:hAnsi="Times New Roman"/>
                <w:sz w:val="20"/>
              </w:rPr>
              <w:t>69,2 cm</w:t>
            </w:r>
          </w:p>
        </w:tc>
      </w:tr>
      <w:tr>
        <w:tc>
          <w:tcPr>
            <w:tcW w:type="dxa" w:w="2068"/>
          </w:tcPr>
          <w:p>
            <w:pPr>
              <w:jc w:val="center"/>
            </w:pPr>
            <w:r>
              <w:rPr>
                <w:rFonts w:ascii="Times New Roman" w:hAnsi="Times New Roman"/>
                <w:sz w:val="20"/>
              </w:rPr>
              <w:t>Inpari 32 + PO</w:t>
            </w:r>
          </w:p>
        </w:tc>
        <w:tc>
          <w:tcPr>
            <w:tcW w:type="dxa" w:w="2068"/>
          </w:tcPr>
          <w:p>
            <w:pPr>
              <w:jc w:val="center"/>
            </w:pPr>
            <w:r>
              <w:rPr>
                <w:rFonts w:ascii="Times New Roman" w:hAnsi="Times New Roman"/>
                <w:sz w:val="20"/>
              </w:rPr>
              <w:t>76,9 cm</w:t>
            </w:r>
          </w:p>
        </w:tc>
        <w:tc>
          <w:tcPr>
            <w:tcW w:type="dxa" w:w="2068"/>
          </w:tcPr>
          <w:p>
            <w:pPr>
              <w:jc w:val="center"/>
            </w:pPr>
            <w:r>
              <w:rPr>
                <w:rFonts w:ascii="Times New Roman" w:hAnsi="Times New Roman"/>
                <w:sz w:val="20"/>
              </w:rPr>
              <w:t>70,8 cm</w:t>
            </w:r>
          </w:p>
        </w:tc>
        <w:tc>
          <w:tcPr>
            <w:tcW w:type="dxa" w:w="2068"/>
          </w:tcPr>
          <w:p>
            <w:pPr>
              <w:jc w:val="center"/>
            </w:pPr>
            <w:r>
              <w:rPr>
                <w:rFonts w:ascii="Times New Roman" w:hAnsi="Times New Roman"/>
                <w:sz w:val="20"/>
              </w:rPr>
              <w:t>63,5 cm</w:t>
            </w:r>
          </w:p>
        </w:tc>
      </w:tr>
      <w:tr>
        <w:tc>
          <w:tcPr>
            <w:tcW w:type="dxa" w:w="2068"/>
          </w:tcPr>
          <w:p>
            <w:pPr>
              <w:jc w:val="center"/>
            </w:pPr>
            <w:r>
              <w:rPr>
                <w:rFonts w:ascii="Times New Roman" w:hAnsi="Times New Roman"/>
                <w:sz w:val="20"/>
              </w:rPr>
              <w:t>Rata-rata</w:t>
            </w:r>
          </w:p>
        </w:tc>
        <w:tc>
          <w:tcPr>
            <w:tcW w:type="dxa" w:w="2068"/>
          </w:tcPr>
          <w:p>
            <w:pPr>
              <w:jc w:val="center"/>
            </w:pPr>
            <w:r>
              <w:rPr>
                <w:rFonts w:ascii="Times New Roman" w:hAnsi="Times New Roman"/>
                <w:sz w:val="20"/>
              </w:rPr>
              <w:t>79,2 cm</w:t>
            </w:r>
          </w:p>
        </w:tc>
        <w:tc>
          <w:tcPr>
            <w:tcW w:type="dxa" w:w="2068"/>
          </w:tcPr>
          <w:p>
            <w:pPr>
              <w:jc w:val="center"/>
            </w:pPr>
            <w:r>
              <w:rPr>
                <w:rFonts w:ascii="Times New Roman" w:hAnsi="Times New Roman"/>
                <w:sz w:val="20"/>
              </w:rPr>
              <w:t>73,2 cm</w:t>
            </w:r>
          </w:p>
        </w:tc>
        <w:tc>
          <w:tcPr>
            <w:tcW w:type="dxa" w:w="2068"/>
          </w:tcPr>
          <w:p>
            <w:pPr>
              <w:jc w:val="center"/>
            </w:pPr>
            <w:r>
              <w:rPr>
                <w:rFonts w:ascii="Times New Roman" w:hAnsi="Times New Roman"/>
                <w:sz w:val="20"/>
              </w:rPr>
              <w:t>66,2 cm</w:t>
            </w:r>
          </w:p>
        </w:tc>
      </w:tr>
    </w:tbl>
    <w:p/>
    <w:p/>
    <w:p>
      <w:r>
        <w:rPr>
          <w:rFonts w:ascii="Times New Roman" w:hAnsi="Times New Roman"/>
          <w:b/>
          <w:sz w:val="24"/>
        </w:rPr>
        <w:t>4.4.2 Pembahasan Tinggi Tanaman Padi</w:t>
      </w:r>
    </w:p>
    <w:p>
      <w:pPr>
        <w:spacing w:line="360" w:lineRule="auto"/>
        <w:ind w:firstLine="720"/>
      </w:pPr>
      <w:r>
        <w:rPr>
          <w:rFonts w:ascii="Times New Roman" w:hAnsi="Times New Roman"/>
          <w:b w:val="0"/>
          <w:i w:val="0"/>
          <w:sz w:val="24"/>
        </w:rPr>
        <w:t>Hasil pengamatan menunjukkan bahwa tinggi tanaman padi tertinggi dicapai pada perlakuan ketinggian air 5 cm (kondisi tergenang) dengan kisaran 76,9–82,1 cm, diikuti oleh perlakuan -0,01 cm (70,8–76,4 cm), dan terendah pada perlakuan -0,05 cm (63,5–69,2 cm). Pola ini menunjukkan bahwa penurunan ketinggian air berpengaruh menurunkan tinggi tanaman padi secara konsisten pada ketiga varietas yang diuji.</w:t>
      </w:r>
    </w:p>
    <w:p>
      <w:pPr>
        <w:spacing w:line="360" w:lineRule="auto"/>
        <w:ind w:firstLine="720"/>
      </w:pPr>
      <w:r>
        <w:rPr>
          <w:rFonts w:ascii="Times New Roman" w:hAnsi="Times New Roman"/>
          <w:b w:val="0"/>
          <w:i w:val="0"/>
          <w:sz w:val="24"/>
        </w:rPr>
        <w:t>Penurunan tinggi tanaman pada kondisi aerob dapat dijelaskan melalui mekanisme fisiologis tanaman padi. Pada kondisi tergenang, tanaman padi cenderung mengalami pemanjangan batang (stem elongation) sebagai respons adaptif terhadap lingkungan akuatik, yang diatur oleh hormon giberelin dan etilen. Menurut Nagai et al. (2010) yang dipublikasikan dalam Journal of Plant Research, gen SNORKEL pada padi mengatur pemanjangan internode sebagai respons terhadap genangan, sehingga tanaman pada kondisi tergenang cenderung lebih tinggi. Sebaliknya, pada kondisi aerob, respons elongasi ini berkurang karena tidak ada stimulus genangan.</w:t>
      </w:r>
    </w:p>
    <w:p>
      <w:pPr>
        <w:spacing w:line="360" w:lineRule="auto"/>
        <w:ind w:firstLine="720"/>
      </w:pPr>
      <w:r>
        <w:rPr>
          <w:rFonts w:ascii="Times New Roman" w:hAnsi="Times New Roman"/>
          <w:b w:val="0"/>
          <w:i w:val="0"/>
          <w:sz w:val="24"/>
        </w:rPr>
        <w:t>Namun demikian, perlu dipahami bahwa tinggi tanaman bukanlah satu-satunya indikator pertumbuhan yang baik. Menurut Yoshida (1981), tanaman padi yang terlalu tinggi justru rentan terhadap kerebahan (lodging) yang dapat menurunkan produktivitas. Pada sistem IPAT-BO, meskipun tinggi tanaman lebih rendah dibandingkan sistem genangan penuh, kondisi ini justru menguntungkan karena mengurangi risiko kerebahan dan memungkinkan alokasi asimilat yang lebih besar untuk pengisian biji. Hasil ini konsisten dengan temuan Carrijo et al. (2017) yang melaporkan bahwa pada sistem alternate wetting and drying (AWD), tanaman padi yang lebih pendek justru memiliki indeks panen (harvest index) yang lebih tinggi.</w:t>
      </w:r>
    </w:p>
    <w:p/>
    <w:p>
      <w:r>
        <w:rPr>
          <w:rFonts w:ascii="Times New Roman" w:hAnsi="Times New Roman"/>
          <w:b/>
          <w:sz w:val="24"/>
        </w:rPr>
        <w:t>4.5 Jumlah Anakan Padi</w:t>
      </w:r>
    </w:p>
    <w:p>
      <w:r>
        <w:rPr>
          <w:rFonts w:ascii="Times New Roman" w:hAnsi="Times New Roman"/>
          <w:b/>
          <w:sz w:val="24"/>
        </w:rPr>
        <w:t>4.5.1 Hasil Pengamatan Jumlah Anakan</w:t>
      </w:r>
    </w:p>
    <w:p>
      <w:pPr>
        <w:spacing w:line="360" w:lineRule="auto"/>
        <w:ind w:firstLine="720"/>
      </w:pPr>
      <w:r>
        <w:rPr>
          <w:rFonts w:ascii="Times New Roman" w:hAnsi="Times New Roman"/>
          <w:b w:val="0"/>
          <w:i w:val="0"/>
          <w:sz w:val="24"/>
        </w:rPr>
        <w:t>Hasil pengamatan jumlah anakan produktif per rumpun pada berbagai kombinasi perlakuan disajikan pada Tabel 4.4 berikut:</w:t>
      </w:r>
    </w:p>
    <w:p>
      <w:pPr>
        <w:jc w:val="center"/>
      </w:pPr>
      <w:r>
        <w:rPr>
          <w:rFonts w:ascii="Times New Roman" w:hAnsi="Times New Roman"/>
          <w:b/>
          <w:sz w:val="20"/>
        </w:rPr>
        <w:t>Tabel 4.4 Rata-rata Jumlah Anakan Produktif (batang/rumpun)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Varietas + PO</w:t>
            </w:r>
          </w:p>
        </w:tc>
        <w:tc>
          <w:tcPr>
            <w:tcW w:type="dxa" w:w="2068"/>
          </w:tcPr>
          <w:p>
            <w:pPr>
              <w:jc w:val="center"/>
            </w:pPr>
            <w:r>
              <w:rPr>
                <w:rFonts w:ascii="Times New Roman" w:hAnsi="Times New Roman"/>
                <w:b/>
                <w:sz w:val="20"/>
              </w:rPr>
              <w:t>5 cm</w:t>
            </w:r>
          </w:p>
        </w:tc>
        <w:tc>
          <w:tcPr>
            <w:tcW w:type="dxa" w:w="2068"/>
          </w:tcPr>
          <w:p>
            <w:pPr>
              <w:jc w:val="center"/>
            </w:pPr>
            <w:r>
              <w:rPr>
                <w:rFonts w:ascii="Times New Roman" w:hAnsi="Times New Roman"/>
                <w:b/>
                <w:sz w:val="20"/>
              </w:rPr>
              <w:t>-0,01 cm</w:t>
            </w:r>
          </w:p>
        </w:tc>
        <w:tc>
          <w:tcPr>
            <w:tcW w:type="dxa" w:w="2068"/>
          </w:tcPr>
          <w:p>
            <w:pPr>
              <w:jc w:val="center"/>
            </w:pPr>
            <w:r>
              <w:rPr>
                <w:rFonts w:ascii="Times New Roman" w:hAnsi="Times New Roman"/>
                <w:b/>
                <w:sz w:val="20"/>
              </w:rPr>
              <w:t>-0,05 cm</w:t>
            </w:r>
          </w:p>
        </w:tc>
      </w:tr>
      <w:tr>
        <w:tc>
          <w:tcPr>
            <w:tcW w:type="dxa" w:w="2068"/>
          </w:tcPr>
          <w:p>
            <w:pPr>
              <w:jc w:val="center"/>
            </w:pPr>
            <w:r>
              <w:rPr>
                <w:rFonts w:ascii="Times New Roman" w:hAnsi="Times New Roman"/>
                <w:sz w:val="20"/>
              </w:rPr>
              <w:t>Mekongga + PO</w:t>
            </w:r>
          </w:p>
        </w:tc>
        <w:tc>
          <w:tcPr>
            <w:tcW w:type="dxa" w:w="2068"/>
          </w:tcPr>
          <w:p>
            <w:pPr>
              <w:jc w:val="center"/>
            </w:pPr>
            <w:r>
              <w:rPr>
                <w:rFonts w:ascii="Times New Roman" w:hAnsi="Times New Roman"/>
                <w:sz w:val="20"/>
              </w:rPr>
              <w:t>14,2</w:t>
            </w:r>
          </w:p>
        </w:tc>
        <w:tc>
          <w:tcPr>
            <w:tcW w:type="dxa" w:w="2068"/>
          </w:tcPr>
          <w:p>
            <w:pPr>
              <w:jc w:val="center"/>
            </w:pPr>
            <w:r>
              <w:rPr>
                <w:rFonts w:ascii="Times New Roman" w:hAnsi="Times New Roman"/>
                <w:sz w:val="20"/>
              </w:rPr>
              <w:t>16,8</w:t>
            </w:r>
          </w:p>
        </w:tc>
        <w:tc>
          <w:tcPr>
            <w:tcW w:type="dxa" w:w="2068"/>
          </w:tcPr>
          <w:p>
            <w:pPr>
              <w:jc w:val="center"/>
            </w:pPr>
            <w:r>
              <w:rPr>
                <w:rFonts w:ascii="Times New Roman" w:hAnsi="Times New Roman"/>
                <w:sz w:val="20"/>
              </w:rPr>
              <w:t>13,5</w:t>
            </w:r>
          </w:p>
        </w:tc>
      </w:tr>
      <w:tr>
        <w:tc>
          <w:tcPr>
            <w:tcW w:type="dxa" w:w="2068"/>
          </w:tcPr>
          <w:p>
            <w:pPr>
              <w:jc w:val="center"/>
            </w:pPr>
            <w:r>
              <w:rPr>
                <w:rFonts w:ascii="Times New Roman" w:hAnsi="Times New Roman"/>
                <w:sz w:val="20"/>
              </w:rPr>
              <w:t>Ciherang + PO</w:t>
            </w:r>
          </w:p>
        </w:tc>
        <w:tc>
          <w:tcPr>
            <w:tcW w:type="dxa" w:w="2068"/>
          </w:tcPr>
          <w:p>
            <w:pPr>
              <w:jc w:val="center"/>
            </w:pPr>
            <w:r>
              <w:rPr>
                <w:rFonts w:ascii="Times New Roman" w:hAnsi="Times New Roman"/>
                <w:sz w:val="20"/>
              </w:rPr>
              <w:t>15,6</w:t>
            </w:r>
          </w:p>
        </w:tc>
        <w:tc>
          <w:tcPr>
            <w:tcW w:type="dxa" w:w="2068"/>
          </w:tcPr>
          <w:p>
            <w:pPr>
              <w:jc w:val="center"/>
            </w:pPr>
            <w:r>
              <w:rPr>
                <w:rFonts w:ascii="Times New Roman" w:hAnsi="Times New Roman"/>
                <w:sz w:val="20"/>
              </w:rPr>
              <w:t>18,3</w:t>
            </w:r>
          </w:p>
        </w:tc>
        <w:tc>
          <w:tcPr>
            <w:tcW w:type="dxa" w:w="2068"/>
          </w:tcPr>
          <w:p>
            <w:pPr>
              <w:jc w:val="center"/>
            </w:pPr>
            <w:r>
              <w:rPr>
                <w:rFonts w:ascii="Times New Roman" w:hAnsi="Times New Roman"/>
                <w:sz w:val="20"/>
              </w:rPr>
              <w:t>14,8</w:t>
            </w:r>
          </w:p>
        </w:tc>
      </w:tr>
      <w:tr>
        <w:tc>
          <w:tcPr>
            <w:tcW w:type="dxa" w:w="2068"/>
          </w:tcPr>
          <w:p>
            <w:pPr>
              <w:jc w:val="center"/>
            </w:pPr>
            <w:r>
              <w:rPr>
                <w:rFonts w:ascii="Times New Roman" w:hAnsi="Times New Roman"/>
                <w:sz w:val="20"/>
              </w:rPr>
              <w:t>Inpari 32 + PO</w:t>
            </w:r>
          </w:p>
        </w:tc>
        <w:tc>
          <w:tcPr>
            <w:tcW w:type="dxa" w:w="2068"/>
          </w:tcPr>
          <w:p>
            <w:pPr>
              <w:jc w:val="center"/>
            </w:pPr>
            <w:r>
              <w:rPr>
                <w:rFonts w:ascii="Times New Roman" w:hAnsi="Times New Roman"/>
                <w:sz w:val="20"/>
              </w:rPr>
              <w:t>15,1</w:t>
            </w:r>
          </w:p>
        </w:tc>
        <w:tc>
          <w:tcPr>
            <w:tcW w:type="dxa" w:w="2068"/>
          </w:tcPr>
          <w:p>
            <w:pPr>
              <w:jc w:val="center"/>
            </w:pPr>
            <w:r>
              <w:rPr>
                <w:rFonts w:ascii="Times New Roman" w:hAnsi="Times New Roman"/>
                <w:sz w:val="20"/>
              </w:rPr>
              <w:t>17,9</w:t>
            </w:r>
          </w:p>
        </w:tc>
        <w:tc>
          <w:tcPr>
            <w:tcW w:type="dxa" w:w="2068"/>
          </w:tcPr>
          <w:p>
            <w:pPr>
              <w:jc w:val="center"/>
            </w:pPr>
            <w:r>
              <w:rPr>
                <w:rFonts w:ascii="Times New Roman" w:hAnsi="Times New Roman"/>
                <w:sz w:val="20"/>
              </w:rPr>
              <w:t>14,2</w:t>
            </w:r>
          </w:p>
        </w:tc>
      </w:tr>
      <w:tr>
        <w:tc>
          <w:tcPr>
            <w:tcW w:type="dxa" w:w="2068"/>
          </w:tcPr>
          <w:p>
            <w:pPr>
              <w:jc w:val="center"/>
            </w:pPr>
            <w:r>
              <w:rPr>
                <w:rFonts w:ascii="Times New Roman" w:hAnsi="Times New Roman"/>
                <w:sz w:val="20"/>
              </w:rPr>
              <w:t>Rata-rata</w:t>
            </w:r>
          </w:p>
        </w:tc>
        <w:tc>
          <w:tcPr>
            <w:tcW w:type="dxa" w:w="2068"/>
          </w:tcPr>
          <w:p>
            <w:pPr>
              <w:jc w:val="center"/>
            </w:pPr>
            <w:r>
              <w:rPr>
                <w:rFonts w:ascii="Times New Roman" w:hAnsi="Times New Roman"/>
                <w:sz w:val="20"/>
              </w:rPr>
              <w:t>15,0</w:t>
            </w:r>
          </w:p>
        </w:tc>
        <w:tc>
          <w:tcPr>
            <w:tcW w:type="dxa" w:w="2068"/>
          </w:tcPr>
          <w:p>
            <w:pPr>
              <w:jc w:val="center"/>
            </w:pPr>
            <w:r>
              <w:rPr>
                <w:rFonts w:ascii="Times New Roman" w:hAnsi="Times New Roman"/>
                <w:sz w:val="20"/>
              </w:rPr>
              <w:t>17,7</w:t>
            </w:r>
          </w:p>
        </w:tc>
        <w:tc>
          <w:tcPr>
            <w:tcW w:type="dxa" w:w="2068"/>
          </w:tcPr>
          <w:p>
            <w:pPr>
              <w:jc w:val="center"/>
            </w:pPr>
            <w:r>
              <w:rPr>
                <w:rFonts w:ascii="Times New Roman" w:hAnsi="Times New Roman"/>
                <w:sz w:val="20"/>
              </w:rPr>
              <w:t>14,2</w:t>
            </w:r>
          </w:p>
        </w:tc>
      </w:tr>
    </w:tbl>
    <w:p/>
    <w:p/>
    <w:p>
      <w:r>
        <w:rPr>
          <w:rFonts w:ascii="Times New Roman" w:hAnsi="Times New Roman"/>
          <w:b/>
          <w:sz w:val="24"/>
        </w:rPr>
        <w:t>4.5.2 Pembahasan Jumlah Anakan Padi</w:t>
      </w:r>
    </w:p>
    <w:p>
      <w:pPr>
        <w:spacing w:line="360" w:lineRule="auto"/>
        <w:ind w:firstLine="720"/>
      </w:pPr>
      <w:r>
        <w:rPr>
          <w:rFonts w:ascii="Times New Roman" w:hAnsi="Times New Roman"/>
          <w:b w:val="0"/>
          <w:i w:val="0"/>
          <w:sz w:val="24"/>
        </w:rPr>
        <w:t>Hasil pengamatan jumlah anakan produktif menunjukkan pola yang menarik, di mana perlakuan ketinggian air -0,01 cm (kondisi macak-macak/aerob moderat) menghasilkan jumlah anakan tertinggi (16,8–18,3 batang/rumpun), disusul oleh perlakuan 5 cm (14,2–15,6 batang/rumpun), dan terendah pada perlakuan -0,05 cm (13,5–14,8 batang/rumpun). Pola ini menunjukkan bahwa kondisi aerob moderat (tidak tergenang tetapi masih lembab) merupakan kondisi paling optimal untuk pembentukan anakan padi.</w:t>
      </w:r>
    </w:p>
    <w:p>
      <w:pPr>
        <w:spacing w:line="360" w:lineRule="auto"/>
        <w:ind w:firstLine="720"/>
      </w:pPr>
      <w:r>
        <w:rPr>
          <w:rFonts w:ascii="Times New Roman" w:hAnsi="Times New Roman"/>
          <w:b w:val="0"/>
          <w:i w:val="0"/>
          <w:sz w:val="24"/>
        </w:rPr>
        <w:t>Fenomena ini dapat dijelaskan melalui mekanisme fisiologis pembentukan anakan. Pembentukan anakan padi sangat dipengaruhi oleh ketersediaan oksigen di zona perakaran dan efisiensi serapan unsur hara. Pada kondisi tergenang penuh (5 cm), ketersediaan oksigen terbatas sehingga respirasi akar terganggu dan penyerapan nutrisi menjadi kurang optimal. Pada kondisi terlalu kering (-0,05 cm), tanaman mengalami cekaman air ringan yang menghambat pembentukan anakan baru. Kondisi macak-macak (-0,01 cm) memberikan keseimbangan optimal antara ketersediaan air dan aerasi tanah.</w:t>
      </w:r>
    </w:p>
    <w:p>
      <w:pPr>
        <w:spacing w:line="360" w:lineRule="auto"/>
        <w:ind w:firstLine="720"/>
      </w:pPr>
      <w:r>
        <w:rPr>
          <w:rFonts w:ascii="Times New Roman" w:hAnsi="Times New Roman"/>
          <w:b w:val="0"/>
          <w:i w:val="0"/>
          <w:sz w:val="24"/>
        </w:rPr>
        <w:t>Temuan ini sejalan dengan prinsip dasar IPAT-BO yang dikemukakan oleh Bouman et al. (2007), bahwa pengaturan air secara aerob terkendali memungkinkan akar padi memperoleh oksigen lebih baik sehingga meningkatkan efisiensi penyerapan nutrisi dan mendorong pembentukan anakan produktif. Lebih lanjut, penelitian Lampayan et al. (2015) yang dipublikasikan dalam Field Crops Research menunjukkan bahwa sistem safe alternate wetting and drying dengan pengaturan air pada level -15 cm di bawah permukaan tanah mampu meningkatkan jumlah anakan produktif sebesar 8–12% dibandingkan sistem genangan penuh.</w:t>
      </w:r>
    </w:p>
    <w:p>
      <w:pPr>
        <w:spacing w:line="360" w:lineRule="auto"/>
        <w:ind w:firstLine="720"/>
      </w:pPr>
      <w:r>
        <w:rPr>
          <w:rFonts w:ascii="Times New Roman" w:hAnsi="Times New Roman"/>
          <w:b w:val="0"/>
          <w:i w:val="0"/>
          <w:sz w:val="24"/>
        </w:rPr>
        <w:t>Dari aspek varietas, Ciherang dan Inpari 32 menunjukkan jumlah anakan yang lebih tinggi dibandingkan Mekongga pada perlakuan -0,01 cm. Hal ini berkaitan dengan karakteristik genetik masing-masing varietas. Ciherang dikenal sebagai varietas dengan kemampuan beranak banyak (20–25 anakan) pada kondisi optimal, sedangkan Mekongga memiliki jumlah anakan moderat (15–20 anakan) sesuai deskripsi varietas (Suprihatno et al., 2012). Peran pupuk organik kotoran kambing dalam pembentukan anakan juga tidak dapat diabaikan karena menyediakan nitrogen secara bertahap serta meningkatkan aktivitas mikroba tanah (Yuwono, 2016).</w:t>
      </w:r>
    </w:p>
    <w:p/>
    <w:p>
      <w:r>
        <w:rPr>
          <w:rFonts w:ascii="Times New Roman" w:hAnsi="Times New Roman"/>
          <w:b/>
          <w:sz w:val="24"/>
        </w:rPr>
        <w:t>4.6 Produktivitas Padi</w:t>
      </w:r>
    </w:p>
    <w:p>
      <w:r>
        <w:rPr>
          <w:rFonts w:ascii="Times New Roman" w:hAnsi="Times New Roman"/>
          <w:b/>
          <w:sz w:val="24"/>
        </w:rPr>
        <w:t>4.6.1 Hasil Pengamatan Produktivitas</w:t>
      </w:r>
    </w:p>
    <w:p>
      <w:pPr>
        <w:spacing w:line="360" w:lineRule="auto"/>
        <w:ind w:firstLine="720"/>
      </w:pPr>
      <w:r>
        <w:rPr>
          <w:rFonts w:ascii="Times New Roman" w:hAnsi="Times New Roman"/>
          <w:b w:val="0"/>
          <w:i w:val="0"/>
          <w:sz w:val="24"/>
        </w:rPr>
        <w:t>Berdasarkan data hasil ANOVA, produktivitas padi (gram/ember) pada 27 unit percobaan menunjukkan rata-rata keseluruhan sebesar 439,52 g dengan simpangan baku 65,996 g. Hasil pengamatan produktivitas pada masing-masing perlakuan disajikan pada Tabel 4.5 berikut:</w:t>
      </w:r>
    </w:p>
    <w:p>
      <w:pPr>
        <w:jc w:val="center"/>
      </w:pPr>
      <w:r>
        <w:rPr>
          <w:rFonts w:ascii="Times New Roman" w:hAnsi="Times New Roman"/>
          <w:b/>
          <w:sz w:val="20"/>
        </w:rPr>
        <w:t>Tabel 4.5 Rata-rata Produktivitas Padi (g/ember) pada Berbagai Perlakuan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Varietas + PO</w:t>
            </w:r>
          </w:p>
        </w:tc>
        <w:tc>
          <w:tcPr>
            <w:tcW w:type="dxa" w:w="2068"/>
          </w:tcPr>
          <w:p>
            <w:pPr>
              <w:jc w:val="center"/>
            </w:pPr>
            <w:r>
              <w:rPr>
                <w:rFonts w:ascii="Times New Roman" w:hAnsi="Times New Roman"/>
                <w:b/>
                <w:sz w:val="20"/>
              </w:rPr>
              <w:t>5 cm (g)</w:t>
            </w:r>
          </w:p>
        </w:tc>
        <w:tc>
          <w:tcPr>
            <w:tcW w:type="dxa" w:w="2068"/>
          </w:tcPr>
          <w:p>
            <w:pPr>
              <w:jc w:val="center"/>
            </w:pPr>
            <w:r>
              <w:rPr>
                <w:rFonts w:ascii="Times New Roman" w:hAnsi="Times New Roman"/>
                <w:b/>
                <w:sz w:val="20"/>
              </w:rPr>
              <w:t>-0,01 cm (g)</w:t>
            </w:r>
          </w:p>
        </w:tc>
        <w:tc>
          <w:tcPr>
            <w:tcW w:type="dxa" w:w="2068"/>
          </w:tcPr>
          <w:p>
            <w:pPr>
              <w:jc w:val="center"/>
            </w:pPr>
            <w:r>
              <w:rPr>
                <w:rFonts w:ascii="Times New Roman" w:hAnsi="Times New Roman"/>
                <w:b/>
                <w:sz w:val="20"/>
              </w:rPr>
              <w:t>-0,05 cm (g)</w:t>
            </w:r>
          </w:p>
        </w:tc>
      </w:tr>
      <w:tr>
        <w:tc>
          <w:tcPr>
            <w:tcW w:type="dxa" w:w="2068"/>
          </w:tcPr>
          <w:p>
            <w:pPr>
              <w:jc w:val="center"/>
            </w:pPr>
            <w:r>
              <w:rPr>
                <w:rFonts w:ascii="Times New Roman" w:hAnsi="Times New Roman"/>
                <w:sz w:val="20"/>
              </w:rPr>
              <w:t>Mekongga + PO</w:t>
            </w:r>
          </w:p>
        </w:tc>
        <w:tc>
          <w:tcPr>
            <w:tcW w:type="dxa" w:w="2068"/>
          </w:tcPr>
          <w:p>
            <w:pPr>
              <w:jc w:val="center"/>
            </w:pPr>
            <w:r>
              <w:rPr>
                <w:rFonts w:ascii="Times New Roman" w:hAnsi="Times New Roman"/>
                <w:sz w:val="20"/>
              </w:rPr>
              <w:t>356,0</w:t>
            </w:r>
          </w:p>
        </w:tc>
        <w:tc>
          <w:tcPr>
            <w:tcW w:type="dxa" w:w="2068"/>
          </w:tcPr>
          <w:p>
            <w:pPr>
              <w:jc w:val="center"/>
            </w:pPr>
            <w:r>
              <w:rPr>
                <w:rFonts w:ascii="Times New Roman" w:hAnsi="Times New Roman"/>
                <w:sz w:val="20"/>
              </w:rPr>
              <w:t>469,0</w:t>
            </w:r>
          </w:p>
        </w:tc>
        <w:tc>
          <w:tcPr>
            <w:tcW w:type="dxa" w:w="2068"/>
          </w:tcPr>
          <w:p>
            <w:pPr>
              <w:jc w:val="center"/>
            </w:pPr>
            <w:r>
              <w:rPr>
                <w:rFonts w:ascii="Times New Roman" w:hAnsi="Times New Roman"/>
                <w:sz w:val="20"/>
              </w:rPr>
              <w:t>421,0</w:t>
            </w:r>
          </w:p>
        </w:tc>
      </w:tr>
      <w:tr>
        <w:tc>
          <w:tcPr>
            <w:tcW w:type="dxa" w:w="2068"/>
          </w:tcPr>
          <w:p>
            <w:pPr>
              <w:jc w:val="center"/>
            </w:pPr>
            <w:r>
              <w:rPr>
                <w:rFonts w:ascii="Times New Roman" w:hAnsi="Times New Roman"/>
                <w:sz w:val="20"/>
              </w:rPr>
              <w:t>Ciherang + PO</w:t>
            </w:r>
          </w:p>
        </w:tc>
        <w:tc>
          <w:tcPr>
            <w:tcW w:type="dxa" w:w="2068"/>
          </w:tcPr>
          <w:p>
            <w:pPr>
              <w:jc w:val="center"/>
            </w:pPr>
            <w:r>
              <w:rPr>
                <w:rFonts w:ascii="Times New Roman" w:hAnsi="Times New Roman"/>
                <w:sz w:val="20"/>
              </w:rPr>
              <w:t>374,0</w:t>
            </w:r>
          </w:p>
        </w:tc>
        <w:tc>
          <w:tcPr>
            <w:tcW w:type="dxa" w:w="2068"/>
          </w:tcPr>
          <w:p>
            <w:pPr>
              <w:jc w:val="center"/>
            </w:pPr>
            <w:r>
              <w:rPr>
                <w:rFonts w:ascii="Times New Roman" w:hAnsi="Times New Roman"/>
                <w:sz w:val="20"/>
              </w:rPr>
              <w:t>503,0</w:t>
            </w:r>
          </w:p>
        </w:tc>
        <w:tc>
          <w:tcPr>
            <w:tcW w:type="dxa" w:w="2068"/>
          </w:tcPr>
          <w:p>
            <w:pPr>
              <w:jc w:val="center"/>
            </w:pPr>
            <w:r>
              <w:rPr>
                <w:rFonts w:ascii="Times New Roman" w:hAnsi="Times New Roman"/>
                <w:sz w:val="20"/>
              </w:rPr>
              <w:t>453,0</w:t>
            </w:r>
          </w:p>
        </w:tc>
      </w:tr>
      <w:tr>
        <w:tc>
          <w:tcPr>
            <w:tcW w:type="dxa" w:w="2068"/>
          </w:tcPr>
          <w:p>
            <w:pPr>
              <w:jc w:val="center"/>
            </w:pPr>
            <w:r>
              <w:rPr>
                <w:rFonts w:ascii="Times New Roman" w:hAnsi="Times New Roman"/>
                <w:sz w:val="20"/>
              </w:rPr>
              <w:t>Inpari 32 + PO</w:t>
            </w:r>
          </w:p>
        </w:tc>
        <w:tc>
          <w:tcPr>
            <w:tcW w:type="dxa" w:w="2068"/>
          </w:tcPr>
          <w:p>
            <w:pPr>
              <w:jc w:val="center"/>
            </w:pPr>
            <w:r>
              <w:rPr>
                <w:rFonts w:ascii="Times New Roman" w:hAnsi="Times New Roman"/>
                <w:sz w:val="20"/>
              </w:rPr>
              <w:t>360,0</w:t>
            </w:r>
          </w:p>
        </w:tc>
        <w:tc>
          <w:tcPr>
            <w:tcW w:type="dxa" w:w="2068"/>
          </w:tcPr>
          <w:p>
            <w:pPr>
              <w:jc w:val="center"/>
            </w:pPr>
            <w:r>
              <w:rPr>
                <w:rFonts w:ascii="Times New Roman" w:hAnsi="Times New Roman"/>
                <w:sz w:val="20"/>
              </w:rPr>
              <w:t>480,0</w:t>
            </w:r>
          </w:p>
        </w:tc>
        <w:tc>
          <w:tcPr>
            <w:tcW w:type="dxa" w:w="2068"/>
          </w:tcPr>
          <w:p>
            <w:pPr>
              <w:jc w:val="center"/>
            </w:pPr>
            <w:r>
              <w:rPr>
                <w:rFonts w:ascii="Times New Roman" w:hAnsi="Times New Roman"/>
                <w:sz w:val="20"/>
              </w:rPr>
              <w:t>434,0</w:t>
            </w:r>
          </w:p>
        </w:tc>
      </w:tr>
      <w:tr>
        <w:tc>
          <w:tcPr>
            <w:tcW w:type="dxa" w:w="2068"/>
          </w:tcPr>
          <w:p>
            <w:pPr>
              <w:jc w:val="center"/>
            </w:pPr>
            <w:r>
              <w:rPr>
                <w:rFonts w:ascii="Times New Roman" w:hAnsi="Times New Roman"/>
                <w:sz w:val="20"/>
              </w:rPr>
              <w:t>Rata-rata</w:t>
            </w:r>
          </w:p>
        </w:tc>
        <w:tc>
          <w:tcPr>
            <w:tcW w:type="dxa" w:w="2068"/>
          </w:tcPr>
          <w:p>
            <w:pPr>
              <w:jc w:val="center"/>
            </w:pPr>
            <w:r>
              <w:rPr>
                <w:rFonts w:ascii="Times New Roman" w:hAnsi="Times New Roman"/>
                <w:sz w:val="20"/>
              </w:rPr>
              <w:t>363,3</w:t>
            </w:r>
          </w:p>
        </w:tc>
        <w:tc>
          <w:tcPr>
            <w:tcW w:type="dxa" w:w="2068"/>
          </w:tcPr>
          <w:p>
            <w:pPr>
              <w:jc w:val="center"/>
            </w:pPr>
            <w:r>
              <w:rPr>
                <w:rFonts w:ascii="Times New Roman" w:hAnsi="Times New Roman"/>
                <w:sz w:val="20"/>
              </w:rPr>
              <w:t>484,0</w:t>
            </w:r>
          </w:p>
        </w:tc>
        <w:tc>
          <w:tcPr>
            <w:tcW w:type="dxa" w:w="2068"/>
          </w:tcPr>
          <w:p>
            <w:pPr>
              <w:jc w:val="center"/>
            </w:pPr>
            <w:r>
              <w:rPr>
                <w:rFonts w:ascii="Times New Roman" w:hAnsi="Times New Roman"/>
                <w:sz w:val="20"/>
              </w:rPr>
              <w:t>436,0</w:t>
            </w:r>
          </w:p>
        </w:tc>
      </w:tr>
    </w:tbl>
    <w:p/>
    <w:p>
      <w:pPr>
        <w:ind w:firstLine="0"/>
      </w:pPr>
      <w:r>
        <w:rPr>
          <w:rFonts w:ascii="Times New Roman" w:hAnsi="Times New Roman"/>
          <w:i/>
          <w:sz w:val="20"/>
        </w:rPr>
        <w:t>Data Deskriptif: N = 27 | Mean = 439,52 g | Std. Dev = 65,996 g</w:t>
      </w:r>
    </w:p>
    <w:p/>
    <w:p>
      <w:r>
        <w:rPr>
          <w:rFonts w:ascii="Times New Roman" w:hAnsi="Times New Roman"/>
          <w:b/>
          <w:sz w:val="24"/>
        </w:rPr>
        <w:t>4.6.2 Hasil Analisis Statistik (ANOVA)</w:t>
      </w:r>
    </w:p>
    <w:p>
      <w:pPr>
        <w:spacing w:line="360" w:lineRule="auto"/>
        <w:ind w:firstLine="720"/>
      </w:pPr>
      <w:r>
        <w:rPr>
          <w:rFonts w:ascii="Times New Roman" w:hAnsi="Times New Roman"/>
          <w:b w:val="0"/>
          <w:i w:val="0"/>
          <w:sz w:val="24"/>
        </w:rPr>
        <w:t>Hasil analisis statistik menggunakan analisis regresi linear dan ANOVA disajikan pada tabel-tabel berikut:</w:t>
      </w:r>
    </w:p>
    <w:p>
      <w:pPr>
        <w:jc w:val="center"/>
      </w:pPr>
      <w:r>
        <w:rPr>
          <w:rFonts w:ascii="Times New Roman" w:hAnsi="Times New Roman"/>
          <w:b/>
          <w:sz w:val="20"/>
        </w:rPr>
        <w:t>Tabel 4.6 Ringkasan Model Regresi</w:t>
      </w:r>
    </w:p>
    <w:tbl>
      <w:tblPr>
        <w:tblStyle w:val="TableGrid"/>
        <w:tblW w:type="auto" w:w="0"/>
        <w:jc w:val="center"/>
        <w:tblLook w:firstColumn="1" w:firstRow="1" w:lastColumn="0" w:lastRow="0" w:noHBand="0" w:noVBand="1" w:val="04A0"/>
      </w:tblPr>
      <w:tblGrid>
        <w:gridCol w:w="4135"/>
        <w:gridCol w:w="4135"/>
      </w:tblGrid>
      <w:tr>
        <w:tc>
          <w:tcPr>
            <w:tcW w:type="dxa" w:w="4135"/>
          </w:tcPr>
          <w:p>
            <w:pPr>
              <w:jc w:val="center"/>
            </w:pPr>
            <w:r>
              <w:rPr>
                <w:rFonts w:ascii="Times New Roman" w:hAnsi="Times New Roman"/>
                <w:b/>
                <w:sz w:val="20"/>
              </w:rPr>
              <w:t>Parameter</w:t>
            </w:r>
          </w:p>
        </w:tc>
        <w:tc>
          <w:tcPr>
            <w:tcW w:type="dxa" w:w="4135"/>
          </w:tcPr>
          <w:p>
            <w:pPr>
              <w:jc w:val="center"/>
            </w:pPr>
            <w:r>
              <w:rPr>
                <w:rFonts w:ascii="Times New Roman" w:hAnsi="Times New Roman"/>
                <w:b/>
                <w:sz w:val="20"/>
              </w:rPr>
              <w:t>Nilai</w:t>
            </w:r>
          </w:p>
        </w:tc>
      </w:tr>
      <w:tr>
        <w:tc>
          <w:tcPr>
            <w:tcW w:type="dxa" w:w="4135"/>
          </w:tcPr>
          <w:p>
            <w:pPr>
              <w:jc w:val="center"/>
            </w:pPr>
            <w:r>
              <w:rPr>
                <w:rFonts w:ascii="Times New Roman" w:hAnsi="Times New Roman"/>
                <w:sz w:val="20"/>
              </w:rPr>
              <w:t>R</w:t>
            </w:r>
          </w:p>
        </w:tc>
        <w:tc>
          <w:tcPr>
            <w:tcW w:type="dxa" w:w="4135"/>
          </w:tcPr>
          <w:p>
            <w:pPr>
              <w:jc w:val="center"/>
            </w:pPr>
            <w:r>
              <w:rPr>
                <w:rFonts w:ascii="Times New Roman" w:hAnsi="Times New Roman"/>
                <w:sz w:val="20"/>
              </w:rPr>
              <w:t>0,388</w:t>
            </w:r>
          </w:p>
        </w:tc>
      </w:tr>
      <w:tr>
        <w:tc>
          <w:tcPr>
            <w:tcW w:type="dxa" w:w="4135"/>
          </w:tcPr>
          <w:p>
            <w:pPr>
              <w:jc w:val="center"/>
            </w:pPr>
            <w:r>
              <w:rPr>
                <w:rFonts w:ascii="Times New Roman" w:hAnsi="Times New Roman"/>
                <w:sz w:val="20"/>
              </w:rPr>
              <w:t>R Square</w:t>
            </w:r>
          </w:p>
        </w:tc>
        <w:tc>
          <w:tcPr>
            <w:tcW w:type="dxa" w:w="4135"/>
          </w:tcPr>
          <w:p>
            <w:pPr>
              <w:jc w:val="center"/>
            </w:pPr>
            <w:r>
              <w:rPr>
                <w:rFonts w:ascii="Times New Roman" w:hAnsi="Times New Roman"/>
                <w:sz w:val="20"/>
              </w:rPr>
              <w:t>0,151</w:t>
            </w:r>
          </w:p>
        </w:tc>
      </w:tr>
      <w:tr>
        <w:tc>
          <w:tcPr>
            <w:tcW w:type="dxa" w:w="4135"/>
          </w:tcPr>
          <w:p>
            <w:pPr>
              <w:jc w:val="center"/>
            </w:pPr>
            <w:r>
              <w:rPr>
                <w:rFonts w:ascii="Times New Roman" w:hAnsi="Times New Roman"/>
                <w:sz w:val="20"/>
              </w:rPr>
              <w:t>Adjusted R Square</w:t>
            </w:r>
          </w:p>
        </w:tc>
        <w:tc>
          <w:tcPr>
            <w:tcW w:type="dxa" w:w="4135"/>
          </w:tcPr>
          <w:p>
            <w:pPr>
              <w:jc w:val="center"/>
            </w:pPr>
            <w:r>
              <w:rPr>
                <w:rFonts w:ascii="Times New Roman" w:hAnsi="Times New Roman"/>
                <w:sz w:val="20"/>
              </w:rPr>
              <w:t>0,117</w:t>
            </w:r>
          </w:p>
        </w:tc>
      </w:tr>
      <w:tr>
        <w:tc>
          <w:tcPr>
            <w:tcW w:type="dxa" w:w="4135"/>
          </w:tcPr>
          <w:p>
            <w:pPr>
              <w:jc w:val="center"/>
            </w:pPr>
            <w:r>
              <w:rPr>
                <w:rFonts w:ascii="Times New Roman" w:hAnsi="Times New Roman"/>
                <w:sz w:val="20"/>
              </w:rPr>
              <w:t>Std. Error of Estimate</w:t>
            </w:r>
          </w:p>
        </w:tc>
        <w:tc>
          <w:tcPr>
            <w:tcW w:type="dxa" w:w="4135"/>
          </w:tcPr>
          <w:p>
            <w:pPr>
              <w:jc w:val="center"/>
            </w:pPr>
            <w:r>
              <w:rPr>
                <w:rFonts w:ascii="Times New Roman" w:hAnsi="Times New Roman"/>
                <w:sz w:val="20"/>
              </w:rPr>
              <w:t>0,782</w:t>
            </w:r>
          </w:p>
        </w:tc>
      </w:tr>
      <w:tr>
        <w:tc>
          <w:tcPr>
            <w:tcW w:type="dxa" w:w="4135"/>
          </w:tcPr>
          <w:p>
            <w:pPr>
              <w:jc w:val="center"/>
            </w:pPr>
            <w:r>
              <w:rPr>
                <w:rFonts w:ascii="Times New Roman" w:hAnsi="Times New Roman"/>
                <w:sz w:val="20"/>
              </w:rPr>
              <w:t>F Change</w:t>
            </w:r>
          </w:p>
        </w:tc>
        <w:tc>
          <w:tcPr>
            <w:tcW w:type="dxa" w:w="4135"/>
          </w:tcPr>
          <w:p>
            <w:pPr>
              <w:jc w:val="center"/>
            </w:pPr>
            <w:r>
              <w:rPr>
                <w:rFonts w:ascii="Times New Roman" w:hAnsi="Times New Roman"/>
                <w:sz w:val="20"/>
              </w:rPr>
              <w:t>4,431</w:t>
            </w:r>
          </w:p>
        </w:tc>
      </w:tr>
      <w:tr>
        <w:tc>
          <w:tcPr>
            <w:tcW w:type="dxa" w:w="4135"/>
          </w:tcPr>
          <w:p>
            <w:pPr>
              <w:jc w:val="center"/>
            </w:pPr>
            <w:r>
              <w:rPr>
                <w:rFonts w:ascii="Times New Roman" w:hAnsi="Times New Roman"/>
                <w:sz w:val="20"/>
              </w:rPr>
              <w:t>Sig. F Change</w:t>
            </w:r>
          </w:p>
        </w:tc>
        <w:tc>
          <w:tcPr>
            <w:tcW w:type="dxa" w:w="4135"/>
          </w:tcPr>
          <w:p>
            <w:pPr>
              <w:jc w:val="center"/>
            </w:pPr>
            <w:r>
              <w:rPr>
                <w:rFonts w:ascii="Times New Roman" w:hAnsi="Times New Roman"/>
                <w:sz w:val="20"/>
              </w:rPr>
              <w:t>0,045</w:t>
            </w:r>
          </w:p>
        </w:tc>
      </w:tr>
    </w:tbl>
    <w:p/>
    <w:p>
      <w:pPr>
        <w:jc w:val="center"/>
      </w:pPr>
      <w:r>
        <w:rPr>
          <w:rFonts w:ascii="Times New Roman" w:hAnsi="Times New Roman"/>
          <w:b/>
          <w:sz w:val="20"/>
        </w:rPr>
        <w:t>Tabel 4.7 Hasil ANOVA</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t>Model</w:t>
            </w:r>
          </w:p>
        </w:tc>
        <w:tc>
          <w:tcPr>
            <w:tcW w:type="dxa" w:w="1378"/>
          </w:tcPr>
          <w:p>
            <w:pPr>
              <w:jc w:val="center"/>
            </w:pPr>
            <w:r>
              <w:rPr>
                <w:rFonts w:ascii="Times New Roman" w:hAnsi="Times New Roman"/>
                <w:b/>
                <w:sz w:val="20"/>
              </w:rPr>
              <w:t>Sum of Squares</w:t>
            </w:r>
          </w:p>
        </w:tc>
        <w:tc>
          <w:tcPr>
            <w:tcW w:type="dxa" w:w="1378"/>
          </w:tcPr>
          <w:p>
            <w:pPr>
              <w:jc w:val="center"/>
            </w:pPr>
            <w:r>
              <w:rPr>
                <w:rFonts w:ascii="Times New Roman" w:hAnsi="Times New Roman"/>
                <w:b/>
                <w:sz w:val="20"/>
              </w:rPr>
              <w:t>df</w:t>
            </w:r>
          </w:p>
        </w:tc>
        <w:tc>
          <w:tcPr>
            <w:tcW w:type="dxa" w:w="1378"/>
          </w:tcPr>
          <w:p>
            <w:pPr>
              <w:jc w:val="center"/>
            </w:pPr>
            <w:r>
              <w:rPr>
                <w:rFonts w:ascii="Times New Roman" w:hAnsi="Times New Roman"/>
                <w:b/>
                <w:sz w:val="20"/>
              </w:rPr>
              <w:t>Mean Square</w:t>
            </w:r>
          </w:p>
        </w:tc>
        <w:tc>
          <w:tcPr>
            <w:tcW w:type="dxa" w:w="1378"/>
          </w:tcPr>
          <w:p>
            <w:pPr>
              <w:jc w:val="center"/>
            </w:pPr>
            <w:r>
              <w:rPr>
                <w:rFonts w:ascii="Times New Roman" w:hAnsi="Times New Roman"/>
                <w:b/>
                <w:sz w:val="20"/>
              </w:rPr>
              <w:t>F</w:t>
            </w:r>
          </w:p>
        </w:tc>
        <w:tc>
          <w:tcPr>
            <w:tcW w:type="dxa" w:w="1378"/>
          </w:tcPr>
          <w:p>
            <w:pPr>
              <w:jc w:val="center"/>
            </w:pPr>
            <w:r>
              <w:rPr>
                <w:rFonts w:ascii="Times New Roman" w:hAnsi="Times New Roman"/>
                <w:b/>
                <w:sz w:val="20"/>
              </w:rPr>
              <w:t>Sig.</w:t>
            </w:r>
          </w:p>
        </w:tc>
      </w:tr>
      <w:tr>
        <w:tc>
          <w:tcPr>
            <w:tcW w:type="dxa" w:w="1378"/>
          </w:tcPr>
          <w:p>
            <w:pPr>
              <w:jc w:val="center"/>
            </w:pPr>
            <w:r>
              <w:rPr>
                <w:rFonts w:ascii="Times New Roman" w:hAnsi="Times New Roman"/>
                <w:sz w:val="20"/>
              </w:rPr>
              <w:t>Regression</w:t>
            </w:r>
          </w:p>
        </w:tc>
        <w:tc>
          <w:tcPr>
            <w:tcW w:type="dxa" w:w="1378"/>
          </w:tcPr>
          <w:p>
            <w:pPr>
              <w:jc w:val="center"/>
            </w:pPr>
            <w:r>
              <w:rPr>
                <w:rFonts w:ascii="Times New Roman" w:hAnsi="Times New Roman"/>
                <w:sz w:val="20"/>
              </w:rPr>
              <w:t>2,710</w:t>
            </w:r>
          </w:p>
        </w:tc>
        <w:tc>
          <w:tcPr>
            <w:tcW w:type="dxa" w:w="1378"/>
          </w:tcPr>
          <w:p>
            <w:pPr>
              <w:jc w:val="center"/>
            </w:pPr>
            <w:r>
              <w:rPr>
                <w:rFonts w:ascii="Times New Roman" w:hAnsi="Times New Roman"/>
                <w:sz w:val="20"/>
              </w:rPr>
              <w:t>1</w:t>
            </w:r>
          </w:p>
        </w:tc>
        <w:tc>
          <w:tcPr>
            <w:tcW w:type="dxa" w:w="1378"/>
          </w:tcPr>
          <w:p>
            <w:pPr>
              <w:jc w:val="center"/>
            </w:pPr>
            <w:r>
              <w:rPr>
                <w:rFonts w:ascii="Times New Roman" w:hAnsi="Times New Roman"/>
                <w:sz w:val="20"/>
              </w:rPr>
              <w:t>2,710</w:t>
            </w:r>
          </w:p>
        </w:tc>
        <w:tc>
          <w:tcPr>
            <w:tcW w:type="dxa" w:w="1378"/>
          </w:tcPr>
          <w:p>
            <w:pPr>
              <w:jc w:val="center"/>
            </w:pPr>
            <w:r>
              <w:rPr>
                <w:rFonts w:ascii="Times New Roman" w:hAnsi="Times New Roman"/>
                <w:sz w:val="20"/>
              </w:rPr>
              <w:t>4,431</w:t>
            </w:r>
          </w:p>
        </w:tc>
        <w:tc>
          <w:tcPr>
            <w:tcW w:type="dxa" w:w="1378"/>
          </w:tcPr>
          <w:p>
            <w:pPr>
              <w:jc w:val="center"/>
            </w:pPr>
            <w:r>
              <w:rPr>
                <w:rFonts w:ascii="Times New Roman" w:hAnsi="Times New Roman"/>
                <w:sz w:val="20"/>
              </w:rPr>
              <w:t>0,045</w:t>
            </w:r>
          </w:p>
        </w:tc>
      </w:tr>
      <w:tr>
        <w:tc>
          <w:tcPr>
            <w:tcW w:type="dxa" w:w="1378"/>
          </w:tcPr>
          <w:p>
            <w:pPr>
              <w:jc w:val="center"/>
            </w:pPr>
            <w:r>
              <w:rPr>
                <w:rFonts w:ascii="Times New Roman" w:hAnsi="Times New Roman"/>
                <w:sz w:val="20"/>
              </w:rPr>
              <w:t>Residual</w:t>
            </w:r>
          </w:p>
        </w:tc>
        <w:tc>
          <w:tcPr>
            <w:tcW w:type="dxa" w:w="1378"/>
          </w:tcPr>
          <w:p>
            <w:pPr>
              <w:jc w:val="center"/>
            </w:pPr>
            <w:r>
              <w:rPr>
                <w:rFonts w:ascii="Times New Roman" w:hAnsi="Times New Roman"/>
                <w:sz w:val="20"/>
              </w:rPr>
              <w:t>15,290</w:t>
            </w:r>
          </w:p>
        </w:tc>
        <w:tc>
          <w:tcPr>
            <w:tcW w:type="dxa" w:w="1378"/>
          </w:tcPr>
          <w:p>
            <w:pPr>
              <w:jc w:val="center"/>
            </w:pPr>
            <w:r>
              <w:rPr>
                <w:rFonts w:ascii="Times New Roman" w:hAnsi="Times New Roman"/>
                <w:sz w:val="20"/>
              </w:rPr>
              <w:t>25</w:t>
            </w:r>
          </w:p>
        </w:tc>
        <w:tc>
          <w:tcPr>
            <w:tcW w:type="dxa" w:w="1378"/>
          </w:tcPr>
          <w:p>
            <w:pPr>
              <w:jc w:val="center"/>
            </w:pPr>
            <w:r>
              <w:rPr>
                <w:rFonts w:ascii="Times New Roman" w:hAnsi="Times New Roman"/>
                <w:sz w:val="20"/>
              </w:rPr>
              <w:t>0,612</w:t>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r>
      <w:tr>
        <w:tc>
          <w:tcPr>
            <w:tcW w:type="dxa" w:w="1378"/>
          </w:tcPr>
          <w:p>
            <w:pPr>
              <w:jc w:val="center"/>
            </w:pPr>
            <w:r>
              <w:rPr>
                <w:rFonts w:ascii="Times New Roman" w:hAnsi="Times New Roman"/>
                <w:sz w:val="20"/>
              </w:rPr>
              <w:t>Total</w:t>
            </w:r>
          </w:p>
        </w:tc>
        <w:tc>
          <w:tcPr>
            <w:tcW w:type="dxa" w:w="1378"/>
          </w:tcPr>
          <w:p>
            <w:pPr>
              <w:jc w:val="center"/>
            </w:pPr>
            <w:r>
              <w:rPr>
                <w:rFonts w:ascii="Times New Roman" w:hAnsi="Times New Roman"/>
                <w:sz w:val="20"/>
              </w:rPr>
              <w:t>18,000</w:t>
            </w:r>
          </w:p>
        </w:tc>
        <w:tc>
          <w:tcPr>
            <w:tcW w:type="dxa" w:w="1378"/>
          </w:tcPr>
          <w:p>
            <w:pPr>
              <w:jc w:val="center"/>
            </w:pPr>
            <w:r>
              <w:rPr>
                <w:rFonts w:ascii="Times New Roman" w:hAnsi="Times New Roman"/>
                <w:sz w:val="20"/>
              </w:rPr>
              <w:t>26</w:t>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r>
    </w:tbl>
    <w:p/>
    <w:p>
      <w:pPr>
        <w:jc w:val="center"/>
      </w:pPr>
      <w:r>
        <w:rPr>
          <w:rFonts w:ascii="Times New Roman" w:hAnsi="Times New Roman"/>
          <w:b/>
          <w:sz w:val="20"/>
        </w:rPr>
        <w:t>Tabel 4.8 Koefisien Regresi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t>Model</w:t>
            </w:r>
          </w:p>
        </w:tc>
        <w:tc>
          <w:tcPr>
            <w:tcW w:type="dxa" w:w="1378"/>
          </w:tcPr>
          <w:p>
            <w:pPr>
              <w:jc w:val="center"/>
            </w:pPr>
            <w:r>
              <w:rPr>
                <w:rFonts w:ascii="Times New Roman" w:hAnsi="Times New Roman"/>
                <w:b/>
                <w:sz w:val="20"/>
              </w:rPr>
              <w:t>B</w:t>
            </w:r>
          </w:p>
        </w:tc>
        <w:tc>
          <w:tcPr>
            <w:tcW w:type="dxa" w:w="1378"/>
          </w:tcPr>
          <w:p>
            <w:pPr>
              <w:jc w:val="center"/>
            </w:pPr>
            <w:r>
              <w:rPr>
                <w:rFonts w:ascii="Times New Roman" w:hAnsi="Times New Roman"/>
                <w:b/>
                <w:sz w:val="20"/>
              </w:rPr>
              <w:t>Std. Error</w:t>
            </w:r>
          </w:p>
        </w:tc>
        <w:tc>
          <w:tcPr>
            <w:tcW w:type="dxa" w:w="1378"/>
          </w:tcPr>
          <w:p>
            <w:pPr>
              <w:jc w:val="center"/>
            </w:pPr>
            <w:r>
              <w:rPr>
                <w:rFonts w:ascii="Times New Roman" w:hAnsi="Times New Roman"/>
                <w:b/>
                <w:sz w:val="20"/>
              </w:rPr>
              <w:t>Beta</w:t>
            </w:r>
          </w:p>
        </w:tc>
        <w:tc>
          <w:tcPr>
            <w:tcW w:type="dxa" w:w="1378"/>
          </w:tcPr>
          <w:p>
            <w:pPr>
              <w:jc w:val="center"/>
            </w:pPr>
            <w:r>
              <w:rPr>
                <w:rFonts w:ascii="Times New Roman" w:hAnsi="Times New Roman"/>
                <w:b/>
                <w:sz w:val="20"/>
              </w:rPr>
              <w:t>t</w:t>
            </w:r>
          </w:p>
        </w:tc>
        <w:tc>
          <w:tcPr>
            <w:tcW w:type="dxa" w:w="1378"/>
          </w:tcPr>
          <w:p>
            <w:pPr>
              <w:jc w:val="center"/>
            </w:pPr>
            <w:r>
              <w:rPr>
                <w:rFonts w:ascii="Times New Roman" w:hAnsi="Times New Roman"/>
                <w:b/>
                <w:sz w:val="20"/>
              </w:rPr>
              <w:t>Sig.</w:t>
            </w:r>
          </w:p>
        </w:tc>
      </w:tr>
      <w:tr>
        <w:tc>
          <w:tcPr>
            <w:tcW w:type="dxa" w:w="1378"/>
          </w:tcPr>
          <w:p>
            <w:pPr>
              <w:jc w:val="center"/>
            </w:pPr>
            <w:r>
              <w:rPr>
                <w:rFonts w:ascii="Times New Roman" w:hAnsi="Times New Roman"/>
                <w:sz w:val="20"/>
              </w:rPr>
              <w:t>(Constant)</w:t>
            </w:r>
          </w:p>
        </w:tc>
        <w:tc>
          <w:tcPr>
            <w:tcW w:type="dxa" w:w="1378"/>
          </w:tcPr>
          <w:p>
            <w:pPr>
              <w:jc w:val="center"/>
            </w:pPr>
            <w:r>
              <w:rPr>
                <w:rFonts w:ascii="Times New Roman" w:hAnsi="Times New Roman"/>
                <w:sz w:val="20"/>
              </w:rPr>
              <w:t>-0,150</w:t>
            </w:r>
          </w:p>
        </w:tc>
        <w:tc>
          <w:tcPr>
            <w:tcW w:type="dxa" w:w="1378"/>
          </w:tcPr>
          <w:p>
            <w:pPr>
              <w:jc w:val="center"/>
            </w:pPr>
            <w:r>
              <w:rPr>
                <w:rFonts w:ascii="Times New Roman" w:hAnsi="Times New Roman"/>
                <w:sz w:val="20"/>
              </w:rPr>
              <w:t>1,032</w:t>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t>-0,145</w:t>
            </w:r>
          </w:p>
        </w:tc>
        <w:tc>
          <w:tcPr>
            <w:tcW w:type="dxa" w:w="1378"/>
          </w:tcPr>
          <w:p>
            <w:pPr>
              <w:jc w:val="center"/>
            </w:pPr>
            <w:r>
              <w:rPr>
                <w:rFonts w:ascii="Times New Roman" w:hAnsi="Times New Roman"/>
                <w:sz w:val="20"/>
              </w:rPr>
              <w:t>0,886</w:t>
            </w:r>
          </w:p>
        </w:tc>
      </w:tr>
      <w:tr>
        <w:tc>
          <w:tcPr>
            <w:tcW w:type="dxa" w:w="1378"/>
          </w:tcPr>
          <w:p>
            <w:pPr>
              <w:jc w:val="center"/>
            </w:pPr>
            <w:r>
              <w:rPr>
                <w:rFonts w:ascii="Times New Roman" w:hAnsi="Times New Roman"/>
                <w:sz w:val="20"/>
              </w:rPr>
              <w:t>Hasil</w:t>
            </w:r>
          </w:p>
        </w:tc>
        <w:tc>
          <w:tcPr>
            <w:tcW w:type="dxa" w:w="1378"/>
          </w:tcPr>
          <w:p>
            <w:pPr>
              <w:jc w:val="center"/>
            </w:pPr>
            <w:r>
              <w:rPr>
                <w:rFonts w:ascii="Times New Roman" w:hAnsi="Times New Roman"/>
                <w:sz w:val="20"/>
              </w:rPr>
              <w:t>0,005</w:t>
            </w:r>
          </w:p>
        </w:tc>
        <w:tc>
          <w:tcPr>
            <w:tcW w:type="dxa" w:w="1378"/>
          </w:tcPr>
          <w:p>
            <w:pPr>
              <w:jc w:val="center"/>
            </w:pPr>
            <w:r>
              <w:rPr>
                <w:rFonts w:ascii="Times New Roman" w:hAnsi="Times New Roman"/>
                <w:sz w:val="20"/>
              </w:rPr>
              <w:t>0,002</w:t>
            </w:r>
          </w:p>
        </w:tc>
        <w:tc>
          <w:tcPr>
            <w:tcW w:type="dxa" w:w="1378"/>
          </w:tcPr>
          <w:p>
            <w:pPr>
              <w:jc w:val="center"/>
            </w:pPr>
            <w:r>
              <w:rPr>
                <w:rFonts w:ascii="Times New Roman" w:hAnsi="Times New Roman"/>
                <w:sz w:val="20"/>
              </w:rPr>
              <w:t>0,388</w:t>
            </w:r>
          </w:p>
        </w:tc>
        <w:tc>
          <w:tcPr>
            <w:tcW w:type="dxa" w:w="1378"/>
          </w:tcPr>
          <w:p>
            <w:pPr>
              <w:jc w:val="center"/>
            </w:pPr>
            <w:r>
              <w:rPr>
                <w:rFonts w:ascii="Times New Roman" w:hAnsi="Times New Roman"/>
                <w:sz w:val="20"/>
              </w:rPr>
              <w:t>2,105</w:t>
            </w:r>
          </w:p>
        </w:tc>
        <w:tc>
          <w:tcPr>
            <w:tcW w:type="dxa" w:w="1378"/>
          </w:tcPr>
          <w:p>
            <w:pPr>
              <w:jc w:val="center"/>
            </w:pPr>
            <w:r>
              <w:rPr>
                <w:rFonts w:ascii="Times New Roman" w:hAnsi="Times New Roman"/>
                <w:sz w:val="20"/>
              </w:rPr>
              <w:t>0,045</w:t>
            </w:r>
          </w:p>
        </w:tc>
      </w:tr>
    </w:tbl>
    <w:p/>
    <w:p>
      <w:pPr>
        <w:jc w:val="center"/>
      </w:pPr>
      <w:r>
        <w:rPr>
          <w:rFonts w:ascii="Times New Roman" w:hAnsi="Times New Roman"/>
          <w:b/>
          <w:sz w:val="20"/>
        </w:rPr>
        <w:t>Tabel 4.9 Korelasi Pearson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jc w:val="center"/>
            </w:pPr>
            <w:r>
              <w:rPr>
                <w:rFonts w:ascii="Times New Roman" w:hAnsi="Times New Roman"/>
                <w:b/>
                <w:sz w:val="20"/>
              </w:rPr>
            </w:r>
          </w:p>
        </w:tc>
        <w:tc>
          <w:tcPr>
            <w:tcW w:type="dxa" w:w="2757"/>
          </w:tcPr>
          <w:p>
            <w:pPr>
              <w:jc w:val="center"/>
            </w:pPr>
            <w:r>
              <w:rPr>
                <w:rFonts w:ascii="Times New Roman" w:hAnsi="Times New Roman"/>
                <w:b/>
                <w:sz w:val="20"/>
              </w:rPr>
              <w:t>Perlakuan</w:t>
            </w:r>
          </w:p>
        </w:tc>
        <w:tc>
          <w:tcPr>
            <w:tcW w:type="dxa" w:w="2757"/>
          </w:tcPr>
          <w:p>
            <w:pPr>
              <w:jc w:val="center"/>
            </w:pPr>
            <w:r>
              <w:rPr>
                <w:rFonts w:ascii="Times New Roman" w:hAnsi="Times New Roman"/>
                <w:b/>
                <w:sz w:val="20"/>
              </w:rPr>
              <w:t>Hasil</w:t>
            </w:r>
          </w:p>
        </w:tc>
      </w:tr>
      <w:tr>
        <w:tc>
          <w:tcPr>
            <w:tcW w:type="dxa" w:w="2757"/>
          </w:tcPr>
          <w:p>
            <w:pPr>
              <w:jc w:val="center"/>
            </w:pPr>
            <w:r>
              <w:rPr>
                <w:rFonts w:ascii="Times New Roman" w:hAnsi="Times New Roman"/>
                <w:sz w:val="20"/>
              </w:rPr>
              <w:t>Pearson Correlation - Perlakuan</w:t>
            </w:r>
          </w:p>
        </w:tc>
        <w:tc>
          <w:tcPr>
            <w:tcW w:type="dxa" w:w="2757"/>
          </w:tcPr>
          <w:p>
            <w:pPr>
              <w:jc w:val="center"/>
            </w:pPr>
            <w:r>
              <w:rPr>
                <w:rFonts w:ascii="Times New Roman" w:hAnsi="Times New Roman"/>
                <w:sz w:val="20"/>
              </w:rPr>
              <w:t>1,000</w:t>
            </w:r>
          </w:p>
        </w:tc>
        <w:tc>
          <w:tcPr>
            <w:tcW w:type="dxa" w:w="2757"/>
          </w:tcPr>
          <w:p>
            <w:pPr>
              <w:jc w:val="center"/>
            </w:pPr>
            <w:r>
              <w:rPr>
                <w:rFonts w:ascii="Times New Roman" w:hAnsi="Times New Roman"/>
                <w:sz w:val="20"/>
              </w:rPr>
              <w:t>0,388</w:t>
            </w:r>
          </w:p>
        </w:tc>
      </w:tr>
      <w:tr>
        <w:tc>
          <w:tcPr>
            <w:tcW w:type="dxa" w:w="2757"/>
          </w:tcPr>
          <w:p>
            <w:pPr>
              <w:jc w:val="center"/>
            </w:pPr>
            <w:r>
              <w:rPr>
                <w:rFonts w:ascii="Times New Roman" w:hAnsi="Times New Roman"/>
                <w:sz w:val="20"/>
              </w:rPr>
              <w:t>Pearson Correlation - Hasil</w:t>
            </w:r>
          </w:p>
        </w:tc>
        <w:tc>
          <w:tcPr>
            <w:tcW w:type="dxa" w:w="2757"/>
          </w:tcPr>
          <w:p>
            <w:pPr>
              <w:jc w:val="center"/>
            </w:pPr>
            <w:r>
              <w:rPr>
                <w:rFonts w:ascii="Times New Roman" w:hAnsi="Times New Roman"/>
                <w:sz w:val="20"/>
              </w:rPr>
              <w:t>0,388</w:t>
            </w:r>
          </w:p>
        </w:tc>
        <w:tc>
          <w:tcPr>
            <w:tcW w:type="dxa" w:w="2757"/>
          </w:tcPr>
          <w:p>
            <w:pPr>
              <w:jc w:val="center"/>
            </w:pPr>
            <w:r>
              <w:rPr>
                <w:rFonts w:ascii="Times New Roman" w:hAnsi="Times New Roman"/>
                <w:sz w:val="20"/>
              </w:rPr>
              <w:t>1,000</w:t>
            </w:r>
          </w:p>
        </w:tc>
      </w:tr>
      <w:tr>
        <w:tc>
          <w:tcPr>
            <w:tcW w:type="dxa" w:w="2757"/>
          </w:tcPr>
          <w:p>
            <w:pPr>
              <w:jc w:val="center"/>
            </w:pPr>
            <w:r>
              <w:rPr>
                <w:rFonts w:ascii="Times New Roman" w:hAnsi="Times New Roman"/>
                <w:sz w:val="20"/>
              </w:rPr>
              <w:t>Sig. (1-tailed) - Perlakuan</w:t>
            </w:r>
          </w:p>
        </w:tc>
        <w:tc>
          <w:tcPr>
            <w:tcW w:type="dxa" w:w="2757"/>
          </w:tcPr>
          <w:p>
            <w:pPr>
              <w:jc w:val="center"/>
            </w:pPr>
            <w:r>
              <w:rPr>
                <w:rFonts w:ascii="Times New Roman" w:hAnsi="Times New Roman"/>
                <w:sz w:val="20"/>
              </w:rPr>
              <w:t>.</w:t>
            </w:r>
          </w:p>
        </w:tc>
        <w:tc>
          <w:tcPr>
            <w:tcW w:type="dxa" w:w="2757"/>
          </w:tcPr>
          <w:p>
            <w:pPr>
              <w:jc w:val="center"/>
            </w:pPr>
            <w:r>
              <w:rPr>
                <w:rFonts w:ascii="Times New Roman" w:hAnsi="Times New Roman"/>
                <w:sz w:val="20"/>
              </w:rPr>
              <w:t>0,023</w:t>
            </w:r>
          </w:p>
        </w:tc>
      </w:tr>
      <w:tr>
        <w:tc>
          <w:tcPr>
            <w:tcW w:type="dxa" w:w="2757"/>
          </w:tcPr>
          <w:p>
            <w:pPr>
              <w:jc w:val="center"/>
            </w:pPr>
            <w:r>
              <w:rPr>
                <w:rFonts w:ascii="Times New Roman" w:hAnsi="Times New Roman"/>
                <w:sz w:val="20"/>
              </w:rPr>
              <w:t>Sig. (1-tailed) - Hasil</w:t>
            </w:r>
          </w:p>
        </w:tc>
        <w:tc>
          <w:tcPr>
            <w:tcW w:type="dxa" w:w="2757"/>
          </w:tcPr>
          <w:p>
            <w:pPr>
              <w:jc w:val="center"/>
            </w:pPr>
            <w:r>
              <w:rPr>
                <w:rFonts w:ascii="Times New Roman" w:hAnsi="Times New Roman"/>
                <w:sz w:val="20"/>
              </w:rPr>
              <w:t>0,023</w:t>
            </w:r>
          </w:p>
        </w:tc>
        <w:tc>
          <w:tcPr>
            <w:tcW w:type="dxa" w:w="2757"/>
          </w:tcPr>
          <w:p>
            <w:pPr>
              <w:jc w:val="center"/>
            </w:pPr>
            <w:r>
              <w:rPr>
                <w:rFonts w:ascii="Times New Roman" w:hAnsi="Times New Roman"/>
                <w:sz w:val="20"/>
              </w:rPr>
              <w:t>.</w:t>
            </w:r>
          </w:p>
        </w:tc>
      </w:tr>
    </w:tbl>
    <w:p/>
    <w:p/>
    <w:p>
      <w:r>
        <w:rPr>
          <w:rFonts w:ascii="Times New Roman" w:hAnsi="Times New Roman"/>
          <w:b/>
          <w:sz w:val="24"/>
        </w:rPr>
        <w:t>4.6.3 Pembahasan Produktivitas Padi</w:t>
      </w:r>
    </w:p>
    <w:p>
      <w:pPr>
        <w:spacing w:line="360" w:lineRule="auto"/>
        <w:ind w:firstLine="720"/>
      </w:pPr>
      <w:r>
        <w:rPr>
          <w:rFonts w:ascii="Times New Roman" w:hAnsi="Times New Roman"/>
          <w:b w:val="0"/>
          <w:i w:val="0"/>
          <w:sz w:val="24"/>
        </w:rPr>
        <w:t>Berdasarkan hasil analisis deskriptif, diperoleh rata-rata produktivitas keseluruhan sebesar 439,52 g/ember dengan simpangan baku 65,996 g. Produktivitas tertinggi diperoleh pada Perlakuan 2 (ketinggian air -0,01 cm) dengan rentang 446–543 g/ember, diikuti Perlakuan 3 (ketinggian air -0,05 cm) dengan rentang 360–558 g/ember, dan terendah pada Perlakuan 1 (ketinggian air 5 cm) dengan rentang 304–442 g/ember.</w:t>
      </w:r>
    </w:p>
    <w:p>
      <w:pPr>
        <w:spacing w:line="360" w:lineRule="auto"/>
        <w:ind w:firstLine="720"/>
      </w:pPr>
      <w:r>
        <w:rPr>
          <w:rFonts w:ascii="Times New Roman" w:hAnsi="Times New Roman"/>
          <w:b w:val="0"/>
          <w:i w:val="0"/>
          <w:sz w:val="24"/>
        </w:rPr>
        <w:t>Hasil uji korelasi Pearson menunjukkan adanya hubungan positif yang signifikan antara perlakuan dan hasil produktivitas dengan nilai korelasi r = 0,388 (p = 0,023 &lt; 0,05). Meskipun tingkat hubungan tergolong rendah hingga sedang, signifikansi statistik ini mengkonfirmasi bahwa perbedaan perlakuan ketinggian air memang berpengaruh nyata terhadap produktivitas padi.</w:t>
      </w:r>
    </w:p>
    <w:p>
      <w:pPr>
        <w:spacing w:line="360" w:lineRule="auto"/>
        <w:ind w:firstLine="720"/>
      </w:pPr>
      <w:r>
        <w:rPr>
          <w:rFonts w:ascii="Times New Roman" w:hAnsi="Times New Roman"/>
          <w:b w:val="0"/>
          <w:i w:val="0"/>
          <w:sz w:val="24"/>
        </w:rPr>
        <w:t>Analisis regresi linear sederhana menghasilkan nilai R² = 0,151, yang mengindikasikan bahwa variabel perlakuan (ketinggian air) mampu menjelaskan 15,1% variasi produktivitas padi, sedangkan 84,9% sisanya dipengaruhi oleh faktor-faktor lain di luar model seperti varietas, kondisi mikroklimat, serangan hama, dan faktor pemupukan. Hasil uji ANOVA menunjukkan nilai F = 4,431 dengan signifikansi 0,045 (&lt; 0,05), sehingga model regresi dinyatakan signifikan dan layak digunakan untuk memprediksi hubungan antara perlakuan dengan produktivitas.</w:t>
      </w:r>
    </w:p>
    <w:p>
      <w:pPr>
        <w:spacing w:line="360" w:lineRule="auto"/>
        <w:ind w:firstLine="720"/>
      </w:pPr>
      <w:r>
        <w:rPr>
          <w:rFonts w:ascii="Times New Roman" w:hAnsi="Times New Roman"/>
          <w:b w:val="0"/>
          <w:i w:val="0"/>
          <w:sz w:val="24"/>
        </w:rPr>
        <w:t>Persamaan regresi yang diperoleh adalah: Y = -0,150 + 0,005X, di mana Y = perlakuan dan X = hasil produktivitas. Koefisien regresi bernilai positif (0,005) menunjukkan bahwa setiap peningkatan 1 gram produktivitas diikuti kecenderungan peningkatan pada level perlakuan yang lebih tinggi (perlakuan aerob). Hal ini mengkonfirmasi bahwa sistem pengelolaan air aerob terkendali (IPAT-BO) memiliki potensi untuk meningkatkan produktivitas padi dibandingkan sistem genangan konvensional.</w:t>
      </w:r>
    </w:p>
    <w:p>
      <w:pPr>
        <w:spacing w:line="360" w:lineRule="auto"/>
        <w:ind w:firstLine="720"/>
      </w:pPr>
      <w:r>
        <w:rPr>
          <w:rFonts w:ascii="Times New Roman" w:hAnsi="Times New Roman"/>
          <w:b w:val="0"/>
          <w:i w:val="0"/>
          <w:sz w:val="24"/>
        </w:rPr>
        <w:t>Temuan bahwa perlakuan ketinggian air -0,01 cm (macak-macak) menghasilkan produktivitas tertinggi sangat relevan dengan konsep dasar IPAT-BO. Pada kondisi ini, tanah dalam keadaan jenuh air tetapi tidak tergenang, sehingga akar tanaman padi memperoleh keseimbangan antara ketersediaan air dan oksigen. Hasil ini konsisten dengan meta-analisis Carrijo et al. (2017) yang menganalisis 56 studi tentang alternate wetting and drying (AWD) dan menemukan bahwa sistem AWD ringan tidak menurunkan hasil padi secara signifikan, bahkan meningkatkan hasil 5–10% dibandingkan genangan penuh.</w:t>
      </w:r>
    </w:p>
    <w:p>
      <w:pPr>
        <w:spacing w:line="360" w:lineRule="auto"/>
        <w:ind w:firstLine="720"/>
      </w:pPr>
      <w:r>
        <w:rPr>
          <w:rFonts w:ascii="Times New Roman" w:hAnsi="Times New Roman"/>
          <w:b w:val="0"/>
          <w:i w:val="0"/>
          <w:sz w:val="24"/>
        </w:rPr>
        <w:t>Dari aspek varietas, Ciherang secara konsisten menunjukkan produktivitas tertinggi di semua level ketinggian air (374 g pada 5 cm, 503 g pada -0,01 cm, dan 453 g pada -0,05 cm), diikuti oleh Inpari 32 dan Mekongga. Interaksi antara varietas dan ketinggian air terhadap produktivitas menunjukkan bahwa kombinasi varietas Ciherang dengan perlakuan ketinggian air -0,01 cm dan pupuk organik kotoran kambing merupakan kombinasi yang paling optimal, menghasilkan produktivitas tertinggi yaitu 503 g/ember.</w:t>
      </w:r>
    </w:p>
    <w:p/>
    <w:p>
      <w:r>
        <w:rPr>
          <w:rFonts w:ascii="Times New Roman" w:hAnsi="Times New Roman"/>
          <w:b/>
          <w:sz w:val="24"/>
        </w:rPr>
        <w:t>4.7 Hubungan Antar Variabel Pengamatan</w:t>
      </w:r>
    </w:p>
    <w:p>
      <w:r>
        <w:rPr>
          <w:rFonts w:ascii="Times New Roman" w:hAnsi="Times New Roman"/>
          <w:b/>
          <w:sz w:val="24"/>
        </w:rPr>
        <w:t>4.7.1 Hubungan Ketinggian Air dengan Pertumbuhan Gulma dan Produktivitas</w:t>
      </w:r>
    </w:p>
    <w:p>
      <w:pPr>
        <w:spacing w:line="360" w:lineRule="auto"/>
        <w:ind w:firstLine="720"/>
      </w:pPr>
      <w:r>
        <w:rPr>
          <w:rFonts w:ascii="Times New Roman" w:hAnsi="Times New Roman"/>
          <w:b w:val="0"/>
          <w:i w:val="0"/>
          <w:sz w:val="24"/>
        </w:rPr>
        <w:t>Berdasarkan keseluruhan hasil pengamatan, terdapat hubungan yang kompleks antara ketinggian air, pertumbuhan gulma, dan produktivitas padi. Secara ringkas hubungan tersebut disajikan pada Tabel 4.10 berikut:</w:t>
      </w:r>
    </w:p>
    <w:p>
      <w:pPr>
        <w:jc w:val="center"/>
      </w:pPr>
      <w:r>
        <w:rPr>
          <w:rFonts w:ascii="Times New Roman" w:hAnsi="Times New Roman"/>
          <w:b/>
          <w:sz w:val="20"/>
        </w:rPr>
        <w:t>Tabel 4.10 Ringkasan Hubungan Ketinggian Air dengan Variabel Pengamatan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t>Ketinggian Air</w:t>
            </w:r>
          </w:p>
        </w:tc>
        <w:tc>
          <w:tcPr>
            <w:tcW w:type="dxa" w:w="1378"/>
          </w:tcPr>
          <w:p>
            <w:pPr>
              <w:jc w:val="center"/>
            </w:pPr>
            <w:r>
              <w:rPr>
                <w:rFonts w:ascii="Times New Roman" w:hAnsi="Times New Roman"/>
                <w:b/>
                <w:sz w:val="20"/>
              </w:rPr>
              <w:t>Kepadatan Gulma</w:t>
            </w:r>
          </w:p>
        </w:tc>
        <w:tc>
          <w:tcPr>
            <w:tcW w:type="dxa" w:w="1378"/>
          </w:tcPr>
          <w:p>
            <w:pPr>
              <w:jc w:val="center"/>
            </w:pPr>
            <w:r>
              <w:rPr>
                <w:rFonts w:ascii="Times New Roman" w:hAnsi="Times New Roman"/>
                <w:b/>
                <w:sz w:val="20"/>
              </w:rPr>
              <w:t>Tutupan Gulma</w:t>
            </w:r>
          </w:p>
        </w:tc>
        <w:tc>
          <w:tcPr>
            <w:tcW w:type="dxa" w:w="1378"/>
          </w:tcPr>
          <w:p>
            <w:pPr>
              <w:jc w:val="center"/>
            </w:pPr>
            <w:r>
              <w:rPr>
                <w:rFonts w:ascii="Times New Roman" w:hAnsi="Times New Roman"/>
                <w:b/>
                <w:sz w:val="20"/>
              </w:rPr>
              <w:t>Tinggi Tanaman</w:t>
            </w:r>
          </w:p>
        </w:tc>
        <w:tc>
          <w:tcPr>
            <w:tcW w:type="dxa" w:w="1378"/>
          </w:tcPr>
          <w:p>
            <w:pPr>
              <w:jc w:val="center"/>
            </w:pPr>
            <w:r>
              <w:rPr>
                <w:rFonts w:ascii="Times New Roman" w:hAnsi="Times New Roman"/>
                <w:b/>
                <w:sz w:val="20"/>
              </w:rPr>
              <w:t>Jml Anakan</w:t>
            </w:r>
          </w:p>
        </w:tc>
        <w:tc>
          <w:tcPr>
            <w:tcW w:type="dxa" w:w="1378"/>
          </w:tcPr>
          <w:p>
            <w:pPr>
              <w:jc w:val="center"/>
            </w:pPr>
            <w:r>
              <w:rPr>
                <w:rFonts w:ascii="Times New Roman" w:hAnsi="Times New Roman"/>
                <w:b/>
                <w:sz w:val="20"/>
              </w:rPr>
              <w:t>Produktivitas</w:t>
            </w:r>
          </w:p>
        </w:tc>
      </w:tr>
      <w:tr>
        <w:tc>
          <w:tcPr>
            <w:tcW w:type="dxa" w:w="1378"/>
          </w:tcPr>
          <w:p>
            <w:pPr>
              <w:jc w:val="center"/>
            </w:pPr>
            <w:r>
              <w:rPr>
                <w:rFonts w:ascii="Times New Roman" w:hAnsi="Times New Roman"/>
                <w:sz w:val="20"/>
              </w:rPr>
              <w:t>5 cm (Tergenang)</w:t>
            </w:r>
          </w:p>
        </w:tc>
        <w:tc>
          <w:tcPr>
            <w:tcW w:type="dxa" w:w="1378"/>
          </w:tcPr>
          <w:p>
            <w:pPr>
              <w:jc w:val="center"/>
            </w:pPr>
            <w:r>
              <w:rPr>
                <w:rFonts w:ascii="Times New Roman" w:hAnsi="Times New Roman"/>
                <w:sz w:val="20"/>
              </w:rPr>
              <w:t>Rendah</w:t>
            </w:r>
          </w:p>
        </w:tc>
        <w:tc>
          <w:tcPr>
            <w:tcW w:type="dxa" w:w="1378"/>
          </w:tcPr>
          <w:p>
            <w:pPr>
              <w:jc w:val="center"/>
            </w:pPr>
            <w:r>
              <w:rPr>
                <w:rFonts w:ascii="Times New Roman" w:hAnsi="Times New Roman"/>
                <w:sz w:val="20"/>
              </w:rPr>
              <w:t>Rendah</w:t>
            </w:r>
          </w:p>
        </w:tc>
        <w:tc>
          <w:tcPr>
            <w:tcW w:type="dxa" w:w="1378"/>
          </w:tcPr>
          <w:p>
            <w:pPr>
              <w:jc w:val="center"/>
            </w:pPr>
            <w:r>
              <w:rPr>
                <w:rFonts w:ascii="Times New Roman" w:hAnsi="Times New Roman"/>
                <w:sz w:val="20"/>
              </w:rPr>
              <w:t>Tinggi</w:t>
            </w:r>
          </w:p>
        </w:tc>
        <w:tc>
          <w:tcPr>
            <w:tcW w:type="dxa" w:w="1378"/>
          </w:tcPr>
          <w:p>
            <w:pPr>
              <w:jc w:val="center"/>
            </w:pPr>
            <w:r>
              <w:rPr>
                <w:rFonts w:ascii="Times New Roman" w:hAnsi="Times New Roman"/>
                <w:sz w:val="20"/>
              </w:rPr>
              <w:t>Sedang</w:t>
            </w:r>
          </w:p>
        </w:tc>
        <w:tc>
          <w:tcPr>
            <w:tcW w:type="dxa" w:w="1378"/>
          </w:tcPr>
          <w:p>
            <w:pPr>
              <w:jc w:val="center"/>
            </w:pPr>
            <w:r>
              <w:rPr>
                <w:rFonts w:ascii="Times New Roman" w:hAnsi="Times New Roman"/>
                <w:sz w:val="20"/>
              </w:rPr>
              <w:t>Sedang</w:t>
            </w:r>
          </w:p>
        </w:tc>
      </w:tr>
      <w:tr>
        <w:tc>
          <w:tcPr>
            <w:tcW w:type="dxa" w:w="1378"/>
          </w:tcPr>
          <w:p>
            <w:pPr>
              <w:jc w:val="center"/>
            </w:pPr>
            <w:r>
              <w:rPr>
                <w:rFonts w:ascii="Times New Roman" w:hAnsi="Times New Roman"/>
                <w:sz w:val="20"/>
              </w:rPr>
              <w:t>-0,01 cm (Macak²)</w:t>
            </w:r>
          </w:p>
        </w:tc>
        <w:tc>
          <w:tcPr>
            <w:tcW w:type="dxa" w:w="1378"/>
          </w:tcPr>
          <w:p>
            <w:pPr>
              <w:jc w:val="center"/>
            </w:pPr>
            <w:r>
              <w:rPr>
                <w:rFonts w:ascii="Times New Roman" w:hAnsi="Times New Roman"/>
                <w:sz w:val="20"/>
              </w:rPr>
              <w:t>Sedang</w:t>
            </w:r>
          </w:p>
        </w:tc>
        <w:tc>
          <w:tcPr>
            <w:tcW w:type="dxa" w:w="1378"/>
          </w:tcPr>
          <w:p>
            <w:pPr>
              <w:jc w:val="center"/>
            </w:pPr>
            <w:r>
              <w:rPr>
                <w:rFonts w:ascii="Times New Roman" w:hAnsi="Times New Roman"/>
                <w:sz w:val="20"/>
              </w:rPr>
              <w:t>Sedang</w:t>
            </w:r>
          </w:p>
        </w:tc>
        <w:tc>
          <w:tcPr>
            <w:tcW w:type="dxa" w:w="1378"/>
          </w:tcPr>
          <w:p>
            <w:pPr>
              <w:jc w:val="center"/>
            </w:pPr>
            <w:r>
              <w:rPr>
                <w:rFonts w:ascii="Times New Roman" w:hAnsi="Times New Roman"/>
                <w:sz w:val="20"/>
              </w:rPr>
              <w:t>Sedang</w:t>
            </w:r>
          </w:p>
        </w:tc>
        <w:tc>
          <w:tcPr>
            <w:tcW w:type="dxa" w:w="1378"/>
          </w:tcPr>
          <w:p>
            <w:pPr>
              <w:jc w:val="center"/>
            </w:pPr>
            <w:r>
              <w:rPr>
                <w:rFonts w:ascii="Times New Roman" w:hAnsi="Times New Roman"/>
                <w:sz w:val="20"/>
              </w:rPr>
              <w:t>Tinggi</w:t>
            </w:r>
          </w:p>
        </w:tc>
        <w:tc>
          <w:tcPr>
            <w:tcW w:type="dxa" w:w="1378"/>
          </w:tcPr>
          <w:p>
            <w:pPr>
              <w:jc w:val="center"/>
            </w:pPr>
            <w:r>
              <w:rPr>
                <w:rFonts w:ascii="Times New Roman" w:hAnsi="Times New Roman"/>
                <w:sz w:val="20"/>
              </w:rPr>
              <w:t>Tinggi</w:t>
            </w:r>
          </w:p>
        </w:tc>
      </w:tr>
      <w:tr>
        <w:tc>
          <w:tcPr>
            <w:tcW w:type="dxa" w:w="1378"/>
          </w:tcPr>
          <w:p>
            <w:pPr>
              <w:jc w:val="center"/>
            </w:pPr>
            <w:r>
              <w:rPr>
                <w:rFonts w:ascii="Times New Roman" w:hAnsi="Times New Roman"/>
                <w:sz w:val="20"/>
              </w:rPr>
              <w:t>-0,05 cm (Aerob)</w:t>
            </w:r>
          </w:p>
        </w:tc>
        <w:tc>
          <w:tcPr>
            <w:tcW w:type="dxa" w:w="1378"/>
          </w:tcPr>
          <w:p>
            <w:pPr>
              <w:jc w:val="center"/>
            </w:pPr>
            <w:r>
              <w:rPr>
                <w:rFonts w:ascii="Times New Roman" w:hAnsi="Times New Roman"/>
                <w:sz w:val="20"/>
              </w:rPr>
              <w:t>Tinggi</w:t>
            </w:r>
          </w:p>
        </w:tc>
        <w:tc>
          <w:tcPr>
            <w:tcW w:type="dxa" w:w="1378"/>
          </w:tcPr>
          <w:p>
            <w:pPr>
              <w:jc w:val="center"/>
            </w:pPr>
            <w:r>
              <w:rPr>
                <w:rFonts w:ascii="Times New Roman" w:hAnsi="Times New Roman"/>
                <w:sz w:val="20"/>
              </w:rPr>
              <w:t>Tinggi</w:t>
            </w:r>
          </w:p>
        </w:tc>
        <w:tc>
          <w:tcPr>
            <w:tcW w:type="dxa" w:w="1378"/>
          </w:tcPr>
          <w:p>
            <w:pPr>
              <w:jc w:val="center"/>
            </w:pPr>
            <w:r>
              <w:rPr>
                <w:rFonts w:ascii="Times New Roman" w:hAnsi="Times New Roman"/>
                <w:sz w:val="20"/>
              </w:rPr>
              <w:t>Rendah</w:t>
            </w:r>
          </w:p>
        </w:tc>
        <w:tc>
          <w:tcPr>
            <w:tcW w:type="dxa" w:w="1378"/>
          </w:tcPr>
          <w:p>
            <w:pPr>
              <w:jc w:val="center"/>
            </w:pPr>
            <w:r>
              <w:rPr>
                <w:rFonts w:ascii="Times New Roman" w:hAnsi="Times New Roman"/>
                <w:sz w:val="20"/>
              </w:rPr>
              <w:t>Rendah</w:t>
            </w:r>
          </w:p>
        </w:tc>
        <w:tc>
          <w:tcPr>
            <w:tcW w:type="dxa" w:w="1378"/>
          </w:tcPr>
          <w:p>
            <w:pPr>
              <w:jc w:val="center"/>
            </w:pPr>
            <w:r>
              <w:rPr>
                <w:rFonts w:ascii="Times New Roman" w:hAnsi="Times New Roman"/>
                <w:sz w:val="20"/>
              </w:rPr>
              <w:t>Sedang</w:t>
            </w:r>
          </w:p>
        </w:tc>
      </w:tr>
    </w:tbl>
    <w:p/>
    <w:p/>
    <w:p>
      <w:pPr>
        <w:spacing w:line="360" w:lineRule="auto"/>
        <w:ind w:firstLine="720"/>
      </w:pPr>
      <w:r>
        <w:rPr>
          <w:rFonts w:ascii="Times New Roman" w:hAnsi="Times New Roman"/>
          <w:b w:val="0"/>
          <w:i w:val="0"/>
          <w:sz w:val="24"/>
        </w:rPr>
        <w:t>Dari pola hubungan tersebut, terlihat bahwa ketinggian air -0,01 cm (kondisi macak-macak) merupakan titik keseimbangan optimal di mana: (1) pertumbuhan gulma masih dapat dikendalikan pada level moderat, (2) tinggi tanaman cukup optimal, (3) jumlah anakan produktif tertinggi, dan (4) produktivitas padi mencapai puncaknya. Kondisi ini menjadikan level ketinggian air -0,01 cm sebagai rekomendasi pengelolaan air terbaik dalam sistem IPAT-BO.</w:t>
      </w:r>
    </w:p>
    <w:p>
      <w:pPr>
        <w:spacing w:line="360" w:lineRule="auto"/>
        <w:ind w:firstLine="720"/>
      </w:pPr>
      <w:r>
        <w:rPr>
          <w:rFonts w:ascii="Times New Roman" w:hAnsi="Times New Roman"/>
          <w:b w:val="0"/>
          <w:i w:val="0"/>
          <w:sz w:val="24"/>
        </w:rPr>
        <w:t>Hubungan negatif antara ketinggian air dan kepadatan gulma menunjukkan bahwa semakin dangkal genangan, semakin tinggi populasi gulma. Namun, hubungan antara kepadatan gulma dan produktivitas tidak selalu bersifat linear negatif. Pada level ketinggian air -0,01 cm, meskipun kepadatan gulma lebih tinggi dibandingkan kondisi tergenang penuh, produktivitas justru meningkat. Hal ini menunjukkan bahwa dampak negatif gulma terhadap produktivitas dapat dikompensasi oleh peningkatan efisiensi fisiologis tanaman pada kondisi aerob terkendali.</w:t>
      </w:r>
    </w:p>
    <w:p>
      <w:pPr>
        <w:spacing w:line="360" w:lineRule="auto"/>
        <w:ind w:firstLine="720"/>
      </w:pPr>
      <w:r>
        <w:rPr>
          <w:rFonts w:ascii="Times New Roman" w:hAnsi="Times New Roman"/>
          <w:b w:val="0"/>
          <w:i w:val="0"/>
          <w:sz w:val="24"/>
        </w:rPr>
        <w:t>Temuan ini mendukung konsep trade-off dalam pengelolaan air pada budidaya padi sebagaimana dikemukakan oleh Bouman dan Tuong (2001), bahwa pengelolaan air yang optimal dalam budidaya padi perlu mempertimbangkan keseimbangan antara penghematan air, pengendalian gulma, dan pencapaian produktivitas.</w:t>
      </w:r>
    </w:p>
    <w:p/>
    <w:p>
      <w:r>
        <w:rPr>
          <w:rFonts w:ascii="Times New Roman" w:hAnsi="Times New Roman"/>
          <w:b/>
          <w:sz w:val="24"/>
        </w:rPr>
        <w:t>4.7.2 Pengaruh Varietas dan Pupuk Organik terhadap Produktivitas</w:t>
      </w:r>
    </w:p>
    <w:p>
      <w:pPr>
        <w:spacing w:line="360" w:lineRule="auto"/>
        <w:ind w:firstLine="720"/>
      </w:pPr>
      <w:r>
        <w:rPr>
          <w:rFonts w:ascii="Times New Roman" w:hAnsi="Times New Roman"/>
          <w:b w:val="0"/>
          <w:i w:val="0"/>
          <w:sz w:val="24"/>
        </w:rPr>
        <w:t>Interaksi antara varietas unggul dan pemberian pupuk organik (kotoran kambing) menunjukkan pengaruh yang positif terhadap produktivitas padi pada semua level ketinggian air. Dari ketiga varietas yang diuji, Ciherang secara konsisten menunjukkan respon terbaik terhadap kombinasi pupuk organik dan pengelolaan air aerob, diikuti oleh Inpari 32 dan Mekongga.</w:t>
      </w:r>
    </w:p>
    <w:p>
      <w:pPr>
        <w:spacing w:line="360" w:lineRule="auto"/>
        <w:ind w:firstLine="720"/>
      </w:pPr>
      <w:r>
        <w:rPr>
          <w:rFonts w:ascii="Times New Roman" w:hAnsi="Times New Roman"/>
          <w:b w:val="0"/>
          <w:i w:val="0"/>
          <w:sz w:val="24"/>
        </w:rPr>
        <w:t>Keunggulan varietas Ciherang dalam merespons pupuk organik pada sistem IPAT-BO berkaitan dengan beberapa faktor: (1) sistem perakaran yang dalam dan menyebar luas sehingga mampu mengeksplorasi nutrisi dari pupuk organik secara efisien, (2) efisiensi fotosintesis yang tinggi yang mendukung pengisian biji lebih optimal, dan (3) daya adaptasi yang luas terhadap berbagai kondisi lingkungan termasuk kondisi aerob. Hasil ini konsisten dengan deskripsi varietas Ciherang yang dilaporkan oleh Badan Penelitian dan Pengembangan Pertanian (2020).</w:t>
      </w:r>
    </w:p>
    <w:p>
      <w:pPr>
        <w:spacing w:line="360" w:lineRule="auto"/>
        <w:ind w:firstLine="720"/>
      </w:pPr>
      <w:r>
        <w:rPr>
          <w:rFonts w:ascii="Times New Roman" w:hAnsi="Times New Roman"/>
          <w:b w:val="0"/>
          <w:i w:val="0"/>
          <w:sz w:val="24"/>
        </w:rPr>
        <w:t>Pupuk organik kotoran kambing berperan penting dalam meningkatkan produktivitas melalui beberapa mekanisme: (1) peningkatan ketersediaan unsur hara secara bertahap, (2) perbaikan sifat fisik tanah termasuk struktur dan porositas, (3) peningkatan kapasitas tukar kation dan daya sangga tanah, serta (4) stimulasi aktivitas mikroba tanah yang mendukung siklus hara. Menurut Suryana et al. (2017), efektivitas kompos terhadap peningkatan bahan organik tanah dan efisiensi pupuk nitrogen terbukti signifikan dalam mendukung produktivitas padi berkelanjutan.</w:t>
      </w:r>
    </w:p>
    <w:p>
      <w:pPr>
        <w:spacing w:line="360" w:lineRule="auto"/>
        <w:ind w:firstLine="720"/>
      </w:pPr>
      <w:r>
        <w:rPr>
          <w:rFonts w:ascii="Times New Roman" w:hAnsi="Times New Roman"/>
          <w:b w:val="0"/>
          <w:i w:val="0"/>
          <w:sz w:val="24"/>
        </w:rPr>
        <w:t>Nilai korelasi Pearson sebesar 0,388 (p &lt; 0,05) antara perlakuan dan hasil menunjukkan bahwa perbedaan perlakuan memberikan kontribusi nyata terhadap variasi produktivitas, meskipun besaran pengaruhnya tergolong moderat (R² = 15,1%). Hal ini wajar mengingat produktivitas padi dipengaruhi oleh banyak faktor yang saling berinteraksi, termasuk faktor genetik varietas, kondisi lingkungan mikro, dan dinamika kompetisi dengan gulma. Menurut Fageria (2007) dalam Journal of Plant Nutrition, produktivitas padi merupakan resultan dari interaksi kompleks antara genotipe × lingkungan × manajemen.</w:t>
      </w:r>
    </w:p>
    <w:p/>
    <w:p>
      <w:r>
        <w:rPr>
          <w:rFonts w:ascii="Times New Roman" w:hAnsi="Times New Roman"/>
          <w:b/>
          <w:sz w:val="24"/>
        </w:rPr>
        <w:t>4.8 Efisiensi Penggunaan Air</w:t>
      </w:r>
    </w:p>
    <w:p>
      <w:r>
        <w:rPr>
          <w:rFonts w:ascii="Times New Roman" w:hAnsi="Times New Roman"/>
          <w:b/>
          <w:sz w:val="24"/>
        </w:rPr>
        <w:t>4.8.1 Hasil Pengamatan Penggunaan Air</w:t>
      </w:r>
    </w:p>
    <w:p>
      <w:pPr>
        <w:spacing w:line="360" w:lineRule="auto"/>
        <w:ind w:firstLine="720"/>
      </w:pPr>
      <w:r>
        <w:rPr>
          <w:rFonts w:ascii="Times New Roman" w:hAnsi="Times New Roman"/>
          <w:b w:val="0"/>
          <w:i w:val="0"/>
          <w:sz w:val="24"/>
        </w:rPr>
        <w:t>Penggunaan air pada berbagai perlakuan ketinggian air menunjukkan perbedaan yang signifikan. Berikut disajikan perbandingan relatif penggunaan air pada Tabel 4.11:</w:t>
      </w:r>
    </w:p>
    <w:p>
      <w:pPr>
        <w:jc w:val="center"/>
      </w:pPr>
      <w:r>
        <w:rPr>
          <w:rFonts w:ascii="Times New Roman" w:hAnsi="Times New Roman"/>
          <w:b/>
          <w:sz w:val="20"/>
        </w:rPr>
        <w:t>Tabel 4.11 Perbandingan Penggunaan Air dan Efisiensi pada Berbagai Perlakuan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Ketinggian Air</w:t>
            </w:r>
          </w:p>
        </w:tc>
        <w:tc>
          <w:tcPr>
            <w:tcW w:type="dxa" w:w="2068"/>
          </w:tcPr>
          <w:p>
            <w:pPr>
              <w:jc w:val="center"/>
            </w:pPr>
            <w:r>
              <w:rPr>
                <w:rFonts w:ascii="Times New Roman" w:hAnsi="Times New Roman"/>
                <w:b/>
                <w:sz w:val="20"/>
              </w:rPr>
              <w:t>Penggunaan Air Relatif (%)</w:t>
            </w:r>
          </w:p>
        </w:tc>
        <w:tc>
          <w:tcPr>
            <w:tcW w:type="dxa" w:w="2068"/>
          </w:tcPr>
          <w:p>
            <w:pPr>
              <w:jc w:val="center"/>
            </w:pPr>
            <w:r>
              <w:rPr>
                <w:rFonts w:ascii="Times New Roman" w:hAnsi="Times New Roman"/>
                <w:b/>
                <w:sz w:val="20"/>
              </w:rPr>
              <w:t>Penghematan (%)</w:t>
            </w:r>
          </w:p>
        </w:tc>
        <w:tc>
          <w:tcPr>
            <w:tcW w:type="dxa" w:w="2068"/>
          </w:tcPr>
          <w:p>
            <w:pPr>
              <w:jc w:val="center"/>
            </w:pPr>
            <w:r>
              <w:rPr>
                <w:rFonts w:ascii="Times New Roman" w:hAnsi="Times New Roman"/>
                <w:b/>
                <w:sz w:val="20"/>
              </w:rPr>
              <w:t>Efisiensi (g/liter)</w:t>
            </w:r>
          </w:p>
        </w:tc>
      </w:tr>
      <w:tr>
        <w:tc>
          <w:tcPr>
            <w:tcW w:type="dxa" w:w="2068"/>
          </w:tcPr>
          <w:p>
            <w:pPr>
              <w:jc w:val="center"/>
            </w:pPr>
            <w:r>
              <w:rPr>
                <w:rFonts w:ascii="Times New Roman" w:hAnsi="Times New Roman"/>
                <w:sz w:val="20"/>
              </w:rPr>
              <w:t>5 cm (Tergenang)</w:t>
            </w:r>
          </w:p>
        </w:tc>
        <w:tc>
          <w:tcPr>
            <w:tcW w:type="dxa" w:w="2068"/>
          </w:tcPr>
          <w:p>
            <w:pPr>
              <w:jc w:val="center"/>
            </w:pPr>
            <w:r>
              <w:rPr>
                <w:rFonts w:ascii="Times New Roman" w:hAnsi="Times New Roman"/>
                <w:sz w:val="20"/>
              </w:rPr>
              <w:t>100%</w:t>
            </w:r>
          </w:p>
        </w:tc>
        <w:tc>
          <w:tcPr>
            <w:tcW w:type="dxa" w:w="2068"/>
          </w:tcPr>
          <w:p>
            <w:pPr>
              <w:jc w:val="center"/>
            </w:pPr>
            <w:r>
              <w:rPr>
                <w:rFonts w:ascii="Times New Roman" w:hAnsi="Times New Roman"/>
                <w:sz w:val="20"/>
              </w:rPr>
              <w:t>0% (Kontrol)</w:t>
            </w:r>
          </w:p>
        </w:tc>
        <w:tc>
          <w:tcPr>
            <w:tcW w:type="dxa" w:w="2068"/>
          </w:tcPr>
          <w:p>
            <w:pPr>
              <w:jc w:val="center"/>
            </w:pPr>
            <w:r>
              <w:rPr>
                <w:rFonts w:ascii="Times New Roman" w:hAnsi="Times New Roman"/>
                <w:sz w:val="20"/>
              </w:rPr>
              <w:t>0,82</w:t>
            </w:r>
          </w:p>
        </w:tc>
      </w:tr>
      <w:tr>
        <w:tc>
          <w:tcPr>
            <w:tcW w:type="dxa" w:w="2068"/>
          </w:tcPr>
          <w:p>
            <w:pPr>
              <w:jc w:val="center"/>
            </w:pPr>
            <w:r>
              <w:rPr>
                <w:rFonts w:ascii="Times New Roman" w:hAnsi="Times New Roman"/>
                <w:sz w:val="20"/>
              </w:rPr>
              <w:t>-0,01 cm (Macak²)</w:t>
            </w:r>
          </w:p>
        </w:tc>
        <w:tc>
          <w:tcPr>
            <w:tcW w:type="dxa" w:w="2068"/>
          </w:tcPr>
          <w:p>
            <w:pPr>
              <w:jc w:val="center"/>
            </w:pPr>
            <w:r>
              <w:rPr>
                <w:rFonts w:ascii="Times New Roman" w:hAnsi="Times New Roman"/>
                <w:sz w:val="20"/>
              </w:rPr>
              <w:t>62%</w:t>
            </w:r>
          </w:p>
        </w:tc>
        <w:tc>
          <w:tcPr>
            <w:tcW w:type="dxa" w:w="2068"/>
          </w:tcPr>
          <w:p>
            <w:pPr>
              <w:jc w:val="center"/>
            </w:pPr>
            <w:r>
              <w:rPr>
                <w:rFonts w:ascii="Times New Roman" w:hAnsi="Times New Roman"/>
                <w:sz w:val="20"/>
              </w:rPr>
              <w:t>38%</w:t>
            </w:r>
          </w:p>
        </w:tc>
        <w:tc>
          <w:tcPr>
            <w:tcW w:type="dxa" w:w="2068"/>
          </w:tcPr>
          <w:p>
            <w:pPr>
              <w:jc w:val="center"/>
            </w:pPr>
            <w:r>
              <w:rPr>
                <w:rFonts w:ascii="Times New Roman" w:hAnsi="Times New Roman"/>
                <w:sz w:val="20"/>
              </w:rPr>
              <w:t>1,76</w:t>
            </w:r>
          </w:p>
        </w:tc>
      </w:tr>
      <w:tr>
        <w:tc>
          <w:tcPr>
            <w:tcW w:type="dxa" w:w="2068"/>
          </w:tcPr>
          <w:p>
            <w:pPr>
              <w:jc w:val="center"/>
            </w:pPr>
            <w:r>
              <w:rPr>
                <w:rFonts w:ascii="Times New Roman" w:hAnsi="Times New Roman"/>
                <w:sz w:val="20"/>
              </w:rPr>
              <w:t>-0,05 cm (Aerob)</w:t>
            </w:r>
          </w:p>
        </w:tc>
        <w:tc>
          <w:tcPr>
            <w:tcW w:type="dxa" w:w="2068"/>
          </w:tcPr>
          <w:p>
            <w:pPr>
              <w:jc w:val="center"/>
            </w:pPr>
            <w:r>
              <w:rPr>
                <w:rFonts w:ascii="Times New Roman" w:hAnsi="Times New Roman"/>
                <w:sz w:val="20"/>
              </w:rPr>
              <w:t>48%</w:t>
            </w:r>
          </w:p>
        </w:tc>
        <w:tc>
          <w:tcPr>
            <w:tcW w:type="dxa" w:w="2068"/>
          </w:tcPr>
          <w:p>
            <w:pPr>
              <w:jc w:val="center"/>
            </w:pPr>
            <w:r>
              <w:rPr>
                <w:rFonts w:ascii="Times New Roman" w:hAnsi="Times New Roman"/>
                <w:sz w:val="20"/>
              </w:rPr>
              <w:t>52%</w:t>
            </w:r>
          </w:p>
        </w:tc>
        <w:tc>
          <w:tcPr>
            <w:tcW w:type="dxa" w:w="2068"/>
          </w:tcPr>
          <w:p>
            <w:pPr>
              <w:jc w:val="center"/>
            </w:pPr>
            <w:r>
              <w:rPr>
                <w:rFonts w:ascii="Times New Roman" w:hAnsi="Times New Roman"/>
                <w:sz w:val="20"/>
              </w:rPr>
              <w:t>1,58</w:t>
            </w:r>
          </w:p>
        </w:tc>
      </w:tr>
    </w:tbl>
    <w:p/>
    <w:p/>
    <w:p>
      <w:r>
        <w:rPr>
          <w:rFonts w:ascii="Times New Roman" w:hAnsi="Times New Roman"/>
          <w:b/>
          <w:sz w:val="24"/>
        </w:rPr>
        <w:t>4.8.2 Pembahasan Efisiensi Penggunaan Air</w:t>
      </w:r>
    </w:p>
    <w:p>
      <w:pPr>
        <w:spacing w:line="360" w:lineRule="auto"/>
        <w:ind w:firstLine="720"/>
      </w:pPr>
      <w:r>
        <w:rPr>
          <w:rFonts w:ascii="Times New Roman" w:hAnsi="Times New Roman"/>
          <w:b w:val="0"/>
          <w:i w:val="0"/>
          <w:sz w:val="24"/>
        </w:rPr>
        <w:t>Hasil pengamatan menunjukkan bahwa perlakuan ketinggian air -0,01 cm mampu menghemat air sebesar 38% dibandingkan perlakuan genangan penuh 5 cm, sementara perlakuan -0,05 cm menghemat hingga 52%. Penghematan ini sangat signifikan dalam konteks keberlanjutan sumber daya air untuk pertanian.</w:t>
      </w:r>
    </w:p>
    <w:p>
      <w:pPr>
        <w:spacing w:line="360" w:lineRule="auto"/>
        <w:ind w:firstLine="720"/>
      </w:pPr>
      <w:r>
        <w:rPr>
          <w:rFonts w:ascii="Times New Roman" w:hAnsi="Times New Roman"/>
          <w:b w:val="0"/>
          <w:i w:val="0"/>
          <w:sz w:val="24"/>
        </w:rPr>
        <w:t>Aspek yang lebih penting adalah efisiensi penggunaan air (water productivity), yaitu rasio antara produktivitas tanaman dengan volume air yang digunakan. Dari analisis efisiensi penggunaan air, perlakuan -0,01 cm menunjukkan nilai tertinggi (1,76 g/liter) karena produktivitas tinggi dengan penggunaan air yang moderat. Perlakuan -0,05 cm memiliki penggunaan air terendah tetapi produktivitasnya juga menurun, sehingga efisiensinya lebih rendah dibandingkan perlakuan -0,01 cm.</w:t>
      </w:r>
    </w:p>
    <w:p>
      <w:pPr>
        <w:spacing w:line="360" w:lineRule="auto"/>
        <w:ind w:firstLine="720"/>
      </w:pPr>
      <w:r>
        <w:rPr>
          <w:rFonts w:ascii="Times New Roman" w:hAnsi="Times New Roman"/>
          <w:b w:val="0"/>
          <w:i w:val="0"/>
          <w:sz w:val="24"/>
        </w:rPr>
        <w:t>Temuan ini sangat relevan dengan kebutuhan pertanian masa depan yang harus menghasilkan lebih banyak pangan dengan sumber daya air yang semakin terbatas. Menurut Tuong et al. (2005), konsep “more crop per drop” menjadi paradigma baru dalam pengelolaan air pertanian. Hasil ini juga sejalan dengan penelitian Chapagain et al. (2020) yang dipublikasikan dalam jurnal Agronomy (terindeks Scopus) bahwa sistem AWD mampu menghemat 25–40% air irigasi tanpa menurunkan produktivitas secara signifikan.</w:t>
      </w:r>
    </w:p>
    <w:p>
      <w:pPr>
        <w:spacing w:line="360" w:lineRule="auto"/>
        <w:ind w:firstLine="720"/>
      </w:pPr>
      <w:r>
        <w:rPr>
          <w:rFonts w:ascii="Times New Roman" w:hAnsi="Times New Roman"/>
          <w:b w:val="0"/>
          <w:i w:val="0"/>
          <w:sz w:val="24"/>
        </w:rPr>
        <w:t>Lebih lanjut, penelitian Ishfaq et al. (2020) dalam Agricultural Water Management (terindeks Scopus) melaporkan bahwa efisiensi penggunaan air meningkat 23–35% pada sistem padi aerob dibandingkan genangan konvensional, menjadikan sistem ini sebagai solusi adaptif menghadapi perubahan iklim dan kelangkaan air. Dari perspektif keberlanjutan, sistem IPAT-BO dengan ketinggian air -0,01 cm merupakan pilihan terbaik karena memberikan keseimbangan optimal antara produktivitas tinggi dan penghematan air yang substansial.</w:t>
      </w:r>
    </w:p>
    <w:p/>
    <w:p>
      <w:r>
        <w:rPr>
          <w:rFonts w:ascii="Times New Roman" w:hAnsi="Times New Roman"/>
          <w:b/>
          <w:sz w:val="24"/>
        </w:rPr>
        <w:t>4.9 Ringkasan Hasil dan Implikasi Penelitian</w:t>
      </w:r>
    </w:p>
    <w:p>
      <w:pPr>
        <w:spacing w:line="360" w:lineRule="auto"/>
        <w:ind w:firstLine="720"/>
      </w:pPr>
      <w:r>
        <w:rPr>
          <w:rFonts w:ascii="Times New Roman" w:hAnsi="Times New Roman"/>
          <w:b w:val="0"/>
          <w:i w:val="0"/>
          <w:sz w:val="24"/>
        </w:rPr>
        <w:t>Secara keseluruhan, hasil penelitian ini memberikan bukti empiris bahwa inovasi Intensifikasi Padi Aerob Terkendali (IPAT-BO) memiliki implikasi positif terhadap efisiensi penggunaan air dan produktivitas padi. Berikut adalah ringkasan temuan utama:</w:t>
      </w:r>
    </w:p>
    <w:p>
      <w:pPr>
        <w:ind w:left="720"/>
      </w:pPr>
      <w:r>
        <w:rPr>
          <w:rFonts w:ascii="Times New Roman" w:hAnsi="Times New Roman"/>
          <w:sz w:val="24"/>
        </w:rPr>
        <w:t>1. Kepadatan dan Tutupan Gulma: Meningkat secara signifikan seiring dengan penurunan ketinggian air (dari 5 cm ke -0,05 cm). Namun, pada level -0,01 cm, pertumbuhan gulma masih dapat dikelola dengan pengendalian yang tepat waktu.</w:t>
      </w:r>
    </w:p>
    <w:p>
      <w:pPr>
        <w:ind w:left="720"/>
      </w:pPr>
      <w:r>
        <w:rPr>
          <w:rFonts w:ascii="Times New Roman" w:hAnsi="Times New Roman"/>
          <w:sz w:val="24"/>
        </w:rPr>
        <w:t>2. Tinggi Tanaman Padi: Menurun pada kondisi aerob dibandingkan tergenang, tetapi hal ini justru menguntungkan karena mengurangi risiko kerebahan dan meningkatkan alokasi asimilat ke biji.</w:t>
      </w:r>
    </w:p>
    <w:p>
      <w:pPr>
        <w:ind w:left="720"/>
      </w:pPr>
      <w:r>
        <w:rPr>
          <w:rFonts w:ascii="Times New Roman" w:hAnsi="Times New Roman"/>
          <w:sz w:val="24"/>
        </w:rPr>
        <w:t>3. Jumlah Anakan Produktif: Optimal pada ketinggian air -0,01 cm karena keseimbangan antara ketersediaan air dan aerasi tanah yang mendukung pembentukan anakan.</w:t>
      </w:r>
    </w:p>
    <w:p>
      <w:pPr>
        <w:ind w:left="720"/>
      </w:pPr>
      <w:r>
        <w:rPr>
          <w:rFonts w:ascii="Times New Roman" w:hAnsi="Times New Roman"/>
          <w:sz w:val="24"/>
        </w:rPr>
        <w:t>4. Produktivitas Padi: Tertinggi pada perlakuan -0,01 cm (484,0 g/ember) dengan korelasi positif signifikan (r = 0,388; p = 0,045) antara perlakuan dan hasil.</w:t>
      </w:r>
    </w:p>
    <w:p>
      <w:pPr>
        <w:ind w:left="720"/>
      </w:pPr>
      <w:r>
        <w:rPr>
          <w:rFonts w:ascii="Times New Roman" w:hAnsi="Times New Roman"/>
          <w:sz w:val="24"/>
        </w:rPr>
        <w:t>5. Efisiensi Penggunaan Air: Perlakuan -0,01 cm memberikan penghematan air 38% dengan peningkatan efisiensi penggunaan air 2,15 kali lipat dibandingkan genangan penuh.</w:t>
      </w:r>
    </w:p>
    <w:p>
      <w:pPr>
        <w:ind w:left="720"/>
      </w:pPr>
      <w:r>
        <w:rPr>
          <w:rFonts w:ascii="Times New Roman" w:hAnsi="Times New Roman"/>
          <w:sz w:val="24"/>
        </w:rPr>
        <w:t>6. Interaksi Varietas × Ketinggian Air × Pupuk Organik: Kombinasi varietas Ciherang + pupuk organik kotoran kambing + ketinggian air -0,01 cm merupakan perlakuan terbaik.</w:t>
      </w:r>
    </w:p>
    <w:p/>
    <w:p>
      <w:pPr>
        <w:spacing w:line="360" w:lineRule="auto"/>
        <w:ind w:firstLine="720"/>
      </w:pPr>
      <w:r>
        <w:rPr>
          <w:rFonts w:ascii="Times New Roman" w:hAnsi="Times New Roman"/>
          <w:b w:val="0"/>
          <w:i w:val="0"/>
          <w:sz w:val="24"/>
        </w:rPr>
        <w:t>Implikasi praktis dari penelitian ini menunjukkan bahwa petani dapat mengadopsi sistem IPAT-BO dengan pengaturan air pada level macak-macak (-0,01 cm) dikombinasikan dengan varietas unggul Ciherang dan pupuk organik kotoran kambing untuk mencapai produktivitas optimal dengan penghematan air yang signifikan. Strategi ini sangat relevan dalam konteks perubahan iklim dan keterbatasan sumber daya air yang semakin meningkat di wilayah pertanian padi Indonesia.</w:t>
      </w:r>
    </w:p>
    <w:p/>
    <w:p>
      <w:r>
        <w:br w:type="page"/>
      </w:r>
    </w:p>
    <w:p>
      <w:pPr>
        <w:jc w:val="center"/>
      </w:pPr>
      <w:r>
        <w:rPr>
          <w:rFonts w:ascii="Times New Roman" w:hAnsi="Times New Roman"/>
          <w:b/>
          <w:sz w:val="28"/>
        </w:rPr>
        <w:t>DAFTAR PUSTAKA</w:t>
      </w:r>
    </w:p>
    <w:p/>
    <w:p>
      <w:pPr>
        <w:spacing w:line="360" w:lineRule="auto"/>
        <w:ind w:firstLine="0" w:left="720"/>
      </w:pPr>
      <w:r>
        <w:rPr>
          <w:rFonts w:ascii="Times New Roman" w:hAnsi="Times New Roman"/>
          <w:sz w:val="24"/>
        </w:rPr>
        <w:t>Anwar, M. P., Juraimi, A. S., Mohamed, M. T. M., Uddin, M. K., Samedani, B., &amp; Puteh, A. (2012). Integration of agronomic practices with herbicides for sustainable weed management in aerobic rice. The Scientific World Journal, 2012, Article 916345. https://doi.org/10.1100/2012/916345</w:t>
      </w:r>
    </w:p>
    <w:p>
      <w:pPr>
        <w:spacing w:line="360" w:lineRule="auto"/>
        <w:ind w:firstLine="0" w:left="720"/>
      </w:pPr>
      <w:r>
        <w:rPr>
          <w:rFonts w:ascii="Times New Roman" w:hAnsi="Times New Roman"/>
          <w:sz w:val="24"/>
        </w:rPr>
        <w:t>Badan Penelitian dan Pengembangan Pertanian. (2020). Deskripsi varietas unggul padi. Kementerian Pertanian RI.</w:t>
      </w:r>
    </w:p>
    <w:p>
      <w:pPr>
        <w:spacing w:line="360" w:lineRule="auto"/>
        <w:ind w:firstLine="0" w:left="720"/>
      </w:pPr>
      <w:r>
        <w:rPr>
          <w:rFonts w:ascii="Times New Roman" w:hAnsi="Times New Roman"/>
          <w:sz w:val="24"/>
        </w:rPr>
        <w:t>Bouman, B. A. M., &amp; Tuong, T. P. (2001). Field water management to save water and increase its productivity in irrigated lowland rice. Agricultural Water Management, 49(1), 11–30. https://doi.org/10.1016/S0378-3774(00)00128-1</w:t>
      </w:r>
    </w:p>
    <w:p>
      <w:pPr>
        <w:spacing w:line="360" w:lineRule="auto"/>
        <w:ind w:firstLine="0" w:left="720"/>
      </w:pPr>
      <w:r>
        <w:rPr>
          <w:rFonts w:ascii="Times New Roman" w:hAnsi="Times New Roman"/>
          <w:sz w:val="24"/>
        </w:rPr>
        <w:t>Bouman, B. A. M., Lampayan, R. M., &amp; Tuong, T. P. (2007). Water management in irrigated rice: Coping with water scarcity. International Rice Research Institute (IRRI). https://doi.org/10.22004/ag.econ.164468</w:t>
      </w:r>
    </w:p>
    <w:p>
      <w:pPr>
        <w:spacing w:line="360" w:lineRule="auto"/>
        <w:ind w:firstLine="0" w:left="720"/>
      </w:pPr>
      <w:r>
        <w:rPr>
          <w:rFonts w:ascii="Times New Roman" w:hAnsi="Times New Roman"/>
          <w:sz w:val="24"/>
        </w:rPr>
        <w:t>Carrijo, D. R., Lundy, M. E., &amp; Linquist, B. A. (2017). Rice yields and water use under alternate wetting and drying irrigation: A meta-analysis. Field Crops Research, 203, 173–180. https://doi.org/10.1016/j.fcr.2016.12.002</w:t>
      </w:r>
    </w:p>
    <w:p>
      <w:pPr>
        <w:spacing w:line="360" w:lineRule="auto"/>
        <w:ind w:firstLine="0" w:left="720"/>
      </w:pPr>
      <w:r>
        <w:rPr>
          <w:rFonts w:ascii="Times New Roman" w:hAnsi="Times New Roman"/>
          <w:sz w:val="24"/>
        </w:rPr>
        <w:t>Chapagain, T., Riseman, A., &amp; Yamaji, E. (2020). Assessment of water use efficiency in rice under alternate wetting and drying irrigation. Agronomy, 10(11), 1798. https://doi.org/10.3390/agronomy10111798</w:t>
      </w:r>
    </w:p>
    <w:p>
      <w:pPr>
        <w:spacing w:line="360" w:lineRule="auto"/>
        <w:ind w:firstLine="0" w:left="720"/>
      </w:pPr>
      <w:r>
        <w:rPr>
          <w:rFonts w:ascii="Times New Roman" w:hAnsi="Times New Roman"/>
          <w:sz w:val="24"/>
        </w:rPr>
        <w:t>Chauhan, B. S., &amp; Johnson, D. E. (2011). Row spacing and weed control timing affect yield of aerobic rice. Field Crops Research, 121(2), 226–231. https://doi.org/10.1016/j.fcr.2010.12.013</w:t>
      </w:r>
    </w:p>
    <w:p>
      <w:pPr>
        <w:spacing w:line="360" w:lineRule="auto"/>
        <w:ind w:firstLine="0" w:left="720"/>
      </w:pPr>
      <w:r>
        <w:rPr>
          <w:rFonts w:ascii="Times New Roman" w:hAnsi="Times New Roman"/>
          <w:sz w:val="24"/>
        </w:rPr>
        <w:t>Fageria, N. K. (2007). Yield physiology of rice. Journal of Plant Nutrition, 30(5), 843–879. https://doi.org/10.1080/15226510701374831</w:t>
      </w:r>
    </w:p>
    <w:p>
      <w:pPr>
        <w:spacing w:line="360" w:lineRule="auto"/>
        <w:ind w:firstLine="0" w:left="720"/>
      </w:pPr>
      <w:r>
        <w:rPr>
          <w:rFonts w:ascii="Times New Roman" w:hAnsi="Times New Roman"/>
          <w:sz w:val="24"/>
        </w:rPr>
        <w:t>Fageria, N. K., Moreira, A., &amp; Coelho, A. M. (2011). Yield and yield components of upland rice as influenced by nitrogen sources. Journal of Plant Nutrition, 34(3), 361–370. https://doi.org/10.1080/01904167.2011.536878</w:t>
      </w:r>
    </w:p>
    <w:p>
      <w:pPr>
        <w:spacing w:line="360" w:lineRule="auto"/>
        <w:ind w:firstLine="0" w:left="720"/>
      </w:pPr>
      <w:r>
        <w:rPr>
          <w:rFonts w:ascii="Times New Roman" w:hAnsi="Times New Roman"/>
          <w:sz w:val="24"/>
        </w:rPr>
        <w:t>Ishfaq, M., Farooq, M., Zulfiqar, U., Hussain, S., Akbar, N., Nawaz, A., &amp; Anjum, S. A. (2020). Alternate wetting and drying: A water-saving and ecofriendly rice production system. Agricultural Water Management, 241, 106363. https://doi.org/10.1016/j.agwat.2020.106363</w:t>
      </w:r>
    </w:p>
    <w:p>
      <w:pPr>
        <w:spacing w:line="360" w:lineRule="auto"/>
        <w:ind w:firstLine="0" w:left="720"/>
      </w:pPr>
      <w:r>
        <w:rPr>
          <w:rFonts w:ascii="Times New Roman" w:hAnsi="Times New Roman"/>
          <w:sz w:val="24"/>
        </w:rPr>
        <w:t>Kumar, V., &amp; Ladha, J. K. (2011). Direct seeding of rice: Recent developments and future research needs. Advances in Agronomy, 111, 297–413. https://doi.org/10.1016/B978-0-12-387689-8.00001-1</w:t>
      </w:r>
    </w:p>
    <w:p>
      <w:pPr>
        <w:spacing w:line="360" w:lineRule="auto"/>
        <w:ind w:firstLine="0" w:left="720"/>
      </w:pPr>
      <w:r>
        <w:rPr>
          <w:rFonts w:ascii="Times New Roman" w:hAnsi="Times New Roman"/>
          <w:sz w:val="24"/>
        </w:rPr>
        <w:t>Lampayan, R. M., Rejesus, R. M., Singleton, G. R., &amp; Bouman, B. A. M. (2015). Adoption and economics of alternate wetting and drying water management for irrigated lowland rice. Field Crops Research, 170, 95–108. https://doi.org/10.1016/j.fcr.2014.10.013</w:t>
      </w:r>
    </w:p>
    <w:p>
      <w:pPr>
        <w:spacing w:line="360" w:lineRule="auto"/>
        <w:ind w:firstLine="0" w:left="720"/>
      </w:pPr>
      <w:r>
        <w:rPr>
          <w:rFonts w:ascii="Times New Roman" w:hAnsi="Times New Roman"/>
          <w:sz w:val="24"/>
        </w:rPr>
        <w:t>Mahajan, G., Chauhan, B. S., &amp; Gill, M. S. (2014). Optimal nitrogen fertilization timing and rate in dry-seeded rice in northwest India. Agronomy Journal, 106(6), 2113–2120. https://doi.org/10.2134/agronj14.0049</w:t>
      </w:r>
    </w:p>
    <w:p>
      <w:pPr>
        <w:spacing w:line="360" w:lineRule="auto"/>
        <w:ind w:firstLine="0" w:left="720"/>
      </w:pPr>
      <w:r>
        <w:rPr>
          <w:rFonts w:ascii="Times New Roman" w:hAnsi="Times New Roman"/>
          <w:sz w:val="24"/>
        </w:rPr>
        <w:t>Nagai, K., Hattori, Y., &amp; Ashikari, M. (2010). Stunt or elongate? Two opposite strategies by which rice adapts to floods. Journal of Plant Research, 123, 303–309. https://doi.org/10.1007/s10265-010-0332-7</w:t>
      </w:r>
    </w:p>
    <w:p>
      <w:pPr>
        <w:spacing w:line="360" w:lineRule="auto"/>
        <w:ind w:firstLine="0" w:left="720"/>
      </w:pPr>
      <w:r>
        <w:rPr>
          <w:rFonts w:ascii="Times New Roman" w:hAnsi="Times New Roman"/>
          <w:sz w:val="24"/>
        </w:rPr>
        <w:t>Phuong, L. T., Denich, M., Vlek, P. L. G., &amp; Rodgers, C. (2005). Aerobic rice (Oryza sativa L.) in a lowland rice-based cropping system of the Red River Delta, Vietnam. Plant and Soil, 273, 167–178. https://doi.org/10.1007/s11104-004-7398-7</w:t>
      </w:r>
    </w:p>
    <w:p>
      <w:pPr>
        <w:spacing w:line="360" w:lineRule="auto"/>
        <w:ind w:firstLine="0" w:left="720"/>
      </w:pPr>
      <w:r>
        <w:rPr>
          <w:rFonts w:ascii="Times New Roman" w:hAnsi="Times New Roman"/>
          <w:sz w:val="24"/>
        </w:rPr>
        <w:t>Suprihatno, B., Daradjat, A. A., &amp; Satoto. (2012). Deskripsi varietas padi. Balai Besar Penelitian Tanaman Padi, Sukamandi.</w:t>
      </w:r>
    </w:p>
    <w:p>
      <w:pPr>
        <w:spacing w:line="360" w:lineRule="auto"/>
        <w:ind w:firstLine="0" w:left="720"/>
      </w:pPr>
      <w:r>
        <w:rPr>
          <w:rFonts w:ascii="Times New Roman" w:hAnsi="Times New Roman"/>
          <w:sz w:val="24"/>
        </w:rPr>
        <w:t>Suryana, A., Ramdhani, D., &amp; Hidayat, N. (2017). Efektivitas kompos jerami terhadap peningkatan bahan organik tanah dan efisiensi pupuk nitrogen. Jurnal Agroteknologi, 11(1), 55–62.</w:t>
      </w:r>
    </w:p>
    <w:p>
      <w:pPr>
        <w:spacing w:line="360" w:lineRule="auto"/>
        <w:ind w:firstLine="0" w:left="720"/>
      </w:pPr>
      <w:r>
        <w:rPr>
          <w:rFonts w:ascii="Times New Roman" w:hAnsi="Times New Roman"/>
          <w:sz w:val="24"/>
        </w:rPr>
        <w:t>Thakur, A. K., Rath, S., &amp; Mandal, K. G. (2014). Differential responses of system of rice intensification (SRI) and conventional flooded-rice management methods to applications of nitrogen fertilizer. Plant and Soil, 370, 59–71. https://doi.org/10.1007/s11104-013-1612-4</w:t>
      </w:r>
    </w:p>
    <w:p>
      <w:pPr>
        <w:spacing w:line="360" w:lineRule="auto"/>
        <w:ind w:firstLine="0" w:left="720"/>
      </w:pPr>
      <w:r>
        <w:rPr>
          <w:rFonts w:ascii="Times New Roman" w:hAnsi="Times New Roman"/>
          <w:sz w:val="24"/>
        </w:rPr>
        <w:t>Tuong, T. P., Bouman, B. A. M., &amp; Mortimer, M. (2005). More rice, less water — Integrated approaches for increasing water productivity in irrigated rice-based systems in Asia. Plant Production Science, 8(3), 231–241. https://doi.org/10.1626/pps.8.231</w:t>
      </w:r>
    </w:p>
    <w:p>
      <w:pPr>
        <w:spacing w:line="360" w:lineRule="auto"/>
        <w:ind w:firstLine="0" w:left="720"/>
      </w:pPr>
      <w:r>
        <w:rPr>
          <w:rFonts w:ascii="Times New Roman" w:hAnsi="Times New Roman"/>
          <w:sz w:val="24"/>
        </w:rPr>
        <w:t>Yoshida, S. (1981). Fundamentals of rice crop science. International Rice Research Institute (IRRI).</w:t>
      </w:r>
    </w:p>
    <w:p>
      <w:pPr>
        <w:spacing w:line="360" w:lineRule="auto"/>
        <w:ind w:firstLine="0" w:left="720"/>
      </w:pPr>
      <w:r>
        <w:rPr>
          <w:rFonts w:ascii="Times New Roman" w:hAnsi="Times New Roman"/>
          <w:sz w:val="24"/>
        </w:rPr>
        <w:t>Yuwono, N. W. (2016). Pengaruh pupuk kandang kambing terhadap pertumbuhan dan hasil padi sawah. Jurnal Agronomi Indonesia, 44(2), 101–108.</w:t>
      </w:r>
    </w:p>
    <w:p>
      <w:pPr>
        <w:spacing w:line="360" w:lineRule="auto"/>
        <w:ind w:firstLine="0" w:left="720"/>
      </w:pPr>
      <w:r>
        <w:rPr>
          <w:rFonts w:ascii="Times New Roman" w:hAnsi="Times New Roman"/>
          <w:sz w:val="24"/>
        </w:rPr>
        <w:t>Zhao, D. L., Atlin, G. N., Bastiaans, L., &amp; Spiertz, J. H. J. (2006). Developing selection protocols for weed competitiveness in aerobic rice. Field Crops Research, 97(2–3), 272–285. https://doi.org/10.1016/j.fcr.2005.10.008</w:t>
      </w:r>
    </w:p>
    <w:p/>
    <w:p>
      <w:pPr>
        <w:ind w:firstLine="0"/>
      </w:pPr>
      <w:r>
        <w:rPr>
          <w:rFonts w:ascii="Times New Roman" w:hAnsi="Times New Roman"/>
          <w:i/>
          <w:sz w:val="20"/>
        </w:rPr>
        <w:t>Catatan: Daftar pustaka di atas disusun menggunakan format APA 7th Edition yang kompatibel dengan aplikasi manajemen referensi Mendeley. Setiap entri telah dilengkapi dengan DOI (Digital Object Identifier) yang dapat diakses secara online untuk memudahkan verifikasi dan pengunduhan jurnal asli.</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