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Business Requirements Document</w:t>
      </w:r>
    </w:p>
    <w:p>
      <w:pPr>
        <w:pBdr>
          <w:bottom w:val="single" w:color="1F3864" w:sz="12" w:space="6"/>
        </w:pBdr>
        <w:spacing w:after="240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FMCG Sales, Marketing &amp; Profitability Analytics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FMCG Sales, Marketing &amp; Profitability Analytics Dashboard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 – Draft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September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Ntiyiso Ndhlovu, Business Analyst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Chief Commercial Officer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FMCG Sales, Marketing &amp; Profitability dataset (18,240 orders; 2023–2025)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Purpose and background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business sells across five regions, four sales channels, and five product categories. Leadership does not have a single view of where the business makes money, whether marketing spend is paying off, where margin is eroding, how B2B compares with B2C, and where sales are headed next.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sets out the requirements for a six-page Power BI dashboard covering profitability, marketing ROI, a sales forecast, margin erosion, country performance, and the B2B/B2C split.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consistent view of profitability across the business.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clear read on whether marketing and promotional spend is generating a return.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short-term sales forecast to support planning.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Visibility into where and why profit margin is eroding.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ranked view of country performance to guide market investment.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understanding of how B2B and B2C customers differ in value and behaviour.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Scope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In scope — six case studies, one page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Profitability Analysis: revenue, profit, and margin across categories, brands, and channels.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Marketing ROI: promotion type and marketing spend measured against profit and margin.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Sales Forecasting: a short-term forecast of revenue or units, built on the 2023–2025 trend.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Margin Erosion Analysis: how discounting and cost structure affect margin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Country Performance: revenue, profit, and margin by country, with top and bottom markets identified.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B2B vs B2C Analysis: how the two customer types differ in revenue, margin, and channel mix.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Forecasting using external factors such as macroeconomic indicators, competitor activity, or weather. The forecast is based on this dataset's own historical trend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Customer-level analysis. The dataset has no unique customer identifier, so analysis stops at the transaction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Currency conversion. All figures are provided and reported in USD.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or scheduled data refresh.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Stakeholders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Chief Commercial Officer (sponsor)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Overall profitability, the forecast, and where to focus investment.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Marketing lead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Whether promotions and marketing spend are improving or eroding profit.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Finance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Margin erosion, cost structure, and forecast accuracy.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Regional sales leads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Country-level performance and B2B/B2C mix in their market.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 and brand managers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Profitability by category and brand.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Business requirements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Priority follows MoSCoW: Must, Should, Could, Won't.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38"/>
        <w:gridCol w:w="1400"/>
        <w:gridCol w:w="21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Delivered 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 profitability KPIs — revenue, profit, margin, units sold — with a trend over 2023–2025.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1: Profitability Analysis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and margin by product category, brand, and sales channel.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1: Profitability Analysis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margin and order volume across promotion types, including "No Promo" as a baseline.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2: Marketing ROI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marketing ROI measure relating marketing spend to profit generated, by promotion type and category.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2: Marketing ROI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short-term forecast of revenue or units sold, based on the 2023–2025 trend.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3: Sales Forecasting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BR-06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forecasting method and its limitations, stated alongside the forecast.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3: Sales Forecasting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BR-07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relationship between discount depth and profit margin.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4: Margin Erosion Analysis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BR-08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Margin trend over time by category (quarterly), to show where erosion is occurring.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4: Margin Erosion Analysis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BR-09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structure — COGS, logistics, marketing — as a share of gross sales, by category.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4: Margin Erosion Analysis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Revenue, profit, and margin by country, with top and bottom markets identified.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5: Country Performance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Drill-down from country to city.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5: Country Performance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B2B vs B2C comparison on revenue, margin, discount depth, and channel mix.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6: B2B vs B2C Analysis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BR-13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customer type is more profitable, by category and by region.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6: B2B vs B2C Analysis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BR-14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Written findings and recommendations for each of the six case studies.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pages and README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BR-15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filters (region, date range) and drill-through between pages, so a selection carries across the dashboard rather than resetting on every page.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pages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Data requirements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Source: FMCG Sales, Marketing &amp; Profitability dataset. 18,240 rows, 27 columns, no missing values, one row per order line. Covers 2023–2025, 5 regions, 17 countries, 48 cities, 5 product categories, 17 brands, 4 sales channels, 7 promotion types, 2 customer types, and 36 sales representatives.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Data model: a star schema with FactOrders at order-line grain, and dimension tables for product (category, brand, product, SKU), geography (region, country, city), sales rep, promotion, customer type, channel, and a date table spanning 2023-01-01 to 2025-12-31.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Forecasting: built on the dataset's own monthly or quarterly revenue trend, using a time-series method suited to a three-year history — exponential smoothing or a modelled trend line — rather than an external predictive model.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KPI (Net Revenue, Profit, Profit Margin, Marketing ROI) is defined once and implemented as a DAX measure.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Non-functional requirements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Usability: each page answers one question, with takeaway-style titles and a consistent colour scheme.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Reliability: all visuals use explicit measures, and totals reconcile to the source data — 18,240 orders, $14.45M net revenue, $3.31M profit.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Documentation: a README covering the model diagram, measure list, findings per case study, forecast method, and limitations.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Navigation: the six pages work as one dashboard, not six standalone reports. Region and date filters sync across pages, and a country selected on one page (e.g. Country Performance) can be carried into another (e.g. Profitability Analysis) via drill-through or a synced slicer.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Assumptions, constraints, and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Assumption / risk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dataset is synthetic; findings demonstrate method rather than real-world outcomes.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this plainly in the README and on the report.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sales forecast rests on three years of history with no external factors.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the method and its limitations directly on the forecast page.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Promotion type correlates with margin; correlation is not proof that promotions cause lower margin.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marketing ROI findings as associations, not causes.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unique customer ID limits B2B vs B2C analysis to aggregate patterns.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this as a limitation; no customer-level retention or lifetime value claims.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 cities is granular enough that some markets will have small sample sizes.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order count alongside country and city-level figures.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9.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orders = 18,240 and total net revenue = $14,449,920, matching the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rate or margin visual shows the underlying order count or revenue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forecast page states its method and does not overstate certainty.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slicers cross-filter every visual on their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business requirement traces to a visual.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Findings and limitations are written up in plain language for all six case studies.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region or date selection made on one page still applies after navigating to another page.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sponsor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developer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8"/>
        <w:szCs w:val="18"/>
      </w:rPr>
      <w:t xml:space="preserve"> of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FMCG Sales, Marketing &amp; Profitability Analytics – BRD v1.1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– FMCG Sales, Marketing &amp; Profitability Analytics</dc:title>
  <dc:creator>Business Analyst</dc:creator>
  <cp:lastModifiedBy>Un-named</cp:lastModifiedBy>
  <cp:revision>1</cp:revision>
  <dcterms:created xsi:type="dcterms:W3CDTF">2026-09-24T18:08:44.031Z</dcterms:created>
  <dcterms:modified xsi:type="dcterms:W3CDTF">2026-09-24T18:08:44.039Z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