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Agrobacterium tumefaciens</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Agrobacterium tumefaciens</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(Smith &amp; Townsend) Conn</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Bacteria: Proteobacteria: Alphaproteobacteria: Rhizobiales: Rhizobiaceae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Achromobacter radiobacter</w:t>
            </w:r>
            <w:r>
              <w:rPr>
                <w:rFonts w:ascii="Calibri" w:hAnsi="Calibri" w:eastAsia="Calibri" w:cs="Calibri"/>
                <w:color w:val="000000"/>
                <w:position w:val="-3"/>
                <w:sz w:val="22"/>
                <w:szCs w:val="22"/>
              </w:rPr>
              <w:t xml:space="preserve"> (Beijerinck &amp; van Delden) Bergey, </w:t>
            </w:r>
            <w:r>
              <w:rPr>
                <w:rFonts w:ascii="Calibri" w:hAnsi="Calibri" w:eastAsia="Calibri" w:cs="Calibri"/>
                <w:i/>
                <w:iCs/>
                <w:color w:val="000000"/>
                <w:position w:val="-3"/>
                <w:sz w:val="22"/>
                <w:szCs w:val="22"/>
              </w:rPr>
              <w:t xml:space="preserve">Agrobacterium radiobacter var. radiobacter</w:t>
            </w:r>
            <w:r>
              <w:rPr>
                <w:rFonts w:ascii="Calibri" w:hAnsi="Calibri" w:eastAsia="Calibri" w:cs="Calibri"/>
                <w:color w:val="000000"/>
                <w:position w:val="-3"/>
                <w:sz w:val="22"/>
                <w:szCs w:val="22"/>
              </w:rPr>
              <w:t xml:space="preserve"> (Beijerinck &amp; van Delden) Conn, </w:t>
            </w:r>
            <w:r>
              <w:rPr>
                <w:rFonts w:ascii="Calibri" w:hAnsi="Calibri" w:eastAsia="Calibri" w:cs="Calibri"/>
                <w:i/>
                <w:iCs/>
                <w:color w:val="000000"/>
                <w:position w:val="-3"/>
                <w:sz w:val="22"/>
                <w:szCs w:val="22"/>
              </w:rPr>
              <w:t xml:space="preserve">Agrobacterium radiobacter subsp. tumefaciens</w:t>
            </w:r>
            <w:r>
              <w:rPr>
                <w:rFonts w:ascii="Calibri" w:hAnsi="Calibri" w:eastAsia="Calibri" w:cs="Calibri"/>
                <w:color w:val="000000"/>
                <w:position w:val="-3"/>
                <w:sz w:val="22"/>
                <w:szCs w:val="22"/>
              </w:rPr>
              <w:t xml:space="preserve"> (Beijerinck &amp; van Delden) Conn, </w:t>
            </w:r>
            <w:r>
              <w:rPr>
                <w:rFonts w:ascii="Calibri" w:hAnsi="Calibri" w:eastAsia="Calibri" w:cs="Calibri"/>
                <w:i/>
                <w:iCs/>
                <w:color w:val="000000"/>
                <w:position w:val="-3"/>
                <w:sz w:val="22"/>
                <w:szCs w:val="22"/>
              </w:rPr>
              <w:t xml:space="preserve">Alcaligenes radiobacter</w:t>
            </w:r>
            <w:r>
              <w:rPr>
                <w:rFonts w:ascii="Calibri" w:hAnsi="Calibri" w:eastAsia="Calibri" w:cs="Calibri"/>
                <w:color w:val="000000"/>
                <w:position w:val="-3"/>
                <w:sz w:val="22"/>
                <w:szCs w:val="22"/>
              </w:rPr>
              <w:t xml:space="preserve"> (Beijerinck &amp; van Delden) Conn, </w:t>
            </w:r>
            <w:r>
              <w:rPr>
                <w:rFonts w:ascii="Calibri" w:hAnsi="Calibri" w:eastAsia="Calibri" w:cs="Calibri"/>
                <w:i/>
                <w:iCs/>
                <w:color w:val="000000"/>
                <w:position w:val="-3"/>
                <w:sz w:val="22"/>
                <w:szCs w:val="22"/>
              </w:rPr>
              <w:t xml:space="preserve">Bacillus radiobacter</w:t>
            </w:r>
            <w:r>
              <w:rPr>
                <w:rFonts w:ascii="Calibri" w:hAnsi="Calibri" w:eastAsia="Calibri" w:cs="Calibri"/>
                <w:color w:val="000000"/>
                <w:position w:val="-3"/>
                <w:sz w:val="22"/>
                <w:szCs w:val="22"/>
              </w:rPr>
              <w:t xml:space="preserve"> Beijerinck &amp; van Delden, </w:t>
            </w:r>
            <w:r>
              <w:rPr>
                <w:rFonts w:ascii="Calibri" w:hAnsi="Calibri" w:eastAsia="Calibri" w:cs="Calibri"/>
                <w:i/>
                <w:iCs/>
                <w:color w:val="000000"/>
                <w:position w:val="-3"/>
                <w:sz w:val="22"/>
                <w:szCs w:val="22"/>
              </w:rPr>
              <w:t xml:space="preserve">Bacterium radiobacter</w:t>
            </w:r>
            <w:r>
              <w:rPr>
                <w:rFonts w:ascii="Calibri" w:hAnsi="Calibri" w:eastAsia="Calibri" w:cs="Calibri"/>
                <w:color w:val="000000"/>
                <w:position w:val="-3"/>
                <w:sz w:val="22"/>
                <w:szCs w:val="22"/>
              </w:rPr>
              <w:t xml:space="preserve"> Loehnis, </w:t>
            </w:r>
            <w:r>
              <w:rPr>
                <w:rFonts w:ascii="Calibri" w:hAnsi="Calibri" w:eastAsia="Calibri" w:cs="Calibri"/>
                <w:i/>
                <w:iCs/>
                <w:color w:val="000000"/>
                <w:position w:val="-3"/>
                <w:sz w:val="22"/>
                <w:szCs w:val="22"/>
              </w:rPr>
              <w:t xml:space="preserve">Bacterium tumefaciens</w:t>
            </w:r>
            <w:r>
              <w:rPr>
                <w:rFonts w:ascii="Calibri" w:hAnsi="Calibri" w:eastAsia="Calibri" w:cs="Calibri"/>
                <w:color w:val="000000"/>
                <w:position w:val="-3"/>
                <w:sz w:val="22"/>
                <w:szCs w:val="22"/>
              </w:rPr>
              <w:t xml:space="preserve"> E.F.Smith &amp; Townsend, </w:t>
            </w:r>
            <w:r>
              <w:rPr>
                <w:rFonts w:ascii="Calibri" w:hAnsi="Calibri" w:eastAsia="Calibri" w:cs="Calibri"/>
                <w:i/>
                <w:iCs/>
                <w:color w:val="000000"/>
                <w:position w:val="-3"/>
                <w:sz w:val="22"/>
                <w:szCs w:val="22"/>
              </w:rPr>
              <w:t xml:space="preserve">Pseudomonas radiobacter</w:t>
            </w:r>
            <w:r>
              <w:rPr>
                <w:rFonts w:ascii="Calibri" w:hAnsi="Calibri" w:eastAsia="Calibri" w:cs="Calibri"/>
                <w:color w:val="000000"/>
                <w:position w:val="-3"/>
                <w:sz w:val="22"/>
                <w:szCs w:val="22"/>
              </w:rPr>
              <w:t xml:space="preserve"> (Beijerinck &amp; van Delden) Bergey, </w:t>
            </w:r>
            <w:r>
              <w:rPr>
                <w:rFonts w:ascii="Calibri" w:hAnsi="Calibri" w:eastAsia="Calibri" w:cs="Calibri"/>
                <w:i/>
                <w:iCs/>
                <w:color w:val="000000"/>
                <w:position w:val="-3"/>
                <w:sz w:val="22"/>
                <w:szCs w:val="22"/>
              </w:rPr>
              <w:t xml:space="preserve">Pseudomonas tumefaciens</w:t>
            </w:r>
            <w:r>
              <w:rPr>
                <w:rFonts w:ascii="Calibri" w:hAnsi="Calibri" w:eastAsia="Calibri" w:cs="Calibri"/>
                <w:color w:val="000000"/>
                <w:position w:val="-3"/>
                <w:sz w:val="22"/>
                <w:szCs w:val="22"/>
              </w:rPr>
              <w:t xml:space="preserve"> (Smith &amp; Townsend) Duggar, </w:t>
            </w:r>
            <w:r>
              <w:rPr>
                <w:rFonts w:ascii="Calibri" w:hAnsi="Calibri" w:eastAsia="Calibri" w:cs="Calibri"/>
                <w:i/>
                <w:iCs/>
                <w:color w:val="000000"/>
                <w:position w:val="-3"/>
                <w:sz w:val="22"/>
                <w:szCs w:val="22"/>
              </w:rPr>
              <w:t xml:space="preserve">Rhizobium radiobacter</w:t>
            </w:r>
            <w:r>
              <w:rPr>
                <w:rFonts w:ascii="Calibri" w:hAnsi="Calibri" w:eastAsia="Calibri" w:cs="Calibri"/>
                <w:color w:val="000000"/>
                <w:position w:val="-3"/>
                <w:sz w:val="22"/>
                <w:szCs w:val="22"/>
              </w:rPr>
              <w:t xml:space="preserve"> (Beijerinck &amp; van Delden) Young, Kuykendall, Martinez-Romero, Kerr &amp; Sawada</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bacterial gall, bacterial gall, crown gall, hairy root of apple</w:t>
            </w:r>
            <w:hyperlink r:id="rId89626738bf379e127"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RNQP (Annex IV)</w:t>
            </w:r>
            <w:hyperlink r:id="rId35956738bf379e16b"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AGRBTU</w:t>
            </w:r>
          </w:p>
        </w:tc>
        <w:tc>
          <w:tcPr>
            <w:tcW w:w="2000" w:type="pct"/>
            <w:tcMar>
              <w:top w:w="15" w:type="dxa"/>
              <w:left w:w="15" w:type="dxa"/>
              <w:bottom w:w="15" w:type="dxa"/>
              <w:right w:w="15" w:type="dxa"/>
            </w:tcMar>
            <w:vAlign w:val="center"/>
          </w:tcPr>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r>
        <w:drawing>
          <wp:inline distT="0" distB="0" distL="0" distR="0">
            <wp:extent cx="6120000" cy="3067200"/>
            <wp:docPr id="16018051" name="name96266738bf379f029" descr="AGRBTU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BTU_distribution_map.jpg"/>
                    <pic:cNvPicPr/>
                  </pic:nvPicPr>
                  <pic:blipFill>
                    <a:blip r:embed="rId36416738bf379f025"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Algeria, Austria, Belgium, Bulgaria, Cyprus, Czech Republic, Denmark, Estonia, Finland, France (mainland), Germany, Greece (mainland), Hungary, Israel, Italy (mainland), Montenegro, Morocco, Netherlands, Norway, Poland, Romania, Russia (Eastern Siberia, European Russia, Western Siberia), Serbia, Slovakia, Spain (mainland), Sweden, Switzerland, Türkiye, Ukraine, United Kingdom</w:t>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Algeria, Egypt, Ethiopia, Kenya, Libya, Morocco, Mozambique, Seychelles, Somalia, South Africa, Tanzania, Uganda, Zambia, Zimbabwe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Afghanistan, China, India, Indonesia, Iran, Israel, Japan, Korea Dem. People's Republic, Korea, Republic, Lebanon, Malaysia, Saudi Arabia, Sri Lanka, Syria</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(Alberta, British Columbia, Manitoba, New Brunswick, Ontario, Prince Edward Island, Québec, Saskatchewan), Mexico, United States of America (Hawaii)</w:t>
      </w:r>
      <w:r>
        <w:rPr>
          <w:rFonts w:ascii="Calibri" w:hAnsi="Calibri" w:eastAsia="Calibri" w:cs="Calibri"/>
          <w:b/>
          <w:bCs/>
          <w:color w:val="000000"/>
          <w:sz w:val="22"/>
          <w:szCs w:val="22"/>
        </w:rPr>
        <w:br/>
        <w:t xml:space="preserve">Central America and Caribbean:</w:t>
      </w:r>
      <w:r>
        <w:rPr>
          <w:rFonts w:ascii="Calibri" w:hAnsi="Calibri" w:eastAsia="Calibri" w:cs="Calibri"/>
          <w:color w:val="000000"/>
          <w:sz w:val="22"/>
          <w:szCs w:val="22"/>
        </w:rPr>
        <w:t xml:space="preserve"> Bermuda, Cuba, Guadeloupe, Jamaica, Puerto Rico</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Argentina, Bolivia, Brazil, Chile, Colombia, French Guiana, Guyana, Peru, Uruguay, Venezuela</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(New South Wales, Queensland, South Australia, Victoria, Western Australia), New Zealand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Agrobacterium tumefaciens</w:t>
      </w:r>
      <w:r>
        <w:rPr>
          <w:rFonts w:ascii="Calibri" w:hAnsi="Calibri" w:eastAsia="Calibri" w:cs="Calibri"/>
          <w:color w:val="000000"/>
          <w:sz w:val="22"/>
          <w:szCs w:val="22"/>
        </w:rPr>
        <w:t xml:space="preserve">. EPPO datasheets on pests recommended for regulation. Available online. </w:t>
      </w:r>
      <w:hyperlink r:id="rId27176738bf379f447"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534394">
    <w:multiLevelType w:val="hybridMultilevel"/>
    <w:lvl w:ilvl="0" w:tplc="43127518">
      <w:start w:val="1"/>
      <w:numFmt w:val="decimal"/>
      <w:lvlText w:val="%1."/>
      <w:lvlJc w:val="left"/>
      <w:pPr>
        <w:ind w:left="720" w:hanging="360"/>
      </w:pPr>
    </w:lvl>
    <w:lvl w:ilvl="1" w:tplc="43127518" w:tentative="1">
      <w:start w:val="1"/>
      <w:numFmt w:val="lowerLetter"/>
      <w:lvlText w:val="%2."/>
      <w:lvlJc w:val="left"/>
      <w:pPr>
        <w:ind w:left="1440" w:hanging="360"/>
      </w:pPr>
    </w:lvl>
    <w:lvl w:ilvl="2" w:tplc="43127518" w:tentative="1">
      <w:start w:val="1"/>
      <w:numFmt w:val="lowerRoman"/>
      <w:lvlText w:val="%3."/>
      <w:lvlJc w:val="right"/>
      <w:pPr>
        <w:ind w:left="2160" w:hanging="180"/>
      </w:pPr>
    </w:lvl>
    <w:lvl w:ilvl="3" w:tplc="43127518" w:tentative="1">
      <w:start w:val="1"/>
      <w:numFmt w:val="decimal"/>
      <w:lvlText w:val="%4."/>
      <w:lvlJc w:val="left"/>
      <w:pPr>
        <w:ind w:left="2880" w:hanging="360"/>
      </w:pPr>
    </w:lvl>
    <w:lvl w:ilvl="4" w:tplc="43127518" w:tentative="1">
      <w:start w:val="1"/>
      <w:numFmt w:val="lowerLetter"/>
      <w:lvlText w:val="%5."/>
      <w:lvlJc w:val="left"/>
      <w:pPr>
        <w:ind w:left="3600" w:hanging="360"/>
      </w:pPr>
    </w:lvl>
    <w:lvl w:ilvl="5" w:tplc="43127518" w:tentative="1">
      <w:start w:val="1"/>
      <w:numFmt w:val="lowerRoman"/>
      <w:lvlText w:val="%6."/>
      <w:lvlJc w:val="right"/>
      <w:pPr>
        <w:ind w:left="4320" w:hanging="180"/>
      </w:pPr>
    </w:lvl>
    <w:lvl w:ilvl="6" w:tplc="43127518" w:tentative="1">
      <w:start w:val="1"/>
      <w:numFmt w:val="decimal"/>
      <w:lvlText w:val="%7."/>
      <w:lvlJc w:val="left"/>
      <w:pPr>
        <w:ind w:left="5040" w:hanging="360"/>
      </w:pPr>
    </w:lvl>
    <w:lvl w:ilvl="7" w:tplc="43127518" w:tentative="1">
      <w:start w:val="1"/>
      <w:numFmt w:val="lowerLetter"/>
      <w:lvlText w:val="%8."/>
      <w:lvlJc w:val="left"/>
      <w:pPr>
        <w:ind w:left="5760" w:hanging="360"/>
      </w:pPr>
    </w:lvl>
    <w:lvl w:ilvl="8" w:tplc="43127518" w:tentative="1">
      <w:start w:val="1"/>
      <w:numFmt w:val="lowerRoman"/>
      <w:lvlText w:val="%9."/>
      <w:lvlJc w:val="right"/>
      <w:pPr>
        <w:ind w:left="6480" w:hanging="180"/>
      </w:pPr>
    </w:lvl>
  </w:abstractNum>
  <w:abstractNum w:abstractNumId="19534393">
    <w:multiLevelType w:val="hybridMultilevel"/>
    <w:lvl w:ilvl="0" w:tplc="228714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9534393">
    <w:abstractNumId w:val="19534393"/>
  </w:num>
  <w:num w:numId="19534394">
    <w:abstractNumId w:val="19534394"/>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654913584" Type="http://schemas.microsoft.com/office/2011/relationships/commentsExtended" Target="commentsExtended.xml"/><Relationship Id="rId467062595" Type="http://schemas.microsoft.com/office/2011/relationships/people" Target="people.xml"/><Relationship Id="rId89626738bf379e127" Type="http://schemas.openxmlformats.org/officeDocument/2006/relationships/hyperlink" Target="https://gd.eppo.int/taxon/AGRBTU/" TargetMode="External"/><Relationship Id="rId35956738bf379e16b" Type="http://schemas.openxmlformats.org/officeDocument/2006/relationships/hyperlink" Target="https://gd.eppo.int/taxon/AGRBTU/categorization" TargetMode="External"/><Relationship Id="rId27176738bf379f447" Type="http://schemas.openxmlformats.org/officeDocument/2006/relationships/hyperlink" Target="https://gd.eppo.int" TargetMode="External"/><Relationship Id="rId36416738bf379f025" Type="http://schemas.openxmlformats.org/officeDocument/2006/relationships/image" Target="media/imgrId36416738bf379f02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