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Alternaria brassicae</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1970-01-01</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Alternaria brassicae</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(Berkeley) Saccardo</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Fungi: Ascomycota: Pezizomycotina: Dothideomycetes: Pleosporomycetidae: Pleosporales: Pleosporaceae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Alternaria brassicae var. macrospora</w:t>
            </w:r>
            <w:r>
              <w:rPr>
                <w:rFonts w:ascii="Calibri" w:hAnsi="Calibri" w:eastAsia="Calibri" w:cs="Calibri"/>
                <w:color w:val="000000"/>
                <w:position w:val="-3"/>
                <w:sz w:val="22"/>
                <w:szCs w:val="22"/>
              </w:rPr>
              <w:t xml:space="preserve"> Saccardo, </w:t>
            </w:r>
            <w:r>
              <w:rPr>
                <w:rFonts w:ascii="Calibri" w:hAnsi="Calibri" w:eastAsia="Calibri" w:cs="Calibri"/>
                <w:i/>
                <w:iCs/>
                <w:color w:val="000000"/>
                <w:position w:val="-3"/>
                <w:sz w:val="22"/>
                <w:szCs w:val="22"/>
              </w:rPr>
              <w:t xml:space="preserve">Alternaria herculea</w:t>
            </w:r>
            <w:r>
              <w:rPr>
                <w:rFonts w:ascii="Calibri" w:hAnsi="Calibri" w:eastAsia="Calibri" w:cs="Calibri"/>
                <w:color w:val="000000"/>
                <w:position w:val="-3"/>
                <w:sz w:val="22"/>
                <w:szCs w:val="22"/>
              </w:rPr>
              <w:t xml:space="preserve"> (Ellis &amp; G.Martin) Elliott, </w:t>
            </w:r>
            <w:r>
              <w:rPr>
                <w:rFonts w:ascii="Calibri" w:hAnsi="Calibri" w:eastAsia="Calibri" w:cs="Calibri"/>
                <w:i/>
                <w:iCs/>
                <w:color w:val="000000"/>
                <w:position w:val="-3"/>
                <w:sz w:val="22"/>
                <w:szCs w:val="22"/>
              </w:rPr>
              <w:t xml:space="preserve">Macrosporium brassicae</w:t>
            </w:r>
            <w:r>
              <w:rPr>
                <w:rFonts w:ascii="Calibri" w:hAnsi="Calibri" w:eastAsia="Calibri" w:cs="Calibri"/>
                <w:color w:val="000000"/>
                <w:position w:val="-3"/>
                <w:sz w:val="22"/>
                <w:szCs w:val="22"/>
              </w:rPr>
              <w:t xml:space="preserve"> Berkeley</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black spot of rape, brown rot of cauliflower, dark leaf spot of cabbage, dark spot of crucifers, grey leaf spot of cabbage, grey leaf spot of crucifers, head browning of crucifers, leaf blight of crucifers, pod spot of rape, silique mould of rape</w:t>
            </w:r>
            <w:hyperlink r:id="rId55716738bf3b42a2c"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ALTEBA</w:t>
            </w:r>
          </w:p>
        </w:tc>
        <w:tc>
          <w:tcPr>
            <w:tcW w:w="2000" w:type="pct"/>
            <w:tcMar>
              <w:top w:w="15" w:type="dxa"/>
              <w:left w:w="15" w:type="dxa"/>
              <w:bottom w:w="15" w:type="dxa"/>
              <w:right w:w="15" w:type="dxa"/>
            </w:tcMar>
            <w:vAlign w:val="center"/>
          </w:tcPr>
          <w:p>
            <w:r>
              <w:rPr>
                <w:position w:val="-96"/>
              </w:rPr>
              <w:drawing>
                <wp:inline distT="0" distB="0" distL="0" distR="0">
                  <wp:extent cx="2160000" cy="1281600"/>
                  <wp:docPr id="9271457" name="name74756738bf3b43156" descr="169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26.jpg"/>
                          <pic:cNvPicPr/>
                        </pic:nvPicPr>
                        <pic:blipFill>
                          <a:blip r:embed="rId55346738bf3b43153" cstate="print"/>
                          <a:stretch>
                            <a:fillRect/>
                          </a:stretch>
                        </pic:blipFill>
                        <pic:spPr>
                          <a:xfrm>
                            <a:off x="0" y="0"/>
                            <a:ext cx="2160000" cy="1281600"/>
                          </a:xfrm>
                          <a:prstGeom prst="rect">
                            <a:avLst/>
                          </a:prstGeom>
                          <a:ln w="0">
                            <a:noFill/>
                          </a:ln>
                        </pic:spPr>
                      </pic:pic>
                    </a:graphicData>
                  </a:graphic>
                </wp:inline>
              </w:drawing>
            </w:r>
            <w:hyperlink r:id="rId32666738bf3b432aa" w:history="1">
              <w:r>
                <w:rPr>
                  <w:rFonts w:ascii="Calibri" w:hAnsi="Calibri" w:eastAsia="Calibri" w:cs="Calibri"/>
                  <w:color w:val="0000CC"/>
                  <w:position w:val="-3"/>
                  <w:sz w:val="22"/>
                  <w:szCs w:val="22"/>
                  <w:u w:val="single"/>
                </w:rPr>
                <w:br/>
                <w:t xml:space="preserve">more photos...</w:t>
              </w:r>
            </w:hyperlink>
          </w:p>
          <w:p/>
        </w:tc>
      </w:tr>
    </w:tbl>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r>
        <w:drawing>
          <wp:inline distT="0" distB="0" distL="0" distR="0">
            <wp:extent cx="6120000" cy="3067200"/>
            <wp:docPr id="87959252" name="name38796738bf3b441e2" descr="ALTEBA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BA_distribution_map.jpg"/>
                    <pic:cNvPicPr/>
                  </pic:nvPicPr>
                  <pic:blipFill>
                    <a:blip r:embed="rId98186738bf3b441df"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EPPO Region:</w:t>
      </w:r>
      <w:r>
        <w:rPr>
          <w:rFonts w:ascii="Calibri" w:hAnsi="Calibri" w:eastAsia="Calibri" w:cs="Calibri"/>
          <w:color w:val="000000"/>
          <w:sz w:val="22"/>
          <w:szCs w:val="22"/>
        </w:rPr>
        <w:t xml:space="preserve"> Armenia, Austria, Belarus, Belgium, Bulgaria, Cyprus, Czech Republic, Denmark, Finland, France (mainland), Germany, Greece (mainland), Hungary, Ireland, Israel, Italy (mainland, Sardegna), Kazakhstan, Latvia, Lithuania, Morocco, Netherlands, North Macedonia, Norway, Poland, Romania, Russia (European Russia, Far East), Slovakia, Spain (mainland), Sweden, Switzerland, Tunisia, Türkiye, Ukraine, United Kingdom, Uzbekistan</w:t>
      </w:r>
      <w:r>
        <w:rPr>
          <w:rFonts w:ascii="Calibri" w:hAnsi="Calibri" w:eastAsia="Calibri" w:cs="Calibri"/>
          <w:b/>
          <w:bCs/>
          <w:color w:val="000000"/>
          <w:sz w:val="22"/>
          <w:szCs w:val="22"/>
        </w:rPr>
        <w:br/>
        <w:t xml:space="preserve">Africa:</w:t>
      </w:r>
      <w:r>
        <w:rPr>
          <w:rFonts w:ascii="Calibri" w:hAnsi="Calibri" w:eastAsia="Calibri" w:cs="Calibri"/>
          <w:color w:val="000000"/>
          <w:sz w:val="22"/>
          <w:szCs w:val="22"/>
        </w:rPr>
        <w:t xml:space="preserve"> Angola, Cote d'Ivoire, Egypt, Ethiopia, Gabon, Kenya, Malawi, Mauritius, Morocco, Mozambique, Senegal, South Africa, Sudan, Tanzania, Tunisia, Zambia, Zimbabwe</w:t>
      </w:r>
      <w:r>
        <w:rPr>
          <w:rFonts w:ascii="Calibri" w:hAnsi="Calibri" w:eastAsia="Calibri" w:cs="Calibri"/>
          <w:b/>
          <w:bCs/>
          <w:color w:val="000000"/>
          <w:sz w:val="22"/>
          <w:szCs w:val="22"/>
        </w:rPr>
        <w:br/>
        <w:t xml:space="preserve">Asia:</w:t>
      </w:r>
      <w:r>
        <w:rPr>
          <w:rFonts w:ascii="Calibri" w:hAnsi="Calibri" w:eastAsia="Calibri" w:cs="Calibri"/>
          <w:color w:val="000000"/>
          <w:sz w:val="22"/>
          <w:szCs w:val="22"/>
        </w:rPr>
        <w:t xml:space="preserve"> Afghanistan, Bangladesh, Bhutan, Cambodia, China (Fujian, Gansu, Guangdong, Guangxi, Guizhou, Heilongjiang, Henan, Hunan, Jiangsu, Jiangxi, Jilin, Liaoning, Neimenggu, Shaanxi, Sichuan, Xianggang (Hong Kong), Xinjiang, Xizhang, Yunnan, Zhejiang), India (Andaman and Nicobar Islands, Andhra Pradesh, Assam, Bihar, Delhi, Gujarat, Haryana, Himachal Pradesh, Jammu &amp; Kashmir, Manipur, Punjab, Rajasthan, Sikkim, Uttarakhand, Uttar Pradesh, West Bengal), Indonesia (Irian Jaya), Iran, Iraq, Israel, Japan, Kazakhstan, Korea, Republic, Laos, Lebanon, Malaysia (West), Myanmar, Nepal, Pakistan, Philippines, Saudi Arabia, Singapore, Sri Lanka, Taiwan, Thailand, Turkmenistan, Uzbekistan, Vietnam</w:t>
      </w:r>
      <w:r>
        <w:rPr>
          <w:rFonts w:ascii="Calibri" w:hAnsi="Calibri" w:eastAsia="Calibri" w:cs="Calibri"/>
          <w:b/>
          <w:bCs/>
          <w:color w:val="000000"/>
          <w:sz w:val="22"/>
          <w:szCs w:val="22"/>
        </w:rPr>
        <w:br/>
        <w:t xml:space="preserve">North America:</w:t>
      </w:r>
      <w:r>
        <w:rPr>
          <w:rFonts w:ascii="Calibri" w:hAnsi="Calibri" w:eastAsia="Calibri" w:cs="Calibri"/>
          <w:color w:val="000000"/>
          <w:sz w:val="22"/>
          <w:szCs w:val="22"/>
        </w:rPr>
        <w:t xml:space="preserve"> Canada (Alberta, British Columbia, Manitoba, New Brunswick, Nova Scotia, Ontario, Québec, Saskatchewan), Mexico, United States of America (Alabama, Alaska, Arizona, Arkansas, California, Colorado, Connecticut, Delaware, Florida, Hawaii, Illinois, Indiana, Iowa, Louisiana, Maryland, Massachusetts, Michigan, Minnesota, Mississippi, Missouri, New Jersey, New York, North Carolina, Ohio, Oregon, Pennsylvania, South Carolina, Texas, Utah, Virginia, Washington, West Virginia, Wisconsin)</w:t>
      </w:r>
      <w:r>
        <w:rPr>
          <w:rFonts w:ascii="Calibri" w:hAnsi="Calibri" w:eastAsia="Calibri" w:cs="Calibri"/>
          <w:b/>
          <w:bCs/>
          <w:color w:val="000000"/>
          <w:sz w:val="22"/>
          <w:szCs w:val="22"/>
        </w:rPr>
        <w:br/>
        <w:t xml:space="preserve">Central America and Caribbean:</w:t>
      </w:r>
      <w:r>
        <w:rPr>
          <w:rFonts w:ascii="Calibri" w:hAnsi="Calibri" w:eastAsia="Calibri" w:cs="Calibri"/>
          <w:color w:val="000000"/>
          <w:sz w:val="22"/>
          <w:szCs w:val="22"/>
        </w:rPr>
        <w:t xml:space="preserve"> Barbados, Bermuda, Costa Rica, Cuba, Dominican Republic, El Salvador, Guatemala, Haiti, Honduras, Jamaica, Nicaragua, Panama, Trinidad and Tobago</w:t>
      </w:r>
      <w:r>
        <w:rPr>
          <w:rFonts w:ascii="Calibri" w:hAnsi="Calibri" w:eastAsia="Calibri" w:cs="Calibri"/>
          <w:b/>
          <w:bCs/>
          <w:color w:val="000000"/>
          <w:sz w:val="22"/>
          <w:szCs w:val="22"/>
        </w:rPr>
        <w:br/>
        <w:t xml:space="preserve">South America:</w:t>
      </w:r>
      <w:r>
        <w:rPr>
          <w:rFonts w:ascii="Calibri" w:hAnsi="Calibri" w:eastAsia="Calibri" w:cs="Calibri"/>
          <w:color w:val="000000"/>
          <w:sz w:val="22"/>
          <w:szCs w:val="22"/>
        </w:rPr>
        <w:t xml:space="preserve"> Argentina, Bolivia, Brazil (Minas Gerais, Parana, Rio Grande do Sul), Chile, Colombia, Guyana, Peru, Suriname, Uruguay, Venezuela</w:t>
      </w:r>
      <w:r>
        <w:rPr>
          <w:rFonts w:ascii="Calibri" w:hAnsi="Calibri" w:eastAsia="Calibri" w:cs="Calibri"/>
          <w:b/>
          <w:bCs/>
          <w:color w:val="000000"/>
          <w:sz w:val="22"/>
          <w:szCs w:val="22"/>
        </w:rPr>
        <w:br/>
        <w:t xml:space="preserve">Oceania:</w:t>
      </w:r>
      <w:r>
        <w:rPr>
          <w:rFonts w:ascii="Calibri" w:hAnsi="Calibri" w:eastAsia="Calibri" w:cs="Calibri"/>
          <w:color w:val="000000"/>
          <w:sz w:val="22"/>
          <w:szCs w:val="22"/>
        </w:rPr>
        <w:t xml:space="preserve"> Australia (New South Wales, Northern Territory, Queensland, South Australia, Tasmania, Victoria, Western Australia), French Polynesia, Guam, New Caledonia, New Zealand, Niue, Palau, Papua New Guinea, Vanuatu, Wallis and Futuna Islands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Alternaria brassicae</w:t>
      </w:r>
      <w:r>
        <w:rPr>
          <w:rFonts w:ascii="Calibri" w:hAnsi="Calibri" w:eastAsia="Calibri" w:cs="Calibri"/>
          <w:color w:val="000000"/>
          <w:sz w:val="22"/>
          <w:szCs w:val="22"/>
        </w:rPr>
        <w:t xml:space="preserve">. EPPO datasheets on pests recommended for regulation. Available online. </w:t>
      </w:r>
      <w:hyperlink r:id="rId26486738bf3b444f6" w:history="1">
        <w:r>
          <w:rPr>
            <w:rFonts w:ascii="Calibri" w:hAnsi="Calibri" w:eastAsia="Calibri" w:cs="Calibri"/>
            <w:color w:val="0000CC"/>
            <w:sz w:val="22"/>
            <w:szCs w:val="22"/>
            <w:u w:val="single"/>
          </w:rPr>
          <w:t xml:space="preserve">https://gd.eppo.int</w:t>
        </w:r>
      </w:hyperlink>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3390607">
    <w:multiLevelType w:val="hybridMultilevel"/>
    <w:lvl w:ilvl="0" w:tplc="47083126">
      <w:start w:val="1"/>
      <w:numFmt w:val="decimal"/>
      <w:lvlText w:val="%1."/>
      <w:lvlJc w:val="left"/>
      <w:pPr>
        <w:ind w:left="720" w:hanging="360"/>
      </w:pPr>
    </w:lvl>
    <w:lvl w:ilvl="1" w:tplc="47083126" w:tentative="1">
      <w:start w:val="1"/>
      <w:numFmt w:val="lowerLetter"/>
      <w:lvlText w:val="%2."/>
      <w:lvlJc w:val="left"/>
      <w:pPr>
        <w:ind w:left="1440" w:hanging="360"/>
      </w:pPr>
    </w:lvl>
    <w:lvl w:ilvl="2" w:tplc="47083126" w:tentative="1">
      <w:start w:val="1"/>
      <w:numFmt w:val="lowerRoman"/>
      <w:lvlText w:val="%3."/>
      <w:lvlJc w:val="right"/>
      <w:pPr>
        <w:ind w:left="2160" w:hanging="180"/>
      </w:pPr>
    </w:lvl>
    <w:lvl w:ilvl="3" w:tplc="47083126" w:tentative="1">
      <w:start w:val="1"/>
      <w:numFmt w:val="decimal"/>
      <w:lvlText w:val="%4."/>
      <w:lvlJc w:val="left"/>
      <w:pPr>
        <w:ind w:left="2880" w:hanging="360"/>
      </w:pPr>
    </w:lvl>
    <w:lvl w:ilvl="4" w:tplc="47083126" w:tentative="1">
      <w:start w:val="1"/>
      <w:numFmt w:val="lowerLetter"/>
      <w:lvlText w:val="%5."/>
      <w:lvlJc w:val="left"/>
      <w:pPr>
        <w:ind w:left="3600" w:hanging="360"/>
      </w:pPr>
    </w:lvl>
    <w:lvl w:ilvl="5" w:tplc="47083126" w:tentative="1">
      <w:start w:val="1"/>
      <w:numFmt w:val="lowerRoman"/>
      <w:lvlText w:val="%6."/>
      <w:lvlJc w:val="right"/>
      <w:pPr>
        <w:ind w:left="4320" w:hanging="180"/>
      </w:pPr>
    </w:lvl>
    <w:lvl w:ilvl="6" w:tplc="47083126" w:tentative="1">
      <w:start w:val="1"/>
      <w:numFmt w:val="decimal"/>
      <w:lvlText w:val="%7."/>
      <w:lvlJc w:val="left"/>
      <w:pPr>
        <w:ind w:left="5040" w:hanging="360"/>
      </w:pPr>
    </w:lvl>
    <w:lvl w:ilvl="7" w:tplc="47083126" w:tentative="1">
      <w:start w:val="1"/>
      <w:numFmt w:val="lowerLetter"/>
      <w:lvlText w:val="%8."/>
      <w:lvlJc w:val="left"/>
      <w:pPr>
        <w:ind w:left="5760" w:hanging="360"/>
      </w:pPr>
    </w:lvl>
    <w:lvl w:ilvl="8" w:tplc="47083126" w:tentative="1">
      <w:start w:val="1"/>
      <w:numFmt w:val="lowerRoman"/>
      <w:lvlText w:val="%9."/>
      <w:lvlJc w:val="right"/>
      <w:pPr>
        <w:ind w:left="6480" w:hanging="180"/>
      </w:pPr>
    </w:lvl>
  </w:abstractNum>
  <w:abstractNum w:abstractNumId="83390606">
    <w:multiLevelType w:val="hybridMultilevel"/>
    <w:lvl w:ilvl="0" w:tplc="4651834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3390606">
    <w:abstractNumId w:val="83390606"/>
  </w:num>
  <w:num w:numId="83390607">
    <w:abstractNumId w:val="83390607"/>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514444834" Type="http://schemas.microsoft.com/office/2011/relationships/commentsExtended" Target="commentsExtended.xml"/><Relationship Id="rId823416652" Type="http://schemas.microsoft.com/office/2011/relationships/people" Target="people.xml"/><Relationship Id="rId55716738bf3b42a2c" Type="http://schemas.openxmlformats.org/officeDocument/2006/relationships/hyperlink" Target="https://gd.eppo.int/taxon/ALTEBA/" TargetMode="External"/><Relationship Id="rId32666738bf3b432aa" Type="http://schemas.openxmlformats.org/officeDocument/2006/relationships/hyperlink" Target="https://gd.eppo.int/taxon/ALTEBA/photos" TargetMode="External"/><Relationship Id="rId26486738bf3b444f6" Type="http://schemas.openxmlformats.org/officeDocument/2006/relationships/hyperlink" Target="https://gd.eppo.int" TargetMode="External"/><Relationship Id="rId55346738bf3b43153" Type="http://schemas.openxmlformats.org/officeDocument/2006/relationships/image" Target="media/imgrId55346738bf3b43153.jpg"/><Relationship Id="rId98186738bf3b441df" Type="http://schemas.openxmlformats.org/officeDocument/2006/relationships/image" Target="media/imgrId98186738bf3b441df.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