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Bremia lactucae</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Bremia lactucae</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Regel</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Chromista: Oomycota: Oomycetes: Peronosporales: Peronosporaceae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Peronospora gangliformis</w:t>
            </w:r>
            <w:r>
              <w:rPr>
                <w:rFonts w:ascii="Calibri" w:hAnsi="Calibri" w:eastAsia="Calibri" w:cs="Calibri"/>
                <w:color w:val="000000"/>
                <w:position w:val="-3"/>
                <w:sz w:val="22"/>
                <w:szCs w:val="22"/>
              </w:rPr>
              <w:t xml:space="preserve"> de Bary</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downy mildew of lettuce</w:t>
            </w:r>
            <w:hyperlink r:id="rId81936738bf86b68eb"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BREMLA</w:t>
            </w:r>
          </w:p>
        </w:tc>
        <w:tc>
          <w:tcPr>
            <w:tcW w:w="2000" w:type="pct"/>
            <w:tcMar>
              <w:top w:w="15" w:type="dxa"/>
              <w:left w:w="15" w:type="dxa"/>
              <w:bottom w:w="15" w:type="dxa"/>
              <w:right w:w="15" w:type="dxa"/>
            </w:tcMar>
            <w:vAlign w:val="center"/>
          </w:tcPr>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r>
        <w:drawing>
          <wp:inline distT="0" distB="0" distL="0" distR="0">
            <wp:extent cx="6120000" cy="3067200"/>
            <wp:docPr id="5291315" name="name40166738bf86b78cb" descr="BREMLA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MLA_distribution_map.jpg"/>
                    <pic:cNvPicPr/>
                  </pic:nvPicPr>
                  <pic:blipFill>
                    <a:blip r:embed="rId27926738bf86b78c8"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Algeria, Austria, Belgium, Bulgaria, Cyprus, Czech Republic, Denmark, Finland, France (mainland), Georgia, Germany, Greece (mainland), Hungary, Ireland, Israel, Italy (mainland), Kazakhstan, Kyrgyzstan, Malta, Morocco, Netherlands, Norway, Poland, Portugal (mainland), Romania, Russia (Eastern Siberia, European Russia, Western Siberia), Serbia, Spain (mainland, Islas Canárias), Sweden, Switzerland, Tunisia, Türkiye, United Kingdom (Channel Islands, England, Scotland), Uzbekistan</w:t>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Algeria, Congo, Democratic republic of the, Egypt, Ethiopia, Kenya, Libya, Morocco, South Africa, Tanzania, Tunisia, Zambia</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China, India (Jammu &amp; Kashmir, Maharashtra, Punjab, Tamil Nadu, Uttar Pradesh), Indonesia, Iran, Iraq, Israel, Japan, Kazakhstan, Korea Dem. People's Republic, Korea, Republic, Kyrgyzstan, Lebanon, Pakistan, Philippines, Taiwan, Turkmenistan, Uzbekistan</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(British Columbia, Manitoba, Nova Scotia, Ontario, Prince Edward Island, Québec, Saskatchewan), Mexico, United States of America</w:t>
      </w:r>
      <w:r>
        <w:rPr>
          <w:rFonts w:ascii="Calibri" w:hAnsi="Calibri" w:eastAsia="Calibri" w:cs="Calibri"/>
          <w:b/>
          <w:bCs/>
          <w:color w:val="000000"/>
          <w:sz w:val="22"/>
          <w:szCs w:val="22"/>
        </w:rPr>
        <w:br/>
        <w:t xml:space="preserve">Central America and Caribbean:</w:t>
      </w:r>
      <w:r>
        <w:rPr>
          <w:rFonts w:ascii="Calibri" w:hAnsi="Calibri" w:eastAsia="Calibri" w:cs="Calibri"/>
          <w:color w:val="000000"/>
          <w:sz w:val="22"/>
          <w:szCs w:val="22"/>
        </w:rPr>
        <w:t xml:space="preserve"> Cuba, Guatemala, Jamaica, Panama</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Argentina, Brazil (Bahia, Rio Grande do Sul, Sao Paulo), Chile, Guyana, Peru, Uruguay, Venezuela</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(New South Wales, Northern Territory, Queensland, South Australia, Tasmania, Victoria, Western Australia), New Zealand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Bremia lactucae</w:t>
      </w:r>
      <w:r>
        <w:rPr>
          <w:rFonts w:ascii="Calibri" w:hAnsi="Calibri" w:eastAsia="Calibri" w:cs="Calibri"/>
          <w:color w:val="000000"/>
          <w:sz w:val="22"/>
          <w:szCs w:val="22"/>
        </w:rPr>
        <w:t xml:space="preserve">. EPPO datasheets on pests recommended for regulation. Available online. </w:t>
      </w:r>
      <w:hyperlink r:id="rId47056738bf86b7bf3"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836068">
    <w:multiLevelType w:val="hybridMultilevel"/>
    <w:lvl w:ilvl="0" w:tplc="65147651">
      <w:start w:val="1"/>
      <w:numFmt w:val="decimal"/>
      <w:lvlText w:val="%1."/>
      <w:lvlJc w:val="left"/>
      <w:pPr>
        <w:ind w:left="720" w:hanging="360"/>
      </w:pPr>
    </w:lvl>
    <w:lvl w:ilvl="1" w:tplc="65147651" w:tentative="1">
      <w:start w:val="1"/>
      <w:numFmt w:val="lowerLetter"/>
      <w:lvlText w:val="%2."/>
      <w:lvlJc w:val="left"/>
      <w:pPr>
        <w:ind w:left="1440" w:hanging="360"/>
      </w:pPr>
    </w:lvl>
    <w:lvl w:ilvl="2" w:tplc="65147651" w:tentative="1">
      <w:start w:val="1"/>
      <w:numFmt w:val="lowerRoman"/>
      <w:lvlText w:val="%3."/>
      <w:lvlJc w:val="right"/>
      <w:pPr>
        <w:ind w:left="2160" w:hanging="180"/>
      </w:pPr>
    </w:lvl>
    <w:lvl w:ilvl="3" w:tplc="65147651" w:tentative="1">
      <w:start w:val="1"/>
      <w:numFmt w:val="decimal"/>
      <w:lvlText w:val="%4."/>
      <w:lvlJc w:val="left"/>
      <w:pPr>
        <w:ind w:left="2880" w:hanging="360"/>
      </w:pPr>
    </w:lvl>
    <w:lvl w:ilvl="4" w:tplc="65147651" w:tentative="1">
      <w:start w:val="1"/>
      <w:numFmt w:val="lowerLetter"/>
      <w:lvlText w:val="%5."/>
      <w:lvlJc w:val="left"/>
      <w:pPr>
        <w:ind w:left="3600" w:hanging="360"/>
      </w:pPr>
    </w:lvl>
    <w:lvl w:ilvl="5" w:tplc="65147651" w:tentative="1">
      <w:start w:val="1"/>
      <w:numFmt w:val="lowerRoman"/>
      <w:lvlText w:val="%6."/>
      <w:lvlJc w:val="right"/>
      <w:pPr>
        <w:ind w:left="4320" w:hanging="180"/>
      </w:pPr>
    </w:lvl>
    <w:lvl w:ilvl="6" w:tplc="65147651" w:tentative="1">
      <w:start w:val="1"/>
      <w:numFmt w:val="decimal"/>
      <w:lvlText w:val="%7."/>
      <w:lvlJc w:val="left"/>
      <w:pPr>
        <w:ind w:left="5040" w:hanging="360"/>
      </w:pPr>
    </w:lvl>
    <w:lvl w:ilvl="7" w:tplc="65147651" w:tentative="1">
      <w:start w:val="1"/>
      <w:numFmt w:val="lowerLetter"/>
      <w:lvlText w:val="%8."/>
      <w:lvlJc w:val="left"/>
      <w:pPr>
        <w:ind w:left="5760" w:hanging="360"/>
      </w:pPr>
    </w:lvl>
    <w:lvl w:ilvl="8" w:tplc="65147651" w:tentative="1">
      <w:start w:val="1"/>
      <w:numFmt w:val="lowerRoman"/>
      <w:lvlText w:val="%9."/>
      <w:lvlJc w:val="right"/>
      <w:pPr>
        <w:ind w:left="6480" w:hanging="180"/>
      </w:pPr>
    </w:lvl>
  </w:abstractNum>
  <w:abstractNum w:abstractNumId="14836067">
    <w:multiLevelType w:val="hybridMultilevel"/>
    <w:lvl w:ilvl="0" w:tplc="510903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4836067">
    <w:abstractNumId w:val="14836067"/>
  </w:num>
  <w:num w:numId="14836068">
    <w:abstractNumId w:val="14836068"/>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748807652" Type="http://schemas.microsoft.com/office/2011/relationships/commentsExtended" Target="commentsExtended.xml"/><Relationship Id="rId616244312" Type="http://schemas.microsoft.com/office/2011/relationships/people" Target="people.xml"/><Relationship Id="rId81936738bf86b68eb" Type="http://schemas.openxmlformats.org/officeDocument/2006/relationships/hyperlink" Target="https://gd.eppo.int/taxon/BREMLA/" TargetMode="External"/><Relationship Id="rId47056738bf86b7bf3" Type="http://schemas.openxmlformats.org/officeDocument/2006/relationships/hyperlink" Target="https://gd.eppo.int" TargetMode="External"/><Relationship Id="rId27926738bf86b78c8" Type="http://schemas.openxmlformats.org/officeDocument/2006/relationships/image" Target="media/imgrId27926738bf86b78c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