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Thielaviopsis paradoxa</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1970-01-01</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Thielaviopsis paradoxa</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(de Seynes) von Höhnel</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Sordariomycetes: Hypocreomycetidae: Microascales: Ceratocystidaceae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Ceratocystis paradoxa</w:t>
            </w:r>
            <w:r>
              <w:rPr>
                <w:rFonts w:ascii="Calibri" w:hAnsi="Calibri" w:eastAsia="Calibri" w:cs="Calibri"/>
                <w:color w:val="000000"/>
                <w:position w:val="-3"/>
                <w:sz w:val="22"/>
                <w:szCs w:val="22"/>
              </w:rPr>
              <w:t xml:space="preserve"> (Dade) C.Moreau, </w:t>
            </w:r>
            <w:r>
              <w:rPr>
                <w:rFonts w:ascii="Calibri" w:hAnsi="Calibri" w:eastAsia="Calibri" w:cs="Calibri"/>
                <w:i/>
                <w:iCs/>
                <w:color w:val="000000"/>
                <w:position w:val="-3"/>
                <w:sz w:val="22"/>
                <w:szCs w:val="22"/>
              </w:rPr>
              <w:t xml:space="preserve">Ceratostomella paradoxa</w:t>
            </w:r>
            <w:r>
              <w:rPr>
                <w:rFonts w:ascii="Calibri" w:hAnsi="Calibri" w:eastAsia="Calibri" w:cs="Calibri"/>
                <w:color w:val="000000"/>
                <w:position w:val="-3"/>
                <w:sz w:val="22"/>
                <w:szCs w:val="22"/>
              </w:rPr>
              <w:t xml:space="preserve"> Dade, </w:t>
            </w:r>
            <w:r>
              <w:rPr>
                <w:rFonts w:ascii="Calibri" w:hAnsi="Calibri" w:eastAsia="Calibri" w:cs="Calibri"/>
                <w:i/>
                <w:iCs/>
                <w:color w:val="000000"/>
                <w:position w:val="-3"/>
                <w:sz w:val="22"/>
                <w:szCs w:val="22"/>
              </w:rPr>
              <w:t xml:space="preserve">Chalara paradoxa</w:t>
            </w:r>
            <w:r>
              <w:rPr>
                <w:rFonts w:ascii="Calibri" w:hAnsi="Calibri" w:eastAsia="Calibri" w:cs="Calibri"/>
                <w:color w:val="000000"/>
                <w:position w:val="-3"/>
                <w:sz w:val="22"/>
                <w:szCs w:val="22"/>
              </w:rPr>
              <w:t xml:space="preserve"> (de Seynes) Saccardo, </w:t>
            </w:r>
            <w:r>
              <w:rPr>
                <w:rFonts w:ascii="Calibri" w:hAnsi="Calibri" w:eastAsia="Calibri" w:cs="Calibri"/>
                <w:i/>
                <w:iCs/>
                <w:color w:val="000000"/>
                <w:position w:val="-3"/>
                <w:sz w:val="22"/>
                <w:szCs w:val="22"/>
              </w:rPr>
              <w:t xml:space="preserve">Ophiostoma paradoxa</w:t>
            </w:r>
            <w:r>
              <w:rPr>
                <w:rFonts w:ascii="Calibri" w:hAnsi="Calibri" w:eastAsia="Calibri" w:cs="Calibri"/>
                <w:color w:val="000000"/>
                <w:position w:val="-3"/>
                <w:sz w:val="22"/>
                <w:szCs w:val="22"/>
              </w:rPr>
              <w:t xml:space="preserve"> (Dade) Nannfeldt</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basal dry rot of coconut, basal dry rot of oil palm, black rot of pineapple, crown rot of banana, pineapple disease of sugarcane, stalk rot of banana, stalk rot of pineapple</w:t>
            </w:r>
            <w:hyperlink r:id="rId58306738bf9d20dbd"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CERAPA</w:t>
            </w:r>
          </w:p>
        </w:tc>
        <w:tc>
          <w:tcPr>
            <w:tcW w:w="2000" w:type="pct"/>
            <w:tcMar>
              <w:top w:w="15" w:type="dxa"/>
              <w:left w:w="15" w:type="dxa"/>
              <w:bottom w:w="15" w:type="dxa"/>
              <w:right w:w="15" w:type="dxa"/>
            </w:tcMar>
            <w:vAlign w:val="center"/>
          </w:tcPr>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Thielaviopsis paradoxa</w:t>
      </w:r>
      <w:r>
        <w:rPr>
          <w:rFonts w:ascii="Calibri" w:hAnsi="Calibri" w:eastAsia="Calibri" w:cs="Calibri"/>
          <w:color w:val="000000"/>
          <w:sz w:val="22"/>
          <w:szCs w:val="22"/>
        </w:rPr>
        <w:t xml:space="preserve">. EPPO datasheets on pests recommended for regulation. Available online. </w:t>
      </w:r>
      <w:hyperlink r:id="rId92216738bf9d20ec3"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426957">
    <w:multiLevelType w:val="hybridMultilevel"/>
    <w:lvl w:ilvl="0" w:tplc="56956302">
      <w:start w:val="1"/>
      <w:numFmt w:val="decimal"/>
      <w:lvlText w:val="%1."/>
      <w:lvlJc w:val="left"/>
      <w:pPr>
        <w:ind w:left="720" w:hanging="360"/>
      </w:pPr>
    </w:lvl>
    <w:lvl w:ilvl="1" w:tplc="56956302" w:tentative="1">
      <w:start w:val="1"/>
      <w:numFmt w:val="lowerLetter"/>
      <w:lvlText w:val="%2."/>
      <w:lvlJc w:val="left"/>
      <w:pPr>
        <w:ind w:left="1440" w:hanging="360"/>
      </w:pPr>
    </w:lvl>
    <w:lvl w:ilvl="2" w:tplc="56956302" w:tentative="1">
      <w:start w:val="1"/>
      <w:numFmt w:val="lowerRoman"/>
      <w:lvlText w:val="%3."/>
      <w:lvlJc w:val="right"/>
      <w:pPr>
        <w:ind w:left="2160" w:hanging="180"/>
      </w:pPr>
    </w:lvl>
    <w:lvl w:ilvl="3" w:tplc="56956302" w:tentative="1">
      <w:start w:val="1"/>
      <w:numFmt w:val="decimal"/>
      <w:lvlText w:val="%4."/>
      <w:lvlJc w:val="left"/>
      <w:pPr>
        <w:ind w:left="2880" w:hanging="360"/>
      </w:pPr>
    </w:lvl>
    <w:lvl w:ilvl="4" w:tplc="56956302" w:tentative="1">
      <w:start w:val="1"/>
      <w:numFmt w:val="lowerLetter"/>
      <w:lvlText w:val="%5."/>
      <w:lvlJc w:val="left"/>
      <w:pPr>
        <w:ind w:left="3600" w:hanging="360"/>
      </w:pPr>
    </w:lvl>
    <w:lvl w:ilvl="5" w:tplc="56956302" w:tentative="1">
      <w:start w:val="1"/>
      <w:numFmt w:val="lowerRoman"/>
      <w:lvlText w:val="%6."/>
      <w:lvlJc w:val="right"/>
      <w:pPr>
        <w:ind w:left="4320" w:hanging="180"/>
      </w:pPr>
    </w:lvl>
    <w:lvl w:ilvl="6" w:tplc="56956302" w:tentative="1">
      <w:start w:val="1"/>
      <w:numFmt w:val="decimal"/>
      <w:lvlText w:val="%7."/>
      <w:lvlJc w:val="left"/>
      <w:pPr>
        <w:ind w:left="5040" w:hanging="360"/>
      </w:pPr>
    </w:lvl>
    <w:lvl w:ilvl="7" w:tplc="56956302" w:tentative="1">
      <w:start w:val="1"/>
      <w:numFmt w:val="lowerLetter"/>
      <w:lvlText w:val="%8."/>
      <w:lvlJc w:val="left"/>
      <w:pPr>
        <w:ind w:left="5760" w:hanging="360"/>
      </w:pPr>
    </w:lvl>
    <w:lvl w:ilvl="8" w:tplc="56956302" w:tentative="1">
      <w:start w:val="1"/>
      <w:numFmt w:val="lowerRoman"/>
      <w:lvlText w:val="%9."/>
      <w:lvlJc w:val="right"/>
      <w:pPr>
        <w:ind w:left="6480" w:hanging="180"/>
      </w:pPr>
    </w:lvl>
  </w:abstractNum>
  <w:abstractNum w:abstractNumId="47426956">
    <w:multiLevelType w:val="hybridMultilevel"/>
    <w:lvl w:ilvl="0" w:tplc="6271984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7426956">
    <w:abstractNumId w:val="47426956"/>
  </w:num>
  <w:num w:numId="47426957">
    <w:abstractNumId w:val="47426957"/>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853456606" Type="http://schemas.microsoft.com/office/2011/relationships/commentsExtended" Target="commentsExtended.xml"/><Relationship Id="rId498739752" Type="http://schemas.microsoft.com/office/2011/relationships/people" Target="people.xml"/><Relationship Id="rId58306738bf9d20dbd" Type="http://schemas.openxmlformats.org/officeDocument/2006/relationships/hyperlink" Target="https://gd.eppo.int/taxon/CERAPA/" TargetMode="External"/><Relationship Id="rId92216738bf9d20ec3" Type="http://schemas.openxmlformats.org/officeDocument/2006/relationships/hyperlink" Target="https://gd.eppo.in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