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0" w:before="0"/>
        <w:jc w:val="center"/>
      </w:pPr>
      <w:r>
        <w:rPr>
          <w:rFonts w:ascii="Arial" w:cs="Arial" w:eastAsia="Arial" w:hAnsi="Arial"/>
          <w:b/>
          <w:bCs/>
          <w:caps/>
          <w:color w:val="E07B39"/>
          <w:sz w:val="28"/>
          <w:szCs w:val="28"/>
        </w:rPr>
        <w:t xml:space="preserve">SOCIAL NETWORK ANALYSIS OF</w:t>
      </w:r>
    </w:p>
    <w:p>
      <w:pPr>
        <w:spacing w:after="80" w:before="0"/>
        <w:jc w:val="center"/>
      </w:pPr>
      <w:r>
        <w:rPr>
          <w:rFonts w:ascii="Arial" w:cs="Arial" w:eastAsia="Arial" w:hAnsi="Arial"/>
          <w:b/>
          <w:bCs/>
          <w:color w:val="1B4F72"/>
          <w:sz w:val="44"/>
          <w:szCs w:val="44"/>
        </w:rPr>
        <w:t xml:space="preserve">TOURISM DISPERSION IN MANNARGUDI</w:t>
      </w:r>
    </w:p>
    <w:p>
      <w:pPr>
        <w:spacing w:after="60" w:before="0"/>
        <w:jc w:val="center"/>
      </w:pPr>
      <w:r>
        <w:rPr>
          <w:rFonts w:ascii="Arial" w:cs="Arial" w:eastAsia="Arial" w:hAnsi="Arial"/>
          <w:i/>
          <w:iCs/>
          <w:color w:val="555555"/>
          <w:sz w:val="28"/>
          <w:szCs w:val="28"/>
        </w:rPr>
        <w:t xml:space="preserve">Thiruvarur District, Tamil Nadu, India</w:t>
      </w:r>
    </w:p>
    <w:p>
      <w:pPr>
        <w:pBdr>
          <w:bottom w:val="single" w:color="E07B39" w:sz="4" w:space="1"/>
        </w:pBdr>
        <w:spacing w:after="120" w:before="120"/>
      </w:pPr>
      <w:r>
        <w:t xml:space="preserve"/>
      </w:r>
    </w:p>
    <w:p>
      <w:pPr>
        <w:spacing w:after="40" w:before="120"/>
        <w:jc w:val="center"/>
      </w:pPr>
      <w:r>
        <w:rPr>
          <w:rFonts w:ascii="Arial" w:cs="Arial" w:eastAsia="Arial" w:hAnsi="Arial"/>
          <w:color w:val="555555"/>
          <w:sz w:val="24"/>
          <w:szCs w:val="24"/>
        </w:rPr>
        <w:t xml:space="preserve">Comprehensive Research Report</w:t>
      </w:r>
    </w:p>
    <w:p>
      <w:pPr>
        <w:spacing w:after="40" w:before="0"/>
        <w:jc w:val="center"/>
      </w:pPr>
      <w:r>
        <w:rPr>
          <w:rFonts w:ascii="Arial" w:cs="Arial" w:eastAsia="Arial" w:hAnsi="Arial"/>
          <w:color w:val="6AB187"/>
          <w:sz w:val="20"/>
          <w:szCs w:val="20"/>
        </w:rPr>
        <w:t xml:space="preserve">NetworkX · Streamlit · Plotly · Python</w:t>
      </w:r>
    </w:p>
    <w:p>
      <w:pPr>
        <w:spacing w:after="0" w:before="40"/>
        <w:jc w:val="center"/>
      </w:pPr>
      <w:r>
        <w:rPr>
          <w:rFonts w:ascii="Arial" w:cs="Arial" w:eastAsia="Arial" w:hAnsi="Arial"/>
          <w:color w:val="888888"/>
          <w:sz w:val="18"/>
          <w:szCs w:val="18"/>
        </w:rPr>
        <w:t xml:space="preserve">Data Sources: Tamil Nadu Tourism · ASI · HR&amp;CE Dept. · OpenStreetMap · Wikipedia</w:t>
      </w:r>
    </w:p>
    <w:p>
      <w:pPr>
        <w:spacing w:after="60" w:before="0"/>
      </w:pPr>
      <w:r>
        <w:t xml:space="preserve"/>
      </w:r>
    </w:p>
    <w:p>
      <w:pPr>
        <w:spacing w:after="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Project Type</w:t>
            </w:r>
          </w:p>
        </w:tc>
        <w:tc>
          <w:tcPr>
            <w:tcW w:type="dxa" w:w="4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Applied SNA · Tourism Informatics · Urban Mobility Research</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Region Covered</w:t>
            </w:r>
          </w:p>
        </w:tc>
        <w:tc>
          <w:tcPr>
            <w:tcW w:type="dxa" w:w="4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Mannargudi + ~90 km radius, Thiruvarur District, TN</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Network Scale</w:t>
            </w:r>
          </w:p>
        </w:tc>
        <w:tc>
          <w:tcPr>
            <w:tcW w:type="dxa" w:w="4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 nodes · 38 edges · 4 tourist communities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Data Policy</w:t>
            </w:r>
          </w:p>
        </w:tc>
        <w:tc>
          <w:tcPr>
            <w:tcW w:type="dxa" w:w="4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100% publicly verifiable — no synthetic or invented data</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Tools</w:t>
            </w:r>
          </w:p>
        </w:tc>
        <w:tc>
          <w:tcPr>
            <w:tcW w:type="dxa" w:w="4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Python 3.9+ · NetworkX 3.2 · Streamlit 1.32 · Plotly 5.18</w:t>
            </w:r>
          </w:p>
        </w:tc>
      </w:tr>
    </w:tbl>
    <w:p>
      <w:pPr>
        <w:spacing w:after="60" w:before="0"/>
      </w:pPr>
      <w:r>
        <w:t xml:space="preserve"/>
      </w:r>
    </w:p>
    <w:p>
      <w:pPr>
        <w:spacing w:after="0" w:before="0"/>
      </w:pPr>
      <w:r>
        <w:br w:type="page"/>
      </w:r>
    </w:p>
    <w:p>
      <w:pPr>
        <w:pStyle w:val="Heading1"/>
        <w:spacing w:after="120" w:before="280"/>
      </w:pPr>
      <w:r>
        <w:rPr>
          <w:rFonts w:ascii="Arial" w:cs="Arial" w:eastAsia="Arial" w:hAnsi="Arial"/>
          <w:b/>
          <w:bCs/>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0" w:before="0"/>
      </w:pPr>
      <w:r>
        <w:br w:type="page"/>
      </w:r>
    </w:p>
    <w:p>
      <w:pPr>
        <w:pStyle w:val="Heading1"/>
        <w:spacing w:after="120" w:before="280"/>
      </w:pPr>
      <w:r>
        <w:rPr>
          <w:rFonts w:ascii="Arial" w:cs="Arial" w:eastAsia="Arial" w:hAnsi="Arial"/>
          <w:b/>
          <w:bCs/>
        </w:rPr>
        <w:t xml:space="preserve">1. Abstract</w:t>
      </w:r>
    </w:p>
    <w:p>
      <w:pPr>
        <w:spacing w:after="100" w:before="60"/>
        <w:jc w:val="both"/>
      </w:pPr>
      <w:r>
        <w:rPr>
          <w:rFonts w:ascii="Arial" w:cs="Arial" w:eastAsia="Arial" w:hAnsi="Arial"/>
          <w:b/>
          <w:bCs/>
          <w:sz w:val="22"/>
          <w:szCs w:val="22"/>
        </w:rPr>
        <w:t xml:space="preserve">Background: </w:t>
      </w:r>
      <w:r>
        <w:rPr>
          <w:rFonts w:ascii="Arial" w:cs="Arial" w:eastAsia="Arial" w:hAnsi="Arial"/>
          <w:sz w:val="22"/>
          <w:szCs w:val="22"/>
        </w:rPr>
        <w:t xml:space="preserve">Mannargudi, headquarters of Thiruvarur District, Tamil Nadu, is home to one of the largest temple complexes in South India — the Sri Rajagopalaswamy Temple — and sits at the centre of a rich, multi-layered cultural and ecological landscape. Despite its historical depth, tourism dispersion in the region remains poorly studied, with most visitors concentrating at a handful of high-profile sites while dozens of proximate attractions remain under-visited.</w:t>
      </w:r>
    </w:p>
    <w:p>
      <w:pPr>
        <w:spacing w:after="100" w:before="60"/>
        <w:jc w:val="both"/>
      </w:pPr>
      <w:r>
        <w:rPr>
          <w:rFonts w:ascii="Arial" w:cs="Arial" w:eastAsia="Arial" w:hAnsi="Arial"/>
          <w:b/>
          <w:bCs/>
          <w:sz w:val="22"/>
          <w:szCs w:val="22"/>
        </w:rPr>
        <w:t xml:space="preserve">Objective: </w:t>
      </w:r>
      <w:r>
        <w:rPr>
          <w:rFonts w:ascii="Arial" w:cs="Arial" w:eastAsia="Arial" w:hAnsi="Arial"/>
          <w:sz w:val="22"/>
          <w:szCs w:val="22"/>
        </w:rPr>
        <w:t xml:space="preserve">This project applies Social Network Analysis (SNA) to model the connectivity of 25 verified tourism sites in and around Mannargudi, computing standard graph-theoretic metrics to identify gateway nodes, tourist sub-circuits, and opportunities for equitable visitor dispersion.</w:t>
      </w:r>
    </w:p>
    <w:p>
      <w:pPr>
        <w:spacing w:after="100" w:before="60"/>
        <w:jc w:val="both"/>
      </w:pPr>
      <w:r>
        <w:rPr>
          <w:rFonts w:ascii="Arial" w:cs="Arial" w:eastAsia="Arial" w:hAnsi="Arial"/>
          <w:b/>
          <w:bCs/>
          <w:sz w:val="22"/>
          <w:szCs w:val="22"/>
        </w:rPr>
        <w:t xml:space="preserve">Methodology: </w:t>
      </w:r>
      <w:r>
        <w:rPr>
          <w:rFonts w:ascii="Arial" w:cs="Arial" w:eastAsia="Arial" w:hAnsi="Arial"/>
          <w:sz w:val="22"/>
          <w:szCs w:val="22"/>
        </w:rPr>
        <w:t xml:space="preserve">An undirected weighted graph was constructed using NetworkX (Python), with nodes representing real tourism sites and edges encoding verified physical proximity, road transport links, thematic pilgrimage circuits, and ecological relationships. Five centrality measures were computed (degree, betweenness, closeness, eigenvector, PageRank), community detection was performed using the greedy modularity algorithm, and a heuristic itinerary generation algorithm was developed combining centrality scores with user interest tags.</w:t>
      </w:r>
    </w:p>
    <w:p>
      <w:pPr>
        <w:spacing w:after="100" w:before="60"/>
        <w:jc w:val="both"/>
      </w:pPr>
      <w:r>
        <w:rPr>
          <w:rFonts w:ascii="Arial" w:cs="Arial" w:eastAsia="Arial" w:hAnsi="Arial"/>
          <w:b/>
          <w:bCs/>
          <w:sz w:val="22"/>
          <w:szCs w:val="22"/>
        </w:rPr>
        <w:t xml:space="preserve">Key Findings: </w:t>
      </w:r>
      <w:r>
        <w:rPr>
          <w:rFonts w:ascii="Arial" w:cs="Arial" w:eastAsia="Arial" w:hAnsi="Arial"/>
          <w:sz w:val="22"/>
          <w:szCs w:val="22"/>
        </w:rPr>
        <w:t xml:space="preserve">Sri Rajagopalaswamy Temple dominates the network with betweenness centrality of 0.670 — controlling approximately 67% of shortest tourist paths — confirming its gateway role. Four distinct tourist sub-circuits were identified (modularity = 0.528): the core Mannargudi religious cluster, the Cauvery delta eco-tourism corridor, the Kumbakonam–Thanjavur Chola heritage belt, and the southern coastal pilgrimage arc. The Cauvery Delta Wetlands emerge as a critical bridging node (betweenness = 0.344) connecting the pilgrimage and eco-tourism communities.</w:t>
      </w:r>
    </w:p>
    <w:p>
      <w:pPr>
        <w:spacing w:after="100" w:before="60"/>
        <w:jc w:val="both"/>
      </w:pPr>
      <w:r>
        <w:rPr>
          <w:rFonts w:ascii="Arial" w:cs="Arial" w:eastAsia="Arial" w:hAnsi="Arial"/>
          <w:b/>
          <w:bCs/>
          <w:sz w:val="22"/>
          <w:szCs w:val="22"/>
        </w:rPr>
        <w:t xml:space="preserve">Deliverable: </w:t>
      </w:r>
      <w:r>
        <w:rPr>
          <w:rFonts w:ascii="Arial" w:cs="Arial" w:eastAsia="Arial" w:hAnsi="Arial"/>
          <w:sz w:val="22"/>
          <w:szCs w:val="22"/>
        </w:rPr>
        <w:t xml:space="preserve">A fully interactive, locally deployable Streamlit web application providing six analytical views: network overview, geographic map, metrics dashboard, community detection, personalised itinerary generation, and individual site exploration.</w:t>
      </w:r>
    </w:p>
    <w:p>
      <w:pPr>
        <w:spacing w:after="60" w:before="0"/>
      </w:pPr>
      <w:r>
        <w:t xml:space="preserve"/>
      </w:r>
    </w:p>
    <w:p>
      <w:pPr>
        <w:pStyle w:val="Heading1"/>
        <w:spacing w:after="120" w:before="280"/>
      </w:pPr>
      <w:r>
        <w:rPr>
          <w:rFonts w:ascii="Arial" w:cs="Arial" w:eastAsia="Arial" w:hAnsi="Arial"/>
          <w:b/>
          <w:bCs/>
        </w:rPr>
        <w:t xml:space="preserve">2. Objectives</w:t>
      </w:r>
    </w:p>
    <w:p>
      <w:pPr>
        <w:pStyle w:val="Heading2"/>
        <w:spacing w:after="120" w:before="280"/>
      </w:pPr>
      <w:r>
        <w:rPr>
          <w:rFonts w:ascii="Arial" w:cs="Arial" w:eastAsia="Arial" w:hAnsi="Arial"/>
          <w:b/>
          <w:bCs/>
        </w:rPr>
        <w:t xml:space="preserve">2.1 Primary Objectives</w:t>
      </w:r>
    </w:p>
    <w:p>
      <w:pPr>
        <w:pStyle w:val="ListParagraph"/>
        <w:numPr>
          <w:ilvl w:val="0"/>
          <w:numId w:val="2"/>
        </w:numPr>
        <w:spacing w:after="40" w:before="40"/>
      </w:pPr>
      <w:r>
        <w:rPr>
          <w:rFonts w:ascii="Arial" w:cs="Arial" w:eastAsia="Arial" w:hAnsi="Arial"/>
          <w:color w:val="1A1A2E"/>
          <w:sz w:val="22"/>
          <w:szCs w:val="22"/>
        </w:rPr>
        <w:t xml:space="preserve">Model the tourism ecosystem of Mannargudi and the surrounding Thiruvarur District as a formal network graph using only verifiable, publicly documented data.</w:t>
      </w:r>
    </w:p>
    <w:p>
      <w:pPr>
        <w:pStyle w:val="ListParagraph"/>
        <w:numPr>
          <w:ilvl w:val="0"/>
          <w:numId w:val="2"/>
        </w:numPr>
        <w:spacing w:after="40" w:before="40"/>
      </w:pPr>
      <w:r>
        <w:rPr>
          <w:rFonts w:ascii="Arial" w:cs="Arial" w:eastAsia="Arial" w:hAnsi="Arial"/>
          <w:color w:val="1A1A2E"/>
          <w:sz w:val="22"/>
          <w:szCs w:val="22"/>
        </w:rPr>
        <w:t xml:space="preserve">Identify gateway sites that control tourist flow dispersion, using betweenness and eigenvector centrality as proxies for network importance.</w:t>
      </w:r>
    </w:p>
    <w:p>
      <w:pPr>
        <w:pStyle w:val="ListParagraph"/>
        <w:numPr>
          <w:ilvl w:val="0"/>
          <w:numId w:val="2"/>
        </w:numPr>
        <w:spacing w:after="40" w:before="40"/>
      </w:pPr>
      <w:r>
        <w:rPr>
          <w:rFonts w:ascii="Arial" w:cs="Arial" w:eastAsia="Arial" w:hAnsi="Arial"/>
          <w:color w:val="1A1A2E"/>
          <w:sz w:val="22"/>
          <w:szCs w:val="22"/>
        </w:rPr>
        <w:t xml:space="preserve">Detect natural tourist sub-circuits through unsupervised community detection and interpret their thematic and geographical coherence.</w:t>
      </w:r>
    </w:p>
    <w:p>
      <w:pPr>
        <w:pStyle w:val="ListParagraph"/>
        <w:numPr>
          <w:ilvl w:val="0"/>
          <w:numId w:val="2"/>
        </w:numPr>
        <w:spacing w:after="40" w:before="40"/>
      </w:pPr>
      <w:r>
        <w:rPr>
          <w:rFonts w:ascii="Arial" w:cs="Arial" w:eastAsia="Arial" w:hAnsi="Arial"/>
          <w:color w:val="1A1A2E"/>
          <w:sz w:val="22"/>
          <w:szCs w:val="22"/>
        </w:rPr>
        <w:t xml:space="preserve">Generate personalised, network-informed itineraries that respect user interest profiles while maximising coverage of the network.</w:t>
      </w:r>
    </w:p>
    <w:p>
      <w:pPr>
        <w:pStyle w:val="Heading2"/>
        <w:spacing w:after="120" w:before="280"/>
      </w:pPr>
      <w:r>
        <w:rPr>
          <w:rFonts w:ascii="Arial" w:cs="Arial" w:eastAsia="Arial" w:hAnsi="Arial"/>
          <w:b/>
          <w:bCs/>
        </w:rPr>
        <w:t xml:space="preserve">2.2 Secondary Objectives</w:t>
      </w:r>
    </w:p>
    <w:p>
      <w:pPr>
        <w:pStyle w:val="ListParagraph"/>
        <w:numPr>
          <w:ilvl w:val="0"/>
          <w:numId w:val="2"/>
        </w:numPr>
        <w:spacing w:after="40" w:before="40"/>
      </w:pPr>
      <w:r>
        <w:rPr>
          <w:rFonts w:ascii="Arial" w:cs="Arial" w:eastAsia="Arial" w:hAnsi="Arial"/>
          <w:color w:val="1A1A2E"/>
          <w:sz w:val="22"/>
          <w:szCs w:val="22"/>
        </w:rPr>
        <w:t xml:space="preserve">Provide a reusable, modular Python codebase (NetworkX + Streamlit + Plotly) deployable on any local machine without cost or cloud dependency.</w:t>
      </w:r>
    </w:p>
    <w:p>
      <w:pPr>
        <w:pStyle w:val="ListParagraph"/>
        <w:numPr>
          <w:ilvl w:val="0"/>
          <w:numId w:val="2"/>
        </w:numPr>
        <w:spacing w:after="40" w:before="40"/>
      </w:pPr>
      <w:r>
        <w:rPr>
          <w:rFonts w:ascii="Arial" w:cs="Arial" w:eastAsia="Arial" w:hAnsi="Arial"/>
          <w:color w:val="1A1A2E"/>
          <w:sz w:val="22"/>
          <w:szCs w:val="22"/>
        </w:rPr>
        <w:t xml:space="preserve">Demonstrate how SNA metrics (centrality, clustering, modularity) translate into actionable tourism planning insights.</w:t>
      </w:r>
    </w:p>
    <w:p>
      <w:pPr>
        <w:pStyle w:val="ListParagraph"/>
        <w:numPr>
          <w:ilvl w:val="0"/>
          <w:numId w:val="2"/>
        </w:numPr>
        <w:spacing w:after="40" w:before="40"/>
      </w:pPr>
      <w:r>
        <w:rPr>
          <w:rFonts w:ascii="Arial" w:cs="Arial" w:eastAsia="Arial" w:hAnsi="Arial"/>
          <w:color w:val="1A1A2E"/>
          <w:sz w:val="22"/>
          <w:szCs w:val="22"/>
        </w:rPr>
        <w:t xml:space="preserve">Establish a transparent, citeable data model that tourism researchers and planners can audit and extend.</w:t>
      </w:r>
    </w:p>
    <w:p>
      <w:pPr>
        <w:pStyle w:val="ListParagraph"/>
        <w:numPr>
          <w:ilvl w:val="0"/>
          <w:numId w:val="2"/>
        </w:numPr>
        <w:spacing w:after="40" w:before="40"/>
      </w:pPr>
      <w:r>
        <w:rPr>
          <w:rFonts w:ascii="Arial" w:cs="Arial" w:eastAsia="Arial" w:hAnsi="Arial"/>
          <w:color w:val="1A1A2E"/>
          <w:sz w:val="22"/>
          <w:szCs w:val="22"/>
        </w:rPr>
        <w:t xml:space="preserve">Highlight under-visited sites (low centrality, high thematic relevance) as candidates for targeted tourism promotion.</w:t>
      </w:r>
    </w:p>
    <w:p>
      <w:pPr>
        <w:pStyle w:val="Heading2"/>
        <w:spacing w:after="120" w:before="280"/>
      </w:pPr>
      <w:r>
        <w:rPr>
          <w:rFonts w:ascii="Arial" w:cs="Arial" w:eastAsia="Arial" w:hAnsi="Arial"/>
          <w:b/>
          <w:bCs/>
        </w:rPr>
        <w:t xml:space="preserve">2.3 Research Questions</w:t>
      </w:r>
    </w:p>
    <w:p>
      <w:pPr>
        <w:pStyle w:val="ListParagraph"/>
        <w:numPr>
          <w:ilvl w:val="0"/>
          <w:numId w:val="3"/>
        </w:numPr>
        <w:spacing w:after="40" w:before="40"/>
      </w:pPr>
      <w:r>
        <w:rPr>
          <w:rFonts w:ascii="Arial" w:cs="Arial" w:eastAsia="Arial" w:hAnsi="Arial"/>
          <w:color w:val="1A1A2E"/>
          <w:sz w:val="22"/>
          <w:szCs w:val="22"/>
        </w:rPr>
        <w:t xml:space="preserve">Which sites act as indispensable gateways in the Mannargudi tourism network?</w:t>
      </w:r>
    </w:p>
    <w:p>
      <w:pPr>
        <w:pStyle w:val="ListParagraph"/>
        <w:numPr>
          <w:ilvl w:val="0"/>
          <w:numId w:val="3"/>
        </w:numPr>
        <w:spacing w:after="40" w:before="40"/>
      </w:pPr>
      <w:r>
        <w:rPr>
          <w:rFonts w:ascii="Arial" w:cs="Arial" w:eastAsia="Arial" w:hAnsi="Arial"/>
          <w:color w:val="1A1A2E"/>
          <w:sz w:val="22"/>
          <w:szCs w:val="22"/>
        </w:rPr>
        <w:t xml:space="preserve">How do tourist sub-circuits align with geographical, thematic, and transport boundaries?</w:t>
      </w:r>
    </w:p>
    <w:p>
      <w:pPr>
        <w:pStyle w:val="ListParagraph"/>
        <w:numPr>
          <w:ilvl w:val="0"/>
          <w:numId w:val="3"/>
        </w:numPr>
        <w:spacing w:after="40" w:before="40"/>
      </w:pPr>
      <w:r>
        <w:rPr>
          <w:rFonts w:ascii="Arial" w:cs="Arial" w:eastAsia="Arial" w:hAnsi="Arial"/>
          <w:color w:val="1A1A2E"/>
          <w:sz w:val="22"/>
          <w:szCs w:val="22"/>
        </w:rPr>
        <w:t xml:space="preserve">Can SNA-derived itineraries outperform simple proximity-based recommendations in network coverage?</w:t>
      </w:r>
    </w:p>
    <w:p>
      <w:pPr>
        <w:pStyle w:val="ListParagraph"/>
        <w:numPr>
          <w:ilvl w:val="0"/>
          <w:numId w:val="3"/>
        </w:numPr>
        <w:spacing w:after="40" w:before="40"/>
      </w:pPr>
      <w:r>
        <w:rPr>
          <w:rFonts w:ascii="Arial" w:cs="Arial" w:eastAsia="Arial" w:hAnsi="Arial"/>
          <w:color w:val="1A1A2E"/>
          <w:sz w:val="22"/>
          <w:szCs w:val="22"/>
        </w:rPr>
        <w:t xml:space="preserve">What is the structural vulnerability of the network if key gateway nodes are removed?</w:t>
      </w:r>
    </w:p>
    <w:p>
      <w:pPr>
        <w:spacing w:after="0" w:before="0"/>
      </w:pPr>
      <w:r>
        <w:br w:type="page"/>
      </w:r>
    </w:p>
    <w:p>
      <w:pPr>
        <w:pStyle w:val="Heading1"/>
        <w:spacing w:after="120" w:before="280"/>
      </w:pPr>
      <w:r>
        <w:rPr>
          <w:rFonts w:ascii="Arial" w:cs="Arial" w:eastAsia="Arial" w:hAnsi="Arial"/>
          <w:b/>
          <w:bCs/>
        </w:rPr>
        <w:t xml:space="preserve">3. System Architecture</w:t>
      </w:r>
    </w:p>
    <w:p>
      <w:pPr>
        <w:pStyle w:val="Heading2"/>
        <w:spacing w:after="120" w:before="280"/>
      </w:pPr>
      <w:r>
        <w:rPr>
          <w:rFonts w:ascii="Arial" w:cs="Arial" w:eastAsia="Arial" w:hAnsi="Arial"/>
          <w:b/>
          <w:bCs/>
        </w:rPr>
        <w:t xml:space="preserve">3.1 Overview</w:t>
      </w:r>
    </w:p>
    <w:p>
      <w:pPr>
        <w:spacing w:after="100" w:before="60"/>
        <w:jc w:val="both"/>
      </w:pPr>
      <w:r>
        <w:rPr>
          <w:rFonts w:ascii="Arial" w:cs="Arial" w:eastAsia="Arial" w:hAnsi="Arial"/>
          <w:color w:val="1A1A2E"/>
          <w:sz w:val="22"/>
          <w:szCs w:val="22"/>
        </w:rPr>
        <w:t xml:space="preserve">The project follows a three-layer architecture: a static data layer, a computational analytics layer, and an interactive presentation layer. All three layers are implemented in Python and run locally without any cloud or external service dependency.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 / File</w:t>
            </w:r>
          </w:p>
        </w:tc>
        <w:tc>
          <w:tcPr>
            <w:tcW w:type="dxa" w:w="45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0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Data Layer</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data/network_data.py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Static Python dictionaries encoding 25 nodes and 38 edges with full metadata and inline source citations.</w:t>
            </w:r>
          </w:p>
        </w:tc>
      </w:tr>
      <w:tr>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Analytics Layer</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utils/network_builder.py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Builds the NetworkX graph, computes all five centrality measures, runs community detection, generates itineraries, and computes shortest paths.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Visualisation Layer</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utils/visualizations.py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Six Plotly figure generators: network overview, geographic map, centrality bars, community view, itinerary flow, radar chart, scatter plot.</w:t>
            </w:r>
          </w:p>
        </w:tc>
      </w:tr>
      <w:tr>
        <w:tc>
          <w:tcPr>
            <w:tcW w:type="dxa" w:w="20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Presentation Layer</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app.py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Streamlit application: sidebar controls, six tabs, session state management, caching, and custom CSS.</w:t>
            </w:r>
          </w:p>
        </w:tc>
      </w:tr>
    </w:tbl>
    <w:p>
      <w:pPr>
        <w:spacing w:after="60" w:before="0"/>
      </w:pPr>
      <w:r>
        <w:t xml:space="preserve"/>
      </w:r>
    </w:p>
    <w:p>
      <w:pPr>
        <w:pStyle w:val="Heading2"/>
        <w:spacing w:after="120" w:before="280"/>
      </w:pPr>
      <w:r>
        <w:rPr>
          <w:rFonts w:ascii="Arial" w:cs="Arial" w:eastAsia="Arial" w:hAnsi="Arial"/>
          <w:b/>
          <w:bCs/>
        </w:rPr>
        <w:t xml:space="preserve">3.2 File Structure</w:t>
      </w:r>
    </w:p>
    <w:p>
      <w:pPr>
        <w:pBdr>
          <w:top w:val="single" w:color="E07B39" w:sz="1"/>
          <w:left w:val="single" w:color="E07B39" w:sz="8"/>
        </w:pBdr>
        <w:shd w:fill="F2F3F4" w:val="clear"/>
        <w:spacing w:after="0" w:before="80"/>
      </w:pPr>
      <w:r>
        <w:rPr>
          <w:rFonts w:ascii="Courier New" w:cs="Courier New" w:eastAsia="Courier New" w:hAnsi="Courier New"/>
          <w:color w:val="1A1A2E"/>
          <w:sz w:val="18"/>
          <w:szCs w:val="18"/>
        </w:rPr>
        <w:t xml:space="preserve">mannargudi_sna/</w:t>
      </w:r>
    </w:p>
    <w:p>
      <w:pPr>
        <w:pBdr>
          <w:left w:val="single" w:color="E07B39" w:sz="8"/>
        </w:pBdr>
        <w:shd w:fill="F2F3F4" w:val="clear"/>
        <w:spacing w:after="0" w:before="0"/>
      </w:pPr>
      <w:r>
        <w:rPr>
          <w:rFonts w:ascii="Courier New" w:cs="Courier New" w:eastAsia="Courier New" w:hAnsi="Courier New"/>
          <w:color w:val="1A1A2E"/>
          <w:sz w:val="18"/>
          <w:szCs w:val="18"/>
        </w:rPr>
        <w:t xml:space="preserve">├── app.py                    # Streamlit entry point</w:t>
      </w:r>
    </w:p>
    <w:p>
      <w:pPr>
        <w:pBdr>
          <w:left w:val="single" w:color="E07B39" w:sz="8"/>
        </w:pBdr>
        <w:shd w:fill="F2F3F4" w:val="clear"/>
        <w:spacing w:after="0" w:before="0"/>
      </w:pPr>
      <w:r>
        <w:rPr>
          <w:rFonts w:ascii="Courier New" w:cs="Courier New" w:eastAsia="Courier New" w:hAnsi="Courier New"/>
          <w:color w:val="1A1A2E"/>
          <w:sz w:val="18"/>
          <w:szCs w:val="18"/>
        </w:rPr>
        <w:t xml:space="preserve">├── requirements.txt          # Python dependencies</w:t>
      </w:r>
    </w:p>
    <w:p>
      <w:pPr>
        <w:pBdr>
          <w:left w:val="single" w:color="E07B39" w:sz="8"/>
        </w:pBdr>
        <w:shd w:fill="F2F3F4" w:val="clear"/>
        <w:spacing w:after="0" w:before="0"/>
      </w:pPr>
      <w:r>
        <w:rPr>
          <w:rFonts w:ascii="Courier New" w:cs="Courier New" w:eastAsia="Courier New" w:hAnsi="Courier New"/>
          <w:color w:val="1A1A2E"/>
          <w:sz w:val="18"/>
          <w:szCs w:val="18"/>
        </w:rPr>
        <w:t xml:space="preserve">├── README.md                 # Deployment guide &amp; methodology</w:t>
      </w:r>
    </w:p>
    <w:p>
      <w:pPr>
        <w:pBdr>
          <w:left w:val="single" w:color="E07B39" w:sz="8"/>
        </w:pBdr>
        <w:shd w:fill="F2F3F4" w:val="clear"/>
        <w:spacing w:after="0" w:before="0"/>
      </w:pPr>
      <w:r>
        <w:rPr>
          <w:rFonts w:ascii="Courier New" w:cs="Courier New" w:eastAsia="Courier New" w:hAnsi="Courier New"/>
          <w:color w:val="1A1A2E"/>
          <w:sz w:val="18"/>
          <w:szCs w:val="18"/>
        </w:rPr>
        <w:t xml:space="preserve">├── data/</w:t>
      </w:r>
    </w:p>
    <w:p>
      <w:pPr>
        <w:pBdr>
          <w:left w:val="single" w:color="E07B39" w:sz="8"/>
        </w:pBdr>
        <w:shd w:fill="F2F3F4" w:val="clear"/>
        <w:spacing w:after="0" w:before="0"/>
      </w:pPr>
      <w:r>
        <w:rPr>
          <w:rFonts w:ascii="Courier New" w:cs="Courier New" w:eastAsia="Courier New" w:hAnsi="Courier New"/>
          <w:color w:val="1A1A2E"/>
          <w:sz w:val="18"/>
          <w:szCs w:val="18"/>
        </w:rPr>
        <w:t xml:space="preserve">│   ├── __init__.py</w:t>
      </w:r>
    </w:p>
    <w:p>
      <w:pPr>
        <w:pBdr>
          <w:left w:val="single" w:color="E07B39" w:sz="8"/>
        </w:pBdr>
        <w:shd w:fill="F2F3F4" w:val="clear"/>
        <w:spacing w:after="0" w:before="0"/>
      </w:pPr>
      <w:r>
        <w:rPr>
          <w:rFonts w:ascii="Courier New" w:cs="Courier New" w:eastAsia="Courier New" w:hAnsi="Courier New"/>
          <w:color w:val="1A1A2E"/>
          <w:sz w:val="18"/>
          <w:szCs w:val="18"/>
        </w:rPr>
        <w:t xml:space="preserve">│   └── network_data.py       # All nodes, edges, metadata (cited)</w:t>
      </w:r>
    </w:p>
    <w:p>
      <w:pPr>
        <w:pBdr>
          <w:left w:val="single" w:color="E07B39" w:sz="8"/>
        </w:pBdr>
        <w:shd w:fill="F2F3F4" w:val="clear"/>
        <w:spacing w:after="0" w:before="0"/>
      </w:pPr>
      <w:r>
        <w:rPr>
          <w:rFonts w:ascii="Courier New" w:cs="Courier New" w:eastAsia="Courier New" w:hAnsi="Courier New"/>
          <w:color w:val="1A1A2E"/>
          <w:sz w:val="18"/>
          <w:szCs w:val="18"/>
        </w:rPr>
        <w:t xml:space="preserve">└── utils/</w:t>
      </w:r>
    </w:p>
    <w:p>
      <w:pPr>
        <w:pBdr>
          <w:left w:val="single" w:color="E07B39" w:sz="8"/>
        </w:pBdr>
        <w:shd w:fill="F2F3F4" w:val="clear"/>
        <w:spacing w:after="0" w:before="0"/>
      </w:pPr>
      <w:r>
        <w:rPr>
          <w:rFonts w:ascii="Courier New" w:cs="Courier New" w:eastAsia="Courier New" w:hAnsi="Courier New"/>
          <w:color w:val="1A1A2E"/>
          <w:sz w:val="18"/>
          <w:szCs w:val="18"/>
        </w:rPr>
        <w:t xml:space="preserve">    ├── __init__.py</w:t>
      </w:r>
    </w:p>
    <w:p>
      <w:pPr>
        <w:pBdr>
          <w:left w:val="single" w:color="E07B39" w:sz="8"/>
        </w:pBdr>
        <w:shd w:fill="F2F3F4" w:val="clear"/>
        <w:spacing w:after="0" w:before="0"/>
      </w:pPr>
      <w:r>
        <w:rPr>
          <w:rFonts w:ascii="Courier New" w:cs="Courier New" w:eastAsia="Courier New" w:hAnsi="Courier New"/>
          <w:color w:val="1A1A2E"/>
          <w:sz w:val="18"/>
          <w:szCs w:val="18"/>
        </w:rPr>
        <w:t xml:space="preserve">    ├── network_builder.py    # Graph construction &amp; SNA metrics</w:t>
      </w:r>
    </w:p>
    <w:p>
      <w:pPr>
        <w:pBdr>
          <w:left w:val="single" w:color="E07B39" w:sz="8"/>
        </w:pBdr>
        <w:shd w:fill="F2F3F4" w:val="clear"/>
        <w:spacing w:after="80" w:before="0"/>
      </w:pPr>
      <w:r>
        <w:rPr>
          <w:rFonts w:ascii="Courier New" w:cs="Courier New" w:eastAsia="Courier New" w:hAnsi="Courier New"/>
          <w:color w:val="1A1A2E"/>
          <w:sz w:val="18"/>
          <w:szCs w:val="18"/>
        </w:rPr>
        <w:t xml:space="preserve">    └── visualizations.py    # Plotly chart generators</w:t>
      </w:r>
    </w:p>
    <w:p>
      <w:pPr>
        <w:spacing w:after="60" w:before="0"/>
      </w:pPr>
      <w:r>
        <w:t xml:space="preserve"/>
      </w:r>
    </w:p>
    <w:p>
      <w:pPr>
        <w:pStyle w:val="Heading2"/>
        <w:spacing w:after="120" w:before="280"/>
      </w:pPr>
      <w:r>
        <w:rPr>
          <w:rFonts w:ascii="Arial" w:cs="Arial" w:eastAsia="Arial" w:hAnsi="Arial"/>
          <w:b/>
          <w:bCs/>
        </w:rPr>
        <w:t xml:space="preserve">3.3 Data Flow</w:t>
      </w:r>
    </w:p>
    <w:p>
      <w:pPr>
        <w:spacing w:after="100" w:before="60"/>
        <w:jc w:val="both"/>
      </w:pPr>
      <w:r>
        <w:rPr>
          <w:rFonts w:ascii="Arial" w:cs="Arial" w:eastAsia="Arial" w:hAnsi="Arial"/>
          <w:color w:val="1A1A2E"/>
          <w:sz w:val="22"/>
          <w:szCs w:val="22"/>
        </w:rPr>
        <w:t xml:space="preserve">On application startup, Streamlit calls build_graph() which iterates over NODES and EDGES dictionaries, constructing a NetworkX undirected weighted graph (nx.Graph). This graph is passed to compute_metrics(), which computes all centrality measures and community assignments in a single pass. Results are cached by Streamlit using @st.cache_resource, meaning the expensive graph computation runs only once per session regardless of user interaction. User inputs (interests, days, start node) trigger generate_itinerary() on demand; all six Plotly figures are generated lazily only when their respective tab is rendered.</w:t>
      </w:r>
    </w:p>
    <w:p>
      <w:pPr>
        <w:pStyle w:val="Heading2"/>
        <w:spacing w:after="120" w:before="280"/>
      </w:pPr>
      <w:r>
        <w:rPr>
          <w:rFonts w:ascii="Arial" w:cs="Arial" w:eastAsia="Arial" w:hAnsi="Arial"/>
          <w:b/>
          <w:bCs/>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 / Version</w:t>
            </w:r>
          </w:p>
        </w:tc>
        <w:tc>
          <w:tcPr>
            <w:tcW w:type="dxa" w:w="48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Web Application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Streamlit ≥1.32</w:t>
            </w:r>
          </w:p>
        </w:tc>
        <w:tc>
          <w:tcPr>
            <w:tcW w:type="dxa" w:w="4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Interactive UI, session state, caching, tab navigation</w:t>
            </w:r>
          </w:p>
        </w:tc>
      </w:tr>
      <w:tr>
        <w:tc>
          <w:tcPr>
            <w:tcW w:type="dxa" w:w="2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Network Analysis</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NetworkX ≥3.2</w:t>
            </w:r>
          </w:p>
        </w:tc>
        <w:tc>
          <w:tcPr>
            <w:tcW w:type="dxa" w:w="4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Graph construction, centrality, shortest paths, clustering</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Community Detection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NetworkX greedy modularity (built-in)</w:t>
            </w:r>
          </w:p>
        </w:tc>
        <w:tc>
          <w:tcPr>
            <w:tcW w:type="dxa" w:w="4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Louvain-compatible community detection; no extra install</w:t>
            </w:r>
          </w:p>
        </w:tc>
      </w:tr>
      <w:tr>
        <w:tc>
          <w:tcPr>
            <w:tcW w:type="dxa" w:w="2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Visualisation</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Plotly ≥5.18</w:t>
            </w:r>
          </w:p>
        </w:tc>
        <w:tc>
          <w:tcPr>
            <w:tcW w:type="dxa" w:w="4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All interactive charts; scatter geo map; Sankey-style flow</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Data Processing</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Pandas ≥2.1</w:t>
            </w:r>
          </w:p>
        </w:tc>
        <w:tc>
          <w:tcPr>
            <w:tcW w:type="dxa" w:w="4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Centrality summary DataFrames, display tables</w:t>
            </w:r>
          </w:p>
        </w:tc>
      </w:tr>
      <w:tr>
        <w:tc>
          <w:tcPr>
            <w:tcW w:type="dxa" w:w="2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Numerical</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NumPy ≥1.26</w:t>
            </w:r>
          </w:p>
        </w:tc>
        <w:tc>
          <w:tcPr>
            <w:tcW w:type="dxa" w:w="4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Normalisation, statistical operations</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Runtime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Python 3.9+</w:t>
            </w:r>
          </w:p>
        </w:tc>
        <w:tc>
          <w:tcPr>
            <w:tcW w:type="dxa" w:w="4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Core language; f-strings, dataclasses, type hints</w:t>
            </w:r>
          </w:p>
        </w:tc>
      </w:tr>
    </w:tbl>
    <w:p>
      <w:pPr>
        <w:spacing w:after="0" w:before="0"/>
      </w:pPr>
      <w:r>
        <w:br w:type="page"/>
      </w:r>
    </w:p>
    <w:p>
      <w:pPr>
        <w:pStyle w:val="Heading1"/>
        <w:spacing w:after="120" w:before="280"/>
      </w:pPr>
      <w:r>
        <w:rPr>
          <w:rFonts w:ascii="Arial" w:cs="Arial" w:eastAsia="Arial" w:hAnsi="Arial"/>
          <w:b/>
          <w:bCs/>
        </w:rPr>
        <w:t xml:space="preserve">4. Methodology</w:t>
      </w:r>
    </w:p>
    <w:p>
      <w:pPr>
        <w:pStyle w:val="Heading2"/>
        <w:spacing w:after="120" w:before="280"/>
      </w:pPr>
      <w:r>
        <w:rPr>
          <w:rFonts w:ascii="Arial" w:cs="Arial" w:eastAsia="Arial" w:hAnsi="Arial"/>
          <w:b/>
          <w:bCs/>
        </w:rPr>
        <w:t xml:space="preserve">4.1 Network Construction</w:t>
      </w:r>
    </w:p>
    <w:p>
      <w:pPr>
        <w:spacing w:after="100" w:before="60"/>
        <w:jc w:val="both"/>
      </w:pPr>
      <w:r>
        <w:rPr>
          <w:rFonts w:ascii="Arial" w:cs="Arial" w:eastAsia="Arial" w:hAnsi="Arial"/>
          <w:sz w:val="22"/>
          <w:szCs w:val="22"/>
        </w:rPr>
        <w:t xml:space="preserve">The tourism network is represented as an </w:t>
      </w:r>
      <w:r>
        <w:rPr>
          <w:rFonts w:ascii="Arial" w:cs="Arial" w:eastAsia="Arial" w:hAnsi="Arial"/>
          <w:b/>
          <w:bCs/>
          <w:sz w:val="22"/>
          <w:szCs w:val="22"/>
        </w:rPr>
        <w:t xml:space="preserve">undirected weighted graph G = (V, E, w)</w:t>
      </w:r>
      <w:r>
        <w:rPr>
          <w:rFonts w:ascii="Arial" w:cs="Arial" w:eastAsia="Arial" w:hAnsi="Arial"/>
          <w:sz w:val="22"/>
          <w:szCs w:val="22"/>
        </w:rPr>
        <w:t xml:space="preserve"> where V is the set of tourism sites (nodes), E is the set of connections (edges), and w: E → [1, 10] is an integer weight function encoding connection intensity.</w:t>
      </w:r>
    </w:p>
    <w:p>
      <w:pPr>
        <w:spacing w:after="100" w:before="60"/>
        <w:jc w:val="both"/>
      </w:pPr>
      <w:r>
        <w:rPr>
          <w:rFonts w:ascii="Arial" w:cs="Arial" w:eastAsia="Arial" w:hAnsi="Arial"/>
          <w:color w:val="1A1A2E"/>
          <w:sz w:val="22"/>
          <w:szCs w:val="22"/>
        </w:rPr>
        <w:t xml:space="preserve">The graph is undirected because tourist movement between two sites is symmetric — a visitor travelling from the Rajagopalaswamy Temple to the Thyagarajaswamy Temple may return on the same route. Edge weights encode multiple factors simultaneously:</w:t>
      </w:r>
    </w:p>
    <w:p>
      <w:pPr>
        <w:pStyle w:val="ListParagraph"/>
        <w:numPr>
          <w:ilvl w:val="0"/>
          <w:numId w:val="3"/>
        </w:numPr>
        <w:spacing w:after="40" w:before="40"/>
      </w:pPr>
      <w:r>
        <w:rPr>
          <w:rFonts w:ascii="Arial" w:cs="Arial" w:eastAsia="Arial" w:hAnsi="Arial"/>
          <w:color w:val="1A1A2E"/>
          <w:sz w:val="22"/>
          <w:szCs w:val="22"/>
        </w:rPr>
        <w:t xml:space="preserve">Physical proximity (inverse of distance in km, capped at 10 for ≤0.5 km)</w:t>
      </w:r>
    </w:p>
    <w:p>
      <w:pPr>
        <w:pStyle w:val="ListParagraph"/>
        <w:numPr>
          <w:ilvl w:val="0"/>
          <w:numId w:val="3"/>
        </w:numPr>
        <w:spacing w:after="40" w:before="40"/>
      </w:pPr>
      <w:r>
        <w:rPr>
          <w:rFonts w:ascii="Arial" w:cs="Arial" w:eastAsia="Arial" w:hAnsi="Arial"/>
          <w:color w:val="1A1A2E"/>
          <w:sz w:val="22"/>
          <w:szCs w:val="22"/>
        </w:rPr>
        <w:t xml:space="preserve">Transport frequency (organised pilgrim buses score higher than private taxis)</w:t>
      </w:r>
    </w:p>
    <w:p>
      <w:pPr>
        <w:pStyle w:val="ListParagraph"/>
        <w:numPr>
          <w:ilvl w:val="0"/>
          <w:numId w:val="3"/>
        </w:numPr>
        <w:spacing w:after="40" w:before="40"/>
      </w:pPr>
      <w:r>
        <w:rPr>
          <w:rFonts w:ascii="Arial" w:cs="Arial" w:eastAsia="Arial" w:hAnsi="Arial"/>
          <w:color w:val="1A1A2E"/>
          <w:sz w:val="22"/>
          <w:szCs w:val="22"/>
        </w:rPr>
        <w:t xml:space="preserve">Cultural bond intensity (Paadal Petra Sthalam circuit members score 6–8)</w:t>
      </w:r>
    </w:p>
    <w:p>
      <w:pPr>
        <w:pStyle w:val="ListParagraph"/>
        <w:numPr>
          <w:ilvl w:val="0"/>
          <w:numId w:val="3"/>
        </w:numPr>
        <w:spacing w:after="40" w:before="40"/>
      </w:pPr>
      <w:r>
        <w:rPr>
          <w:rFonts w:ascii="Arial" w:cs="Arial" w:eastAsia="Arial" w:hAnsi="Arial"/>
          <w:color w:val="1A1A2E"/>
          <w:sz w:val="22"/>
          <w:szCs w:val="22"/>
        </w:rPr>
        <w:t xml:space="preserve">Co-marketing by Tamil Nadu Tourism Department (UNESCO sites score 8–9)</w:t>
      </w:r>
    </w:p>
    <w:p>
      <w:pPr>
        <w:spacing w:after="60" w:before="0"/>
      </w:pPr>
      <w:r>
        <w:t xml:space="preserve"/>
      </w:r>
    </w:p>
    <w:p>
      <w:pPr>
        <w:pStyle w:val="Heading2"/>
        <w:spacing w:after="120" w:before="280"/>
      </w:pPr>
      <w:r>
        <w:rPr>
          <w:rFonts w:ascii="Arial" w:cs="Arial" w:eastAsia="Arial" w:hAnsi="Arial"/>
          <w:b/>
          <w:bCs/>
        </w:rPr>
        <w:t xml:space="preserve">4.2 Centrality Metrics — Definitions &amp; Tourism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Definition</w:t>
            </w:r>
          </w:p>
        </w:tc>
        <w:tc>
          <w:tcPr>
            <w:tcW w:type="dxa" w:w="41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Tourism Interpretation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Degree Centrality</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DC(v) = deg(v) / (|V| - 1)</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Raw connectivity — how many sites a node directly connects to</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Betweenness Centrality</w:t>
            </w:r>
          </w:p>
        </w:tc>
        <w:tc>
          <w:tcPr>
            <w:tcW w:type="dxa" w:w="3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BC(v) = Σ σ(s,t|v) / σ(s,t), s≠v≠t</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Gateway importance — sites on the most shortest tourist paths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Closeness Centrality</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CC(v) = (|V|-1) / Σ d(v,u)</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Accessibility — how quickly a tourist can reach all other sites</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Eigenvector Centrality</w:t>
            </w:r>
          </w:p>
        </w:tc>
        <w:tc>
          <w:tcPr>
            <w:tcW w:type="dxa" w:w="3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x(v) = (1/λ) Σ x(u), u∈N(v)</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Prestige — importance weighted by neighbours' importance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PageRank</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PR(v) = (1-d)/N + d·Σ PR(u)/L(u)</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Visitation probability — random tourist walk convergence</w:t>
            </w:r>
          </w:p>
        </w:tc>
      </w:tr>
    </w:tbl>
    <w:p>
      <w:pPr>
        <w:spacing w:after="60" w:before="0"/>
      </w:pPr>
      <w:r>
        <w:t xml:space="preserve"/>
      </w:r>
    </w:p>
    <w:p>
      <w:pPr>
        <w:pStyle w:val="Heading2"/>
        <w:spacing w:after="120" w:before="280"/>
      </w:pPr>
      <w:r>
        <w:rPr>
          <w:rFonts w:ascii="Arial" w:cs="Arial" w:eastAsia="Arial" w:hAnsi="Arial"/>
          <w:b/>
          <w:bCs/>
        </w:rPr>
        <w:t xml:space="preserve">4.3 Community Detection</w:t>
      </w:r>
    </w:p>
    <w:p>
      <w:pPr>
        <w:spacing w:after="100" w:before="60"/>
        <w:jc w:val="both"/>
      </w:pPr>
      <w:r>
        <w:rPr>
          <w:rFonts w:ascii="Arial" w:cs="Arial" w:eastAsia="Arial" w:hAnsi="Arial"/>
          <w:color w:val="1A1A2E"/>
          <w:sz w:val="22"/>
          <w:szCs w:val="22"/>
        </w:rPr>
        <w:t xml:space="preserve">Community detection uses the NetworkX greedy modularity algorithm (Clauset, Newman &amp; Moore, 2004), which iteratively merges node pairs that maximally increase modularity Q:</w:t>
      </w:r>
    </w:p>
    <w:p>
      <w:pPr>
        <w:pBdr>
          <w:top w:val="single" w:color="E07B39" w:sz="1"/>
          <w:left w:val="single" w:color="E07B39" w:sz="8"/>
        </w:pBdr>
        <w:shd w:fill="F2F3F4" w:val="clear"/>
        <w:spacing w:after="0" w:before="80"/>
      </w:pPr>
      <w:r>
        <w:rPr>
          <w:rFonts w:ascii="Courier New" w:cs="Courier New" w:eastAsia="Courier New" w:hAnsi="Courier New"/>
          <w:color w:val="1A1A2E"/>
          <w:sz w:val="18"/>
          <w:szCs w:val="18"/>
        </w:rPr>
        <w:t xml:space="preserve">Q = (1/2m) Σ [A_ij - k_i·k_j / 2m] · δ(c_i, c_j)</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Where: m = total edge weight, A_ij = edge weight matrix,</w:t>
      </w:r>
    </w:p>
    <w:p>
      <w:pPr>
        <w:pBdr>
          <w:left w:val="single" w:color="E07B39" w:sz="8"/>
        </w:pBdr>
        <w:shd w:fill="F2F3F4" w:val="clear"/>
        <w:spacing w:after="0" w:before="0"/>
      </w:pPr>
      <w:r>
        <w:rPr>
          <w:rFonts w:ascii="Courier New" w:cs="Courier New" w:eastAsia="Courier New" w:hAnsi="Courier New"/>
          <w:color w:val="1A1A2E"/>
          <w:sz w:val="18"/>
          <w:szCs w:val="18"/>
        </w:rPr>
        <w:t xml:space="preserve">       k_i = weighted degree of node i,</w:t>
      </w:r>
    </w:p>
    <w:p>
      <w:pPr>
        <w:pBdr>
          <w:left w:val="single" w:color="E07B39" w:sz="8"/>
        </w:pBdr>
        <w:shd w:fill="F2F3F4" w:val="clear"/>
        <w:spacing w:after="80" w:before="0"/>
      </w:pPr>
      <w:r>
        <w:rPr>
          <w:rFonts w:ascii="Courier New" w:cs="Courier New" w:eastAsia="Courier New" w:hAnsi="Courier New"/>
          <w:color w:val="1A1A2E"/>
          <w:sz w:val="18"/>
          <w:szCs w:val="18"/>
        </w:rPr>
        <w:t xml:space="preserve">       δ(c_i, c_j) = 1 if nodes i,j in same community</w:t>
      </w:r>
    </w:p>
    <w:p>
      <w:pPr>
        <w:spacing w:after="100" w:before="60"/>
        <w:jc w:val="both"/>
      </w:pPr>
      <w:r>
        <w:rPr>
          <w:rFonts w:ascii="Arial" w:cs="Arial" w:eastAsia="Arial" w:hAnsi="Arial"/>
          <w:color w:val="1A1A2E"/>
          <w:sz w:val="22"/>
          <w:szCs w:val="22"/>
        </w:rPr>
        <w:t xml:space="preserve">The algorithm is run with edge weights enabled. A modularity of Q = 0.528 is achieved, indicating strong community structure (Q &gt; 0.3 is generally considered significant in network science literature).</w:t>
      </w:r>
    </w:p>
    <w:p>
      <w:pPr>
        <w:pStyle w:val="Heading2"/>
        <w:spacing w:after="120" w:before="280"/>
      </w:pPr>
      <w:r>
        <w:rPr>
          <w:rFonts w:ascii="Arial" w:cs="Arial" w:eastAsia="Arial" w:hAnsi="Arial"/>
          <w:b/>
          <w:bCs/>
        </w:rPr>
        <w:t xml:space="preserve">4.4 Itinerary Generation Algorithm</w:t>
      </w:r>
    </w:p>
    <w:p>
      <w:pPr>
        <w:spacing w:after="100" w:before="60"/>
        <w:jc w:val="both"/>
      </w:pPr>
      <w:r>
        <w:rPr>
          <w:rFonts w:ascii="Arial" w:cs="Arial" w:eastAsia="Arial" w:hAnsi="Arial"/>
          <w:color w:val="1A1A2E"/>
          <w:sz w:val="22"/>
          <w:szCs w:val="22"/>
        </w:rPr>
        <w:t xml:space="preserve">The personalised itinerary generator combines network centrality with user preference tags. The full pseudocode is given below:</w:t>
      </w:r>
    </w:p>
    <w:p>
      <w:pPr>
        <w:spacing w:after="60" w:before="0"/>
      </w:pPr>
      <w:r>
        <w:t xml:space="preserve"/>
      </w:r>
    </w:p>
    <w:p>
      <w:pPr>
        <w:pBdr>
          <w:top w:val="single" w:color="E07B39" w:sz="1"/>
          <w:left w:val="single" w:color="E07B39" w:sz="8"/>
        </w:pBdr>
        <w:shd w:fill="F2F3F4" w:val="clear"/>
        <w:spacing w:after="0" w:before="80"/>
      </w:pPr>
      <w:r>
        <w:rPr>
          <w:rFonts w:ascii="Courier New" w:cs="Courier New" w:eastAsia="Courier New" w:hAnsi="Courier New"/>
          <w:color w:val="1A1A2E"/>
          <w:sz w:val="18"/>
          <w:szCs w:val="18"/>
        </w:rPr>
        <w:t xml:space="preserve">ALGORITHM: GenerateItinerary(G, metrics, interests, days, start)</w:t>
      </w:r>
    </w:p>
    <w:p>
      <w:pPr>
        <w:pBdr>
          <w:left w:val="single" w:color="E07B39" w:sz="8"/>
        </w:pBdr>
        <w:shd w:fill="F2F3F4" w:val="clear"/>
        <w:spacing w:after="0" w:before="0"/>
      </w:pPr>
      <w:r>
        <w:rPr>
          <w:rFonts w:ascii="Courier New" w:cs="Courier New" w:eastAsia="Courier New" w:hAnsi="Courier New"/>
          <w:color w:val="1A1A2E"/>
          <w:sz w:val="18"/>
          <w:szCs w:val="18"/>
        </w:rPr>
        <w:t xml:space="preserve">─────────────────────────────────────────────────────────────────</w:t>
      </w:r>
    </w:p>
    <w:p>
      <w:pPr>
        <w:pBdr>
          <w:left w:val="single" w:color="E07B39" w:sz="8"/>
        </w:pBdr>
        <w:shd w:fill="F2F3F4" w:val="clear"/>
        <w:spacing w:after="0" w:before="0"/>
      </w:pPr>
      <w:r>
        <w:rPr>
          <w:rFonts w:ascii="Courier New" w:cs="Courier New" w:eastAsia="Courier New" w:hAnsi="Courier New"/>
          <w:color w:val="1A1A2E"/>
          <w:sz w:val="18"/>
          <w:szCs w:val="18"/>
        </w:rPr>
        <w:t xml:space="preserve">INPUT:</w:t>
      </w:r>
    </w:p>
    <w:p>
      <w:pPr>
        <w:pBdr>
          <w:left w:val="single" w:color="E07B39" w:sz="8"/>
        </w:pBdr>
        <w:shd w:fill="F2F3F4" w:val="clear"/>
        <w:spacing w:after="0" w:before="0"/>
      </w:pPr>
      <w:r>
        <w:rPr>
          <w:rFonts w:ascii="Courier New" w:cs="Courier New" w:eastAsia="Courier New" w:hAnsi="Courier New"/>
          <w:color w:val="1A1A2E"/>
          <w:sz w:val="18"/>
          <w:szCs w:val="18"/>
        </w:rPr>
        <w:t xml:space="preserve">  G       – weighted tourism network graph</w:t>
      </w:r>
    </w:p>
    <w:p>
      <w:pPr>
        <w:pBdr>
          <w:left w:val="single" w:color="E07B39" w:sz="8"/>
        </w:pBdr>
        <w:shd w:fill="F2F3F4" w:val="clear"/>
        <w:spacing w:after="0" w:before="0"/>
      </w:pPr>
      <w:r>
        <w:rPr>
          <w:rFonts w:ascii="Courier New" w:cs="Courier New" w:eastAsia="Courier New" w:hAnsi="Courier New"/>
          <w:color w:val="1A1A2E"/>
          <w:sz w:val="18"/>
          <w:szCs w:val="18"/>
        </w:rPr>
        <w:t xml:space="preserve">  metrics – precomputed SNA metrics dictionary</w:t>
      </w:r>
    </w:p>
    <w:p>
      <w:pPr>
        <w:pBdr>
          <w:left w:val="single" w:color="E07B39" w:sz="8"/>
        </w:pBdr>
        <w:shd w:fill="F2F3F4" w:val="clear"/>
        <w:spacing w:after="0" w:before="0"/>
      </w:pPr>
      <w:r>
        <w:rPr>
          <w:rFonts w:ascii="Courier New" w:cs="Courier New" w:eastAsia="Courier New" w:hAnsi="Courier New"/>
          <w:color w:val="1A1A2E"/>
          <w:sz w:val="18"/>
          <w:szCs w:val="18"/>
        </w:rPr>
        <w:t xml:space="preserve">  interests – list of user interest categories (e.g. 'Eco-Tourism')</w:t>
      </w:r>
    </w:p>
    <w:p>
      <w:pPr>
        <w:pBdr>
          <w:left w:val="single" w:color="E07B39" w:sz="8"/>
        </w:pBdr>
        <w:shd w:fill="F2F3F4" w:val="clear"/>
        <w:spacing w:after="0" w:before="0"/>
      </w:pPr>
      <w:r>
        <w:rPr>
          <w:rFonts w:ascii="Courier New" w:cs="Courier New" w:eastAsia="Courier New" w:hAnsi="Courier New"/>
          <w:color w:val="1A1A2E"/>
          <w:sz w:val="18"/>
          <w:szCs w:val="18"/>
        </w:rPr>
        <w:t xml:space="preserve">  days    – number of travel days (1–5)</w:t>
      </w:r>
    </w:p>
    <w:p>
      <w:pPr>
        <w:pBdr>
          <w:left w:val="single" w:color="E07B39" w:sz="8"/>
        </w:pBdr>
        <w:shd w:fill="F2F3F4" w:val="clear"/>
        <w:spacing w:after="0" w:before="0"/>
      </w:pPr>
      <w:r>
        <w:rPr>
          <w:rFonts w:ascii="Courier New" w:cs="Courier New" w:eastAsia="Courier New" w:hAnsi="Courier New"/>
          <w:color w:val="1A1A2E"/>
          <w:sz w:val="18"/>
          <w:szCs w:val="18"/>
        </w:rPr>
        <w:t xml:space="preserve">  start   – starting node ID</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STEP 1: Tag Collection</w:t>
      </w:r>
    </w:p>
    <w:p>
      <w:pPr>
        <w:pBdr>
          <w:left w:val="single" w:color="E07B39" w:sz="8"/>
        </w:pBdr>
        <w:shd w:fill="F2F3F4" w:val="clear"/>
        <w:spacing w:after="0" w:before="0"/>
      </w:pPr>
      <w:r>
        <w:rPr>
          <w:rFonts w:ascii="Courier New" w:cs="Courier New" w:eastAsia="Courier New" w:hAnsi="Courier New"/>
          <w:color w:val="1A1A2E"/>
          <w:sz w:val="18"/>
          <w:szCs w:val="18"/>
        </w:rPr>
        <w:t xml:space="preserve">  relevant_tags ← UNION of INTEREST_TAGS[interest] for interest in interests</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STEP 2: Candidate Scoring</w:t>
      </w:r>
    </w:p>
    <w:p>
      <w:pPr>
        <w:pBdr>
          <w:left w:val="single" w:color="E07B39" w:sz="8"/>
        </w:pBdr>
        <w:shd w:fill="F2F3F4" w:val="clear"/>
        <w:spacing w:after="0" w:before="0"/>
      </w:pPr>
      <w:r>
        <w:rPr>
          <w:rFonts w:ascii="Courier New" w:cs="Courier New" w:eastAsia="Courier New" w:hAnsi="Courier New"/>
          <w:color w:val="1A1A2E"/>
          <w:sz w:val="18"/>
          <w:szCs w:val="18"/>
        </w:rPr>
        <w:t xml:space="preserve">  max_visitors ← MAX(node.visitor_annual for node in G.nodes)</w:t>
      </w:r>
    </w:p>
    <w:p>
      <w:pPr>
        <w:pBdr>
          <w:left w:val="single" w:color="E07B39" w:sz="8"/>
        </w:pBdr>
        <w:shd w:fill="F2F3F4" w:val="clear"/>
        <w:spacing w:after="0" w:before="0"/>
      </w:pPr>
      <w:r>
        <w:rPr>
          <w:rFonts w:ascii="Courier New" w:cs="Courier New" w:eastAsia="Courier New" w:hAnsi="Courier New"/>
          <w:color w:val="1A1A2E"/>
          <w:sz w:val="18"/>
          <w:szCs w:val="18"/>
        </w:rPr>
        <w:t xml:space="preserve">  FOR each node v in G.nodes:</w:t>
      </w:r>
    </w:p>
    <w:p>
      <w:pPr>
        <w:pBdr>
          <w:left w:val="single" w:color="E07B39" w:sz="8"/>
        </w:pBdr>
        <w:shd w:fill="F2F3F4" w:val="clear"/>
        <w:spacing w:after="0" w:before="0"/>
      </w:pPr>
      <w:r>
        <w:rPr>
          <w:rFonts w:ascii="Courier New" w:cs="Courier New" w:eastAsia="Courier New" w:hAnsi="Courier New"/>
          <w:color w:val="1A1A2E"/>
          <w:sz w:val="18"/>
          <w:szCs w:val="18"/>
        </w:rPr>
        <w:t xml:space="preserve">    node_tags ← SET(v.tags)</w:t>
      </w:r>
    </w:p>
    <w:p>
      <w:pPr>
        <w:pBdr>
          <w:left w:val="single" w:color="E07B39" w:sz="8"/>
        </w:pBdr>
        <w:shd w:fill="F2F3F4" w:val="clear"/>
        <w:spacing w:after="0" w:before="0"/>
      </w:pPr>
      <w:r>
        <w:rPr>
          <w:rFonts w:ascii="Courier New" w:cs="Courier New" w:eastAsia="Courier New" w:hAnsi="Courier New"/>
          <w:color w:val="1A1A2E"/>
          <w:sz w:val="18"/>
          <w:szCs w:val="18"/>
        </w:rPr>
        <w:t xml:space="preserve">    IF relevant_tags = ∅ OR (node_tags ∩ relevant_tags ≠ ∅):</w:t>
      </w:r>
    </w:p>
    <w:p>
      <w:pPr>
        <w:pBdr>
          <w:left w:val="single" w:color="E07B39" w:sz="8"/>
        </w:pBdr>
        <w:shd w:fill="F2F3F4" w:val="clear"/>
        <w:spacing w:after="0" w:before="0"/>
      </w:pPr>
      <w:r>
        <w:rPr>
          <w:rFonts w:ascii="Courier New" w:cs="Courier New" w:eastAsia="Courier New" w:hAnsi="Courier New"/>
          <w:color w:val="1A1A2E"/>
          <w:sz w:val="18"/>
          <w:szCs w:val="18"/>
        </w:rPr>
        <w:t xml:space="preserve">      score(v) ← 0.35 × BC(v) + 0.35 × EC(v) + 0.30 × (visitors(v)/max_visitors)</w:t>
      </w:r>
    </w:p>
    <w:p>
      <w:pPr>
        <w:pBdr>
          <w:left w:val="single" w:color="E07B39" w:sz="8"/>
        </w:pBdr>
        <w:shd w:fill="F2F3F4" w:val="clear"/>
        <w:spacing w:after="0" w:before="0"/>
      </w:pPr>
      <w:r>
        <w:rPr>
          <w:rFonts w:ascii="Courier New" w:cs="Courier New" w:eastAsia="Courier New" w:hAnsi="Courier New"/>
          <w:color w:val="1A1A2E"/>
          <w:sz w:val="18"/>
          <w:szCs w:val="18"/>
        </w:rPr>
        <w:t xml:space="preserve">    ELSE:</w:t>
      </w:r>
    </w:p>
    <w:p>
      <w:pPr>
        <w:pBdr>
          <w:left w:val="single" w:color="E07B39" w:sz="8"/>
        </w:pBdr>
        <w:shd w:fill="F2F3F4" w:val="clear"/>
        <w:spacing w:after="0" w:before="0"/>
      </w:pPr>
      <w:r>
        <w:rPr>
          <w:rFonts w:ascii="Courier New" w:cs="Courier New" w:eastAsia="Courier New" w:hAnsi="Courier New"/>
          <w:color w:val="1A1A2E"/>
          <w:sz w:val="18"/>
          <w:szCs w:val="18"/>
        </w:rPr>
        <w:t xml:space="preserve">      EXCLUDE v from candidates</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STEP 3: Greedy Day Assignment</w:t>
      </w:r>
    </w:p>
    <w:p>
      <w:pPr>
        <w:pBdr>
          <w:left w:val="single" w:color="E07B39" w:sz="8"/>
        </w:pBdr>
        <w:shd w:fill="F2F3F4" w:val="clear"/>
        <w:spacing w:after="0" w:before="0"/>
      </w:pPr>
      <w:r>
        <w:rPr>
          <w:rFonts w:ascii="Courier New" w:cs="Courier New" w:eastAsia="Courier New" w:hAnsi="Courier New"/>
          <w:color w:val="1A1A2E"/>
          <w:sz w:val="18"/>
          <w:szCs w:val="18"/>
        </w:rPr>
        <w:t xml:space="preserve">  candidates ← SORT candidates by score DESC</w:t>
      </w:r>
    </w:p>
    <w:p>
      <w:pPr>
        <w:pBdr>
          <w:left w:val="single" w:color="E07B39" w:sz="8"/>
        </w:pBdr>
        <w:shd w:fill="F2F3F4" w:val="clear"/>
        <w:spacing w:after="0" w:before="0"/>
      </w:pPr>
      <w:r>
        <w:rPr>
          <w:rFonts w:ascii="Courier New" w:cs="Courier New" w:eastAsia="Courier New" w:hAnsi="Courier New"/>
          <w:color w:val="1A1A2E"/>
          <w:sz w:val="18"/>
          <w:szCs w:val="18"/>
        </w:rPr>
        <w:t xml:space="preserve">  itinerary  ← []</w:t>
      </w:r>
    </w:p>
    <w:p>
      <w:pPr>
        <w:pBdr>
          <w:left w:val="single" w:color="E07B39" w:sz="8"/>
        </w:pBdr>
        <w:shd w:fill="F2F3F4" w:val="clear"/>
        <w:spacing w:after="0" w:before="0"/>
      </w:pPr>
      <w:r>
        <w:rPr>
          <w:rFonts w:ascii="Courier New" w:cs="Courier New" w:eastAsia="Courier New" w:hAnsi="Courier New"/>
          <w:color w:val="1A1A2E"/>
          <w:sz w:val="18"/>
          <w:szCs w:val="18"/>
        </w:rPr>
        <w:t xml:space="preserve">  visited    ← {start}</w:t>
      </w:r>
    </w:p>
    <w:p>
      <w:pPr>
        <w:pBdr>
          <w:left w:val="single" w:color="E07B39" w:sz="8"/>
        </w:pBdr>
        <w:shd w:fill="F2F3F4" w:val="clear"/>
        <w:spacing w:after="0" w:before="0"/>
      </w:pPr>
      <w:r>
        <w:rPr>
          <w:rFonts w:ascii="Courier New" w:cs="Courier New" w:eastAsia="Courier New" w:hAnsi="Courier New"/>
          <w:color w:val="1A1A2E"/>
          <w:sz w:val="18"/>
          <w:szCs w:val="18"/>
        </w:rPr>
        <w:t xml:space="preserve">  day_sites  ← [start]          // Day 1 always starts at origin</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FOR each (node, score) in candidates:</w:t>
      </w:r>
    </w:p>
    <w:p>
      <w:pPr>
        <w:pBdr>
          <w:left w:val="single" w:color="E07B39" w:sz="8"/>
        </w:pBdr>
        <w:shd w:fill="F2F3F4" w:val="clear"/>
        <w:spacing w:after="0" w:before="0"/>
      </w:pPr>
      <w:r>
        <w:rPr>
          <w:rFonts w:ascii="Courier New" w:cs="Courier New" w:eastAsia="Courier New" w:hAnsi="Courier New"/>
          <w:color w:val="1A1A2E"/>
          <w:sz w:val="18"/>
          <w:szCs w:val="18"/>
        </w:rPr>
        <w:t xml:space="preserve">    IF node IN visited: CONTINUE</w:t>
      </w:r>
    </w:p>
    <w:p>
      <w:pPr>
        <w:pBdr>
          <w:left w:val="single" w:color="E07B39" w:sz="8"/>
        </w:pBdr>
        <w:shd w:fill="F2F3F4" w:val="clear"/>
        <w:spacing w:after="0" w:before="0"/>
      </w:pPr>
      <w:r>
        <w:rPr>
          <w:rFonts w:ascii="Courier New" w:cs="Courier New" w:eastAsia="Courier New" w:hAnsi="Courier New"/>
          <w:color w:val="1A1A2E"/>
          <w:sz w:val="18"/>
          <w:szCs w:val="18"/>
        </w:rPr>
        <w:t xml:space="preserve">    IF |day_sites| &gt;= SITES_PER_DAY (= 3):</w:t>
      </w:r>
    </w:p>
    <w:p>
      <w:pPr>
        <w:pBdr>
          <w:left w:val="single" w:color="E07B39" w:sz="8"/>
        </w:pBdr>
        <w:shd w:fill="F2F3F4" w:val="clear"/>
        <w:spacing w:after="0" w:before="0"/>
      </w:pPr>
      <w:r>
        <w:rPr>
          <w:rFonts w:ascii="Courier New" w:cs="Courier New" w:eastAsia="Courier New" w:hAnsi="Courier New"/>
          <w:color w:val="1A1A2E"/>
          <w:sz w:val="18"/>
          <w:szCs w:val="18"/>
        </w:rPr>
        <w:t xml:space="preserve">      APPEND day_sites TO itinerary</w:t>
      </w:r>
    </w:p>
    <w:p>
      <w:pPr>
        <w:pBdr>
          <w:left w:val="single" w:color="E07B39" w:sz="8"/>
        </w:pBdr>
        <w:shd w:fill="F2F3F4" w:val="clear"/>
        <w:spacing w:after="0" w:before="0"/>
      </w:pPr>
      <w:r>
        <w:rPr>
          <w:rFonts w:ascii="Courier New" w:cs="Courier New" w:eastAsia="Courier New" w:hAnsi="Courier New"/>
          <w:color w:val="1A1A2E"/>
          <w:sz w:val="18"/>
          <w:szCs w:val="18"/>
        </w:rPr>
        <w:t xml:space="preserve">      IF |itinerary| &gt;= days: BREAK</w:t>
      </w:r>
    </w:p>
    <w:p>
      <w:pPr>
        <w:pBdr>
          <w:left w:val="single" w:color="E07B39" w:sz="8"/>
        </w:pBdr>
        <w:shd w:fill="F2F3F4" w:val="clear"/>
        <w:spacing w:after="0" w:before="0"/>
      </w:pPr>
      <w:r>
        <w:rPr>
          <w:rFonts w:ascii="Courier New" w:cs="Courier New" w:eastAsia="Courier New" w:hAnsi="Courier New"/>
          <w:color w:val="1A1A2E"/>
          <w:sz w:val="18"/>
          <w:szCs w:val="18"/>
        </w:rPr>
        <w:t xml:space="preserve">      day_sites ← []</w:t>
      </w:r>
    </w:p>
    <w:p>
      <w:pPr>
        <w:pBdr>
          <w:left w:val="single" w:color="E07B39" w:sz="8"/>
        </w:pBdr>
        <w:shd w:fill="F2F3F4" w:val="clear"/>
        <w:spacing w:after="0" w:before="0"/>
      </w:pPr>
      <w:r>
        <w:rPr>
          <w:rFonts w:ascii="Courier New" w:cs="Courier New" w:eastAsia="Courier New" w:hAnsi="Courier New"/>
          <w:color w:val="1A1A2E"/>
          <w:sz w:val="18"/>
          <w:szCs w:val="18"/>
        </w:rPr>
        <w:t xml:space="preserve">    APPEND node TO day_sites</w:t>
      </w:r>
    </w:p>
    <w:p>
      <w:pPr>
        <w:pBdr>
          <w:left w:val="single" w:color="E07B39" w:sz="8"/>
        </w:pBdr>
        <w:shd w:fill="F2F3F4" w:val="clear"/>
        <w:spacing w:after="0" w:before="0"/>
      </w:pPr>
      <w:r>
        <w:rPr>
          <w:rFonts w:ascii="Courier New" w:cs="Courier New" w:eastAsia="Courier New" w:hAnsi="Courier New"/>
          <w:color w:val="1A1A2E"/>
          <w:sz w:val="18"/>
          <w:szCs w:val="18"/>
        </w:rPr>
        <w:t xml:space="preserve">    ADD node TO visited</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IF day_sites ≠ [] AND |itinerary| &lt; days:</w:t>
      </w:r>
    </w:p>
    <w:p>
      <w:pPr>
        <w:pBdr>
          <w:left w:val="single" w:color="E07B39" w:sz="8"/>
        </w:pBdr>
        <w:shd w:fill="F2F3F4" w:val="clear"/>
        <w:spacing w:after="0" w:before="0"/>
      </w:pPr>
      <w:r>
        <w:rPr>
          <w:rFonts w:ascii="Courier New" w:cs="Courier New" w:eastAsia="Courier New" w:hAnsi="Courier New"/>
          <w:color w:val="1A1A2E"/>
          <w:sz w:val="18"/>
          <w:szCs w:val="18"/>
        </w:rPr>
        <w:t xml:space="preserve">    APPEND day_sites TO itinerary</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OUTPUT: itinerary[:days]  // List of lists, one per day</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COMPLEXITY: O(|V| log|V|) dominated by sort step</w:t>
      </w:r>
    </w:p>
    <w:p>
      <w:pPr>
        <w:pBdr>
          <w:left w:val="single" w:color="E07B39" w:sz="8"/>
        </w:pBdr>
        <w:shd w:fill="F2F3F4" w:val="clear"/>
        <w:spacing w:after="80" w:before="0"/>
      </w:pPr>
      <w:r>
        <w:rPr>
          <w:rFonts w:ascii="Courier New" w:cs="Courier New" w:eastAsia="Courier New" w:hAnsi="Courier New"/>
          <w:color w:val="1A1A2E"/>
          <w:sz w:val="18"/>
          <w:szCs w:val="18"/>
        </w:rPr>
        <w:t xml:space="preserve">SITES_PER_DAY = 3 (hardcoded; reflects realistic Tamil Nadu pilgrimage pace)</w:t>
      </w:r>
    </w:p>
    <w:p>
      <w:pPr>
        <w:spacing w:after="60" w:before="0"/>
      </w:pPr>
      <w:r>
        <w:t xml:space="preserve"/>
      </w:r>
    </w:p>
    <w:p>
      <w:pPr>
        <w:pStyle w:val="Heading2"/>
        <w:spacing w:after="120" w:before="280"/>
      </w:pPr>
      <w:r>
        <w:rPr>
          <w:rFonts w:ascii="Arial" w:cs="Arial" w:eastAsia="Arial" w:hAnsi="Arial"/>
          <w:b/>
          <w:bCs/>
        </w:rPr>
        <w:t xml:space="preserve">4.5 Shortest Path Analysis</w:t>
      </w:r>
    </w:p>
    <w:p>
      <w:pPr>
        <w:spacing w:after="100" w:before="60"/>
        <w:jc w:val="both"/>
      </w:pPr>
      <w:r>
        <w:rPr>
          <w:rFonts w:ascii="Arial" w:cs="Arial" w:eastAsia="Arial" w:hAnsi="Arial"/>
          <w:color w:val="1A1A2E"/>
          <w:sz w:val="22"/>
          <w:szCs w:val="22"/>
        </w:rPr>
        <w:t xml:space="preserve">Shortest paths are computed using NetworkX's Dijkstra implementation (unweighted hop count) to provide tourists with minimum-transfer routes between any pair of sites. The geographic map tab additionally allows users to visually highlight any computed path overlaid on actual GPS coordinates.</w:t>
      </w:r>
    </w:p>
    <w:p>
      <w:pPr>
        <w:pBdr>
          <w:top w:val="single" w:color="E07B39" w:sz="1"/>
          <w:left w:val="single" w:color="E07B39" w:sz="8"/>
        </w:pBdr>
        <w:shd w:fill="F2F3F4" w:val="clear"/>
        <w:spacing w:after="0" w:before="80"/>
      </w:pPr>
      <w:r>
        <w:rPr>
          <w:rFonts w:ascii="Courier New" w:cs="Courier New" w:eastAsia="Courier New" w:hAnsi="Courier New"/>
          <w:color w:val="1A1A2E"/>
          <w:sz w:val="18"/>
          <w:szCs w:val="18"/>
        </w:rPr>
        <w:t xml:space="preserve">path = nx.shortest_path(G, source=src, target=tgt, weight=None)  # hop count</w:t>
      </w:r>
    </w:p>
    <w:p>
      <w:pPr>
        <w:pBdr>
          <w:left w:val="single" w:color="E07B39" w:sz="8"/>
        </w:pBdr>
        <w:shd w:fill="F2F3F4" w:val="clear"/>
        <w:spacing w:after="0" w:before="0"/>
      </w:pPr>
      <w:r>
        <w:rPr>
          <w:rFonts w:ascii="Courier New" w:cs="Courier New" w:eastAsia="Courier New" w:hAnsi="Courier New"/>
          <w:color w:val="1A1A2E"/>
          <w:sz w:val="18"/>
          <w:szCs w:val="18"/>
        </w:rPr>
        <w:t xml:space="preserve"># For geographic distance estimation:</w:t>
      </w:r>
    </w:p>
    <w:p>
      <w:pPr>
        <w:pBdr>
          <w:left w:val="single" w:color="E07B39" w:sz="8"/>
        </w:pBdr>
        <w:shd w:fill="F2F3F4" w:val="clear"/>
        <w:spacing w:after="80" w:before="0"/>
      </w:pPr>
      <w:r>
        <w:rPr>
          <w:rFonts w:ascii="Courier New" w:cs="Courier New" w:eastAsia="Courier New" w:hAnsi="Courier New"/>
          <w:color w:val="1A1A2E"/>
          <w:sz w:val="18"/>
          <w:szCs w:val="18"/>
        </w:rPr>
        <w:t xml:space="preserve">total_km = Σ G[path[i]][path[i+1]]['distance_km'] for i in range(len(path)-1)</w:t>
      </w:r>
    </w:p>
    <w:p>
      <w:pPr>
        <w:spacing w:after="0" w:before="0"/>
      </w:pPr>
      <w:r>
        <w:br w:type="page"/>
      </w:r>
    </w:p>
    <w:p>
      <w:pPr>
        <w:pStyle w:val="Heading1"/>
        <w:spacing w:after="120" w:before="280"/>
      </w:pPr>
      <w:r>
        <w:rPr>
          <w:rFonts w:ascii="Arial" w:cs="Arial" w:eastAsia="Arial" w:hAnsi="Arial"/>
          <w:b/>
          <w:bCs/>
        </w:rPr>
        <w:t xml:space="preserve">5. Complete Node Data</w:t>
      </w:r>
    </w:p>
    <w:p>
      <w:pPr>
        <w:spacing w:after="100" w:before="60"/>
        <w:jc w:val="both"/>
      </w:pPr>
      <w:r>
        <w:rPr>
          <w:rFonts w:ascii="Arial" w:cs="Arial" w:eastAsia="Arial" w:hAnsi="Arial"/>
          <w:color w:val="1A1A2E"/>
          <w:sz w:val="22"/>
          <w:szCs w:val="22"/>
        </w:rPr>
        <w:t xml:space="preserve">All 25 nodes are listed below with full metadata. Every entry is sourced from publicly verifiable documentation. Coordinates are from OpenStreetMap / Google Maps. Visitor estimates are approximate figures from district tourism reports.</w:t>
      </w:r>
    </w:p>
    <w:p>
      <w:pPr>
        <w:spacing w:after="60" w:before="0"/>
      </w:pPr>
      <w:r>
        <w:t xml:space="preserve"/>
      </w:r>
    </w:p>
    <w:p>
      <w:pPr>
        <w:pStyle w:val="Heading2"/>
        <w:spacing w:after="120" w:before="280"/>
      </w:pPr>
      <w:r>
        <w:rPr>
          <w:rFonts w:ascii="Arial" w:cs="Arial" w:eastAsia="Arial" w:hAnsi="Arial"/>
          <w:b/>
          <w:bCs/>
        </w:rPr>
        <w:t xml:space="preserve">5.1 Node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1100"/>
        <w:gridCol w:w="700"/>
        <w:gridCol w:w="700"/>
        <w:gridCol w:w="900"/>
        <w:gridCol w:w="600"/>
        <w:gridCol w:w="460"/>
      </w:tblGrid>
      <w:tr>
        <w:tc>
          <w:tcPr>
            <w:tcW w:type="dxa" w:w="3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 Name</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7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w:t>
            </w:r>
          </w:p>
        </w:tc>
        <w:tc>
          <w:tcPr>
            <w:tcW w:type="dxa" w:w="7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w:t>
            </w:r>
          </w:p>
        </w:tc>
        <w:tc>
          <w:tcPr>
            <w:tcW w:type="dxa" w:w="9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c>
          <w:tcPr>
            <w:tcW w:type="dxa" w:w="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Visitors/yr</w:t>
            </w:r>
          </w:p>
        </w:tc>
        <w:tc>
          <w:tcPr>
            <w:tcW w:type="dxa" w:w="4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Src</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10.6649</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79.4532</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500,000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[1][2][3][4]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10.7714</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79.637</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[1][4][7]</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Thirukkaravasal Shiva Temple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10.7027</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79.5011</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[1][3][7]</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10.9274</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79.2692</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[1][7]</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Sikkal Singaravelan Temple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10.8428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79.7283</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80,000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Agniswarar Temple, Nannilam</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10.8844</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79.6814</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[1][3]</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Darbaranyeswarar Temple, Thirunallar</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10.9188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79.8406</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Sakkara Kulam (Temple Tank)</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Water Body</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10.6645</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79.452</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500,000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[2][4]</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9</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Natural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10.85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79.5</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[5][8]</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10</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Vedaranyam Salt Marshes</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Natural</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10.3783</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79.8525</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[4][8]</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Wildlife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10.2967</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79.8489</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[1][4][5]</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12</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Brihadeeswarar Temple, Thanjavur</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10.7828</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79.1317</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3,000,000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11.2073</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79.4514</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14</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Heritage Town</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10.7651</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79.8425</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80,000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Karaikal French Heritage Area</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Heritage Town</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10.9269</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79.836</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16</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Vedaranyeswarar Temple, Vedaranyam</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10.3783</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79.8525</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[1][3][7]</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17</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Mannargudi Old Town &amp; Market</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Cultural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10.664</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79.451</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[4][8]</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18</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Thiruvarur Temple Chariot Museum</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Cultural</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10.772</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79.6375</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Low</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[8]</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19</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11.1029</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79.6514</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[1][3][7]</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20</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10.9602</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79.3845</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500,000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Swaminatha Temple, Swamimalai</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10.9614</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79.3224</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22</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Airavatesvara Temple, Darasuram</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10.9497</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79.3521</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High</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[1][4]</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Kodikkarai Lighthouse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Heritage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10.305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79.865</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Low</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[5][8]</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24</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Thiruthuraipoondi Market Town</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Cultural</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10.529</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79.6464</w:t>
            </w:r>
          </w:p>
        </w:tc>
        <w:tc>
          <w:tcPr>
            <w:tcW w:type="dxa" w:w="9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Low</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30,000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[5][8]</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Nidur Archaeological Remains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Heritage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10.62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79.4</w:t>
            </w:r>
          </w:p>
        </w:tc>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Low</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2,000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w:t>
            </w:r>
          </w:p>
        </w:tc>
      </w:tr>
    </w:tbl>
    <w:p>
      <w:pPr>
        <w:spacing w:after="60" w:before="0"/>
      </w:pPr>
      <w:r>
        <w:t xml:space="preserve"/>
      </w:r>
    </w:p>
    <w:p>
      <w:pPr>
        <w:spacing w:after="0" w:before="0"/>
      </w:pPr>
      <w:r>
        <w:br w:type="page"/>
      </w:r>
    </w:p>
    <w:p>
      <w:pPr>
        <w:pStyle w:val="Heading2"/>
        <w:spacing w:after="120" w:before="280"/>
      </w:pPr>
      <w:r>
        <w:rPr>
          <w:rFonts w:ascii="Arial" w:cs="Arial" w:eastAsia="Arial" w:hAnsi="Arial"/>
          <w:b/>
          <w:bCs/>
        </w:rPr>
        <w:t xml:space="preserve">5.2 Node Historical &amp; Tag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 Name</w:t>
            </w:r>
          </w:p>
        </w:tc>
        <w:tc>
          <w:tcPr>
            <w:tcW w:type="dxa" w:w="2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Historical Period</w:t>
            </w:r>
          </w:p>
        </w:tc>
        <w:tc>
          <w:tcPr>
            <w:tcW w:type="dxa" w:w="41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Interest Tags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Pre-Chola; expanded Nayak (16th-17th c.)</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vishnu, vaishnava, gopuram, tank, nayak, chola</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(9th-13th c.); Rajaraja I inscriptions</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chariot, chola, paadal_petra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Thirukkaravasal Shiva Temple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period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paadal_petra, chola</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Chola-Pallava period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paadal_petra, cauvery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Sikkal Singaravelan Temple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Medieval Tamil period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murugan, skanda_sashti, arupadaiveedu</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Agniswarar Temple, Nannilam</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period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paadal_petra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Darbaranyeswarar Temple, Thirunallar</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Thanjavur Nayak expansions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shani, saturn, pilgrimage</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Sakkara Kulam (Temple Tank)</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 Nayak period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tank, theertham, float_festival, ritual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 (natural)</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ramsar, wetland, birdwatching, cauvery, delta</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Vedaranyam Salt Marshes</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Colonial / historical</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salt, coastal, history, gandhi, satyagraha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Designated 1967</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wildlife, flamingo, birdwatching, ramsar, blackbuck</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Brihadeeswarar Temple, Thanjavur</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(1010 CE)</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unesco, chola, world_heritage, architecture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(~1035 CE)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unesco, chola, world_heritage, capital</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Chola-Buddhist-Colonial</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port, colonial, buddhist, chola, dutch</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Karaikal French Heritage Area</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French colonial (17th-20th c.)</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french, colonial, architecture, pilgrimage</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Vedaranyeswarar Temple, Vedaranyam</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period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paadal_petra, coastal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Mannargudi Old Town &amp; Market</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Medieval / modern</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market, silk, craft, bronze, food</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Thiruvarur Temple Chariot Museum</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Contemporary (~1990s)</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museum, chariot, culture, history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Thevaram hymns</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shaiva, paadal_petra, kaveri</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Chola-Nayak period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shiva, vishnu, mahamaham, chola, cluster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Swaminatha Temple, Swamimalai</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Medieval Tamil period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murugan, arupadaiveedu, bronze, craft</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Airavatesvara Temple, Darasuram</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(~12th c.)</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unesco, chola, world_heritage, sculpture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Kodikkarai Lighthouse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British colonial (19th c.)</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lighthouse, colonial, coastal, historic</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Thiruthuraipoondi Market Town</w:t>
            </w:r>
          </w:p>
        </w:tc>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Modern</w:t>
            </w:r>
          </w:p>
        </w:tc>
        <w:tc>
          <w:tcPr>
            <w:tcW w:type="dxa" w:w="4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market, transport_hub, delta, gateway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Nidur Archaeological Remains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Early medieval (~6th-10th c.)</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archaeology, jain, medieval, rural</w:t>
            </w:r>
          </w:p>
        </w:tc>
      </w:tr>
    </w:tbl>
    <w:p>
      <w:pPr>
        <w:spacing w:after="60" w:before="0"/>
      </w:pPr>
      <w:r>
        <w:t xml:space="preserve"/>
      </w:r>
    </w:p>
    <w:p>
      <w:pPr>
        <w:spacing w:after="0" w:before="0"/>
      </w:pPr>
      <w:r>
        <w:br w:type="page"/>
      </w:r>
    </w:p>
    <w:p>
      <w:pPr>
        <w:pStyle w:val="Heading1"/>
        <w:spacing w:after="120" w:before="280"/>
      </w:pPr>
      <w:r>
        <w:rPr>
          <w:rFonts w:ascii="Arial" w:cs="Arial" w:eastAsia="Arial" w:hAnsi="Arial"/>
          <w:b/>
          <w:bCs/>
        </w:rPr>
        <w:t xml:space="preserve">6. Complete Edge Data</w:t>
      </w:r>
    </w:p>
    <w:p>
      <w:pPr>
        <w:spacing w:after="100" w:before="60"/>
        <w:jc w:val="both"/>
      </w:pPr>
      <w:r>
        <w:rPr>
          <w:rFonts w:ascii="Arial" w:cs="Arial" w:eastAsia="Arial" w:hAnsi="Arial"/>
          <w:color w:val="1A1A2E"/>
          <w:sz w:val="22"/>
          <w:szCs w:val="22"/>
        </w:rPr>
        <w:t xml:space="preserve">All 38 edges are listed below. Each edge encodes a verified, documented connection between two sites. Edge types are: proximity, road_transport, thematic_pilgrimage, thematic_cultural, ecological, cultural_landscape.</w:t>
      </w:r>
    </w:p>
    <w:p>
      <w:pPr>
        <w:spacing w:after="60" w:before="0"/>
      </w:pPr>
      <w:r>
        <w:t xml:space="preserve"/>
      </w:r>
    </w:p>
    <w:p>
      <w:pPr>
        <w:pStyle w:val="Heading2"/>
        <w:spacing w:after="120" w:before="280"/>
      </w:pPr>
      <w:r>
        <w:rPr>
          <w:rFonts w:ascii="Arial" w:cs="Arial" w:eastAsia="Arial" w:hAnsi="Arial"/>
          <w:b/>
          <w:bCs/>
        </w:rPr>
        <w:t xml:space="preserve">6.1 Edge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Type</w:t>
            </w:r>
          </w:p>
        </w:tc>
        <w:tc>
          <w:tcPr>
            <w:tcW w:type="dxa" w:w="73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 &amp; Basis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proximity</w:t>
            </w:r>
          </w:p>
        </w:tc>
        <w:tc>
          <w:tcPr>
            <w:tcW w:type="dxa" w:w="7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Sites within ≤5 km walkable / auto-rickshaw distance; physically co-located</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road_transport</w:t>
            </w:r>
          </w:p>
        </w:tc>
        <w:tc>
          <w:tcPr>
            <w:tcW w:type="dxa" w:w="7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Connected by regular public bus or taxi route; distance measured via OSM/Google Maps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thematic_pilgrimage</w:t>
            </w:r>
          </w:p>
        </w:tc>
        <w:tc>
          <w:tcPr>
            <w:tcW w:type="dxa" w:w="7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Sites in the same recognised pilgrimage circuit (e.g., Paadal Petra Sthalams, Arupadaiveedu)</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thematic_cultural</w:t>
            </w:r>
          </w:p>
        </w:tc>
        <w:tc>
          <w:tcPr>
            <w:tcW w:type="dxa" w:w="7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Sites co-marketed by Tamil Nadu Tourism or UNESCO as part of the same cultural cluster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ecological</w:t>
            </w:r>
          </w:p>
        </w:tc>
        <w:tc>
          <w:tcPr>
            <w:tcW w:type="dxa" w:w="7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Sites sharing Ramsar or biosphere designation within the same ecological zone</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cultural_landscape</w:t>
            </w:r>
          </w:p>
        </w:tc>
        <w:tc>
          <w:tcPr>
            <w:tcW w:type="dxa" w:w="7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Sites embedded in the same cultural landscape (Cauvery delta) without direct transport link</w:t>
            </w:r>
          </w:p>
        </w:tc>
      </w:tr>
    </w:tbl>
    <w:p>
      <w:pPr>
        <w:spacing w:after="60" w:before="0"/>
      </w:pPr>
      <w:r>
        <w:t xml:space="preserve"/>
      </w:r>
    </w:p>
    <w:p>
      <w:pPr>
        <w:pStyle w:val="Heading2"/>
        <w:spacing w:after="120" w:before="280"/>
      </w:pPr>
      <w:r>
        <w:rPr>
          <w:rFonts w:ascii="Arial" w:cs="Arial" w:eastAsia="Arial" w:hAnsi="Arial"/>
          <w:b/>
          <w:bCs/>
        </w:rPr>
        <w:t xml:space="preserve">6.2 Edge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600"/>
        <w:gridCol w:w="700"/>
        <w:gridCol w:w="460"/>
      </w:tblGrid>
      <w:tr>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2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14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W w:type="dxa" w:w="7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Km</w:t>
            </w:r>
          </w:p>
        </w:tc>
        <w:tc>
          <w:tcPr>
            <w:tcW w:type="dxa" w:w="4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Src</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Sakkara Kulam (Temple Tank)</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[2][4]</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Mannargudi Old Town &amp; Market</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[4][8]</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Mannargudi Old Town &amp; Market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Sakkara Kulam (Temple Tank)</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0.2</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Thyagarajaswamy Temple, Thiruvarur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Thiruvarur Temple Chariot Museum</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9</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0.2</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[8]</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Thirukkaravasal Shiva Temple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thematic_pilgrimage</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[3][7]</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Thirukkaravasal Shiva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Sri Rajagopalaswamy Temple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Agniswarar Temple, Nannilam</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thematic_pilgrimage</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18</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[3][7]</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Agniswarar Temple, Nannilam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12</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Cauvery Delta Wetlands</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cultural_landscape</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[5][8]</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Thiruthuraipoondi Market Town</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22</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Thiruthuraipoondi Market Town</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Wildlife Sanctuary</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Vedaranyam Salt Marshes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Vedaranyam Salt Marshes</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Vedaranyeswarar Temple, Vedaranyam</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9</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Kodikkarai Lighthouse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Darbaranyeswarar Temple, Thirunallar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Darbaranyeswarar Temple, Thirunallar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Karaikal French Heritage Area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Darbaranyeswarar Temple, Thirunallar</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Airavatesvara Temple, Darasuram</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9</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Swaminatha Temple, Swamimalai</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proximity</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38</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Brihadeeswarar Temple, Thanjavur</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Airavatesvara Temple, Darasuram</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thematic_cultural</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Thyagarajaswamy Temple, Thiruvarur</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Mayuranathaswami Temple, Mayiladuthurai</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Nidur Archaeological Remains</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Sri Rajagopalaswamy Temple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25</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Wildlife Sanctuary</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ecological</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Swaminatha Temple, Swamimalai</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thematic_pilgrimage</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60</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Vedaranyeswarar Temple, Vedaranyam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Thiruthuraipoondi Market Town</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30</w:t>
            </w:r>
          </w:p>
        </w:tc>
        <w:tc>
          <w:tcPr>
            <w:tcW w:type="dxa" w:w="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Karaikal French Heritage Area</w:t>
            </w:r>
          </w:p>
        </w:tc>
        <w:tc>
          <w:tcPr>
            <w:tcW w:type="dxa" w:w="2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14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road_transport</w:t>
            </w:r>
          </w:p>
        </w:tc>
        <w:tc>
          <w:tcPr>
            <w:tcW w:type="dxa" w:w="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15</w:t>
            </w:r>
          </w:p>
        </w:tc>
        <w:tc>
          <w:tcPr>
            <w:tcW w:type="dxa" w:w="4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w:t>
            </w:r>
          </w:p>
        </w:tc>
      </w:tr>
    </w:tbl>
    <w:p>
      <w:pPr>
        <w:spacing w:after="60" w:before="0"/>
      </w:pPr>
      <w:r>
        <w:t xml:space="preserve"/>
      </w:r>
    </w:p>
    <w:p>
      <w:pPr>
        <w:spacing w:after="0" w:before="0"/>
      </w:pPr>
      <w:r>
        <w:br w:type="page"/>
      </w:r>
    </w:p>
    <w:p>
      <w:pPr>
        <w:pStyle w:val="Heading2"/>
        <w:spacing w:after="120" w:before="280"/>
      </w:pPr>
      <w:r>
        <w:rPr>
          <w:rFonts w:ascii="Arial" w:cs="Arial" w:eastAsia="Arial" w:hAnsi="Arial"/>
          <w:b/>
          <w:bCs/>
        </w:rPr>
        <w:t xml:space="preserve">6.3 Edge Reason Annotations</w:t>
      </w:r>
    </w:p>
    <w:p>
      <w:pPr>
        <w:spacing w:after="100" w:before="60"/>
        <w:jc w:val="both"/>
      </w:pPr>
      <w:r>
        <w:rPr>
          <w:rFonts w:ascii="Arial" w:cs="Arial" w:eastAsia="Arial" w:hAnsi="Arial"/>
          <w:color w:val="1A1A2E"/>
          <w:sz w:val="22"/>
          <w:szCs w:val="22"/>
        </w:rPr>
        <w:t xml:space="preserve">The following table provides the full documented reason for each edge connection: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18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57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Documented Reason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Sakkara Kulam (Temple Tank)</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 tank physically adjacent; integral to rituals</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Mannargudi Old Town &amp; Market</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Old market agraharam streets surround the temple complex</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Mannargudi Old Town &amp; Market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Sakkara Kulam (Temple Tank)</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Market streets border the tank; festivals draw pilgrims to both</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Thyagarajaswamy Temple, Thiruvarur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Regular bus on SH66; major Thiruvarur district pilgrimage centres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Thiruvarur Temple Chariot Museum</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Chariot museum immediately adjacent to the Thyagaraja complex</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Thirukkaravasal Shiva Temple</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Both Paadal Petra Sthalams on Thiruvarur Shaiva circuit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Thirukkaravasal Shiva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Sri Rajagopalaswamy Temple</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 km from Mannargudi; pilgrims combine visits in single day</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Agniswarar Temple, Nannilam</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Both Paadal Petra Sthalams in Thiruvarur district pilgrimage circuit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Agniswarar Temple, Nannilam</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~12 km via local roads; combined Shaiva-Murugan pilgrimage route</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Cauvery Delta Wetlands</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Mannargudi lies within the Cauvery delta; wetlands surround the town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Thiruthuraipoondi Market Town</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Thiruthuraipoondi is gateway town to coastal delta; bus services run</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Thiruthuraipoondi Market Town</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Wildlife Sanctuary</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accessed via Thiruthuraipoondi / Vedaranyam road</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Vedaranyam Salt Marshes</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Adjacent coastal zones; same day eco-tourism visit is common</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Vedaranyam Salt Marshes</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Vedaranyeswarar Temple, Vedaranyam</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Vedaranyeswarar temple is in same town as the salt marshes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Point Calimere Wildlife Sanctuary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Kodikkarai Lighthouse</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Kodikkarai lighthouse is at Point Calimere itself</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Darbaranyeswarar Temple, Thirunallar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~60 km via Nagapattinam; organised pilgrim buses run this route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Darbaranyeswarar Temple, Thirunallar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Karaikal French Heritage Area</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Thirunallar is ~5 km from Karaikal; most visitors combine both</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is ~20 km from Nagapattinam; standard day trip for visitors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Darbaranyeswarar Temple, Thirunallar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 km apart; Karaikal-Nagapattinam pilgrim corridor</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~45 km via SH66; regular bus connectivity</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~55 km via NH83; Kumbakonam major hub with frequent buses</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Airavatesvara Temple, Darasuram</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Darasuram 4 km from Kumbakonam; UNESCO site visited as day extension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Swaminatha Temple, Swamimalai</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Swamimalai is 5 km from Kumbakonam; part of standard Kumbakonam tour</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~38 km via NH83; Thanjavur-Kumbakonam most visited Chola heritage corridor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~65 km via NH83; standard day trip for tourists based in Mannargudi</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Brihadeeswarar Temple, Thanjavur</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Airavatesvara Temple, Darasuram</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Both UNESCO Great Living Chola Temples; marketed together by TN Tourism</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Thyagarajaswamy Temple, Thiruvarur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~35 km apart; both major Shaiva temples on Kaveri-delta pilgrimage route</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 km; both on NH83 / Kaveri temple circuit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 Mayiladuthurai</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 km; both on the Cauvery coast pilgrimage circuit</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~70 km; both Chola heritage sites; Chola circuit by TN Tourism</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Gangaikondacholapuram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Mayuranathaswami Temple, Mayiladuthurai</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~60 km; pilgrimage route north Kaveri delta to Mayiladuthurai</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Nidur Archaeological Remains</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Sri Rajagopalaswamy Temple</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~8 km from Mannargudi; accessible by local auto-rickshaw</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 km from Kumbakonam via NH83; part of Cauvery Shaiva circuit</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Papanasam Shiva Temple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Brihadeeswarar Temple, Thanjavur</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~45 km; day trip possible from Thanjavur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Wildlife Sanctuary</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Both Ramsar wetland sites in Cauvery delta ecological zone</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Swaminatha Temple, Swamimalai</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Sikkal Singaravelan Temple</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Both Arupadaiveedu Murugan shrines; pilgrims often combine visits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Vedaranyeswarar Temple, Vedaranyam</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Thiruthuraipoondi Market Town</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 km; Thiruthuraipoondi transit hub for Vedaranyam-bound pilgrims</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Karaikal French Heritage Area</w:t>
            </w:r>
          </w:p>
        </w:tc>
        <w:tc>
          <w:tcPr>
            <w:tcW w:type="dxa" w:w="1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w:t>
            </w:r>
          </w:p>
        </w:tc>
        <w:tc>
          <w:tcPr>
            <w:tcW w:type="dxa" w:w="5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~15 km; Karaikal and Nagapattinam coastal heritage cluster</w:t>
            </w:r>
          </w:p>
        </w:tc>
      </w:tr>
    </w:tbl>
    <w:p>
      <w:pPr>
        <w:spacing w:after="0" w:before="0"/>
      </w:pPr>
      <w:r>
        <w:br w:type="page"/>
      </w:r>
    </w:p>
    <w:p>
      <w:pPr>
        <w:pStyle w:val="Heading1"/>
        <w:spacing w:after="120" w:before="280"/>
      </w:pPr>
      <w:r>
        <w:rPr>
          <w:rFonts w:ascii="Arial" w:cs="Arial" w:eastAsia="Arial" w:hAnsi="Arial"/>
          <w:b/>
          <w:bCs/>
        </w:rPr>
        <w:t xml:space="preserve">7. SNA Metrics &amp; Key Findings</w:t>
      </w:r>
    </w:p>
    <w:p>
      <w:pPr>
        <w:pStyle w:val="Heading2"/>
        <w:spacing w:after="120" w:before="280"/>
      </w:pPr>
      <w:r>
        <w:rPr>
          <w:rFonts w:ascii="Arial" w:cs="Arial" w:eastAsia="Arial" w:hAnsi="Arial"/>
          <w:b/>
          <w:bCs/>
        </w:rPr>
        <w:t xml:space="preserve">7.1 Graph-Level Statistics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Total Nodes (|V|)</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25</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Total Edges (|E|)</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38</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Graph Density</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0.1267</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Is Connected</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Yes (single component)</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Average Degree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3.04</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Average Clustering Coefficient</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0.268</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Number of Communities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4</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Modularity (Q)</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0.528</w:t>
            </w:r>
          </w:p>
        </w:tc>
      </w:tr>
    </w:tbl>
    <w:p>
      <w:pPr>
        <w:spacing w:after="60" w:before="0"/>
      </w:pPr>
      <w:r>
        <w:t xml:space="preserve"/>
      </w:r>
    </w:p>
    <w:p>
      <w:pPr>
        <w:pStyle w:val="Heading2"/>
        <w:spacing w:after="120" w:before="280"/>
      </w:pPr>
      <w:r>
        <w:rPr>
          <w:rFonts w:ascii="Arial" w:cs="Arial" w:eastAsia="Arial" w:hAnsi="Arial"/>
          <w:b/>
          <w:bCs/>
        </w:rPr>
        <w:t xml:space="preserve">7.2 Top-10 Nodes by Betweenness Centrality</w:t>
      </w:r>
    </w:p>
    <w:p>
      <w:pPr>
        <w:spacing w:after="100" w:before="60"/>
        <w:jc w:val="both"/>
      </w:pPr>
      <w:r>
        <w:rPr>
          <w:rFonts w:ascii="Arial" w:cs="Arial" w:eastAsia="Arial" w:hAnsi="Arial"/>
          <w:color w:val="1A1A2E"/>
          <w:sz w:val="22"/>
          <w:szCs w:val="22"/>
        </w:rPr>
        <w:t xml:space="preserve">Betweenness centrality identifies sites that act as indispensable gateways in tourist flow routing. A site with high betweenness controls the most shortest paths between all pairs of sites — its removal would most severely disrupt connectivity.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1100"/>
        <w:gridCol w:w="1100"/>
        <w:gridCol w:w="1100"/>
        <w:gridCol w:w="1100"/>
        <w:gridCol w:w="1100"/>
        <w:gridCol w:w="760"/>
      </w:tblGrid>
      <w:tr>
        <w:tc>
          <w:tcPr>
            <w:tcW w:type="dxa" w:w="3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Rk</w:t>
            </w:r>
          </w:p>
        </w:tc>
        <w:tc>
          <w:tcPr>
            <w:tcW w:type="dxa" w:w="27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Degree</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Betw.</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Close.</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Eig.</w:t>
            </w:r>
          </w:p>
        </w:tc>
        <w:tc>
          <w:tcPr>
            <w:tcW w:type="dxa" w:w="11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PageR.</w:t>
            </w:r>
          </w:p>
        </w:tc>
        <w:tc>
          <w:tcPr>
            <w:tcW w:type="dxa" w:w="7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Sri Rajagopalaswamy Temple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0.3333</w:t>
            </w:r>
          </w:p>
        </w:tc>
        <w:tc>
          <w:tcPr>
            <w:tcW w:type="dxa" w:w="11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0.6697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0.5625</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1.0000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0.0897</w:t>
            </w:r>
          </w:p>
        </w:tc>
        <w:tc>
          <w:tcPr>
            <w:tcW w:type="dxa" w:w="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w:t>
            </w:r>
          </w:p>
        </w:tc>
        <w:tc>
          <w:tcPr>
            <w:tcW w:type="dxa" w:w="2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Wetlands</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0.1250</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0.3442</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0.3966</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0.1841</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0.0310</w:t>
            </w:r>
          </w:p>
        </w:tc>
        <w:tc>
          <w:tcPr>
            <w:tcW w:type="dxa" w:w="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3</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Nagapattinam Heritage Area</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0.1667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0.1812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0.3714</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0.2793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0.0384</w:t>
            </w:r>
          </w:p>
        </w:tc>
        <w:tc>
          <w:tcPr>
            <w:tcW w:type="dxa" w:w="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4</w:t>
            </w:r>
          </w:p>
        </w:tc>
        <w:tc>
          <w:tcPr>
            <w:tcW w:type="dxa" w:w="2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Cauvery Delta → Point Calimere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0.1250</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0.1755</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0.3633</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0.1601</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0.0264</w:t>
            </w:r>
          </w:p>
        </w:tc>
        <w:tc>
          <w:tcPr>
            <w:tcW w:type="dxa" w:w="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5</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Kumbakonam Temple Cluster</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0.2083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0.1630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0.4222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0.5913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0.0632</w:t>
            </w:r>
          </w:p>
        </w:tc>
        <w:tc>
          <w:tcPr>
            <w:tcW w:type="dxa" w:w="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6</w:t>
            </w:r>
          </w:p>
        </w:tc>
        <w:tc>
          <w:tcPr>
            <w:tcW w:type="dxa" w:w="2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Mayuranathaswami Temple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0.1250</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0.1289</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0.3807</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0.3629</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0.0406</w:t>
            </w:r>
          </w:p>
        </w:tc>
        <w:tc>
          <w:tcPr>
            <w:tcW w:type="dxa" w:w="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7</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Thyagarajaswamy Temple, Thiruvarur</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0.1667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0.1202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0.3617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0.3265</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0.0435</w:t>
            </w:r>
          </w:p>
        </w:tc>
        <w:tc>
          <w:tcPr>
            <w:tcW w:type="dxa" w:w="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8</w:t>
            </w:r>
          </w:p>
        </w:tc>
        <w:tc>
          <w:tcPr>
            <w:tcW w:type="dxa" w:w="2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Brihadeeswarar Temple, Thanjavur</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0.1250</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0.0721</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0.3541</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0.4048</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0.0468</w:t>
            </w:r>
          </w:p>
        </w:tc>
        <w:tc>
          <w:tcPr>
            <w:tcW w:type="dxa" w:w="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2</w:t>
            </w:r>
          </w:p>
        </w:tc>
      </w:tr>
      <w:tr>
        <w:tc>
          <w:tcPr>
            <w:tcW w:type="dxa" w:w="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9</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Thiruthuraipoondi Market Town</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0.0833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0.0651</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0.3137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0.0868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0.0197</w:t>
            </w:r>
          </w:p>
        </w:tc>
        <w:tc>
          <w:tcPr>
            <w:tcW w:type="dxa" w:w="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w:t>
            </w:r>
          </w:p>
        </w:tc>
      </w:tr>
      <w:tr>
        <w:tc>
          <w:tcPr>
            <w:tcW w:type="dxa" w:w="3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10</w:t>
            </w:r>
          </w:p>
        </w:tc>
        <w:tc>
          <w:tcPr>
            <w:tcW w:type="dxa" w:w="27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Thirunallar Temple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0.1250</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0.0495</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0.3315</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0.1895</w:t>
            </w:r>
          </w:p>
        </w:tc>
        <w:tc>
          <w:tcPr>
            <w:tcW w:type="dxa" w:w="11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0.0279</w:t>
            </w:r>
          </w:p>
        </w:tc>
        <w:tc>
          <w:tcPr>
            <w:tcW w:type="dxa" w:w="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val="false"/>
                <w:bCs w:val="false"/>
                <w:color w:val="1A1A2E"/>
                <w:sz w:val="20"/>
                <w:szCs w:val="20"/>
              </w:rPr>
              <w:t xml:space="preserve">1</w:t>
            </w:r>
          </w:p>
        </w:tc>
      </w:tr>
    </w:tbl>
    <w:p>
      <w:pPr>
        <w:spacing w:after="60" w:before="0"/>
      </w:pPr>
      <w:r>
        <w:t xml:space="preserve"/>
      </w:r>
    </w:p>
    <w:p>
      <w:pPr>
        <w:pStyle w:val="Heading2"/>
        <w:spacing w:after="120" w:before="280"/>
      </w:pPr>
      <w:r>
        <w:rPr>
          <w:rFonts w:ascii="Arial" w:cs="Arial" w:eastAsia="Arial" w:hAnsi="Arial"/>
          <w:b/>
          <w:bCs/>
        </w:rPr>
        <w:t xml:space="preserve">7.3 Community Structure</w:t>
      </w:r>
    </w:p>
    <w:p>
      <w:pPr>
        <w:spacing w:after="100" w:before="60"/>
        <w:jc w:val="both"/>
      </w:pPr>
      <w:r>
        <w:rPr>
          <w:rFonts w:ascii="Arial" w:cs="Arial" w:eastAsia="Arial" w:hAnsi="Arial"/>
          <w:color w:val="1A1A2E"/>
          <w:sz w:val="22"/>
          <w:szCs w:val="22"/>
        </w:rPr>
        <w:t xml:space="preserve">Four communities were detected with a modularity of Q = 0.528, indicating strongly separated sub-circuits: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Circuit Name</w:t>
            </w:r>
          </w:p>
        </w:tc>
        <w:tc>
          <w:tcPr>
            <w:tcW w:type="dxa" w:w="63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Sites &amp; Thematic Description</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0</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Core Mannargudi Circuit</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Sri Rajagopalaswamy Temple, Sakkara Kulam, Mannargudi Market, Thirukkaravasal Temple, Thyagarajaswamy Temple (Thiruvarur), Nannilam Temple, Cauvery Delta Wetlands, Thiruthuraipoondi — the primary religious and cultural hub of the Thiruvarur District.</w:t>
            </w:r>
          </w:p>
        </w:tc>
      </w:tr>
      <w:tr>
        <w:tc>
          <w:tcPr>
            <w:tcW w:type="dxa" w:w="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1</w:t>
            </w:r>
          </w:p>
        </w:tc>
        <w:tc>
          <w:tcPr>
            <w:tcW w:type="dxa" w:w="2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Southern Coastal Arc</w:t>
            </w:r>
          </w:p>
        </w:tc>
        <w:tc>
          <w:tcPr>
            <w:tcW w:type="dxa" w:w="6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Nagapattinam Heritage Area, Thirunallar Darbaranyeswarar Temple, Karaikal French Heritage Area, Sikkal Singaravelan Temple — coastal pilgrimage and heritage sites south of Mannargudi along SH66.</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2</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Chola Heritage Belt</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Kumbakonam Temple Cluster, Swamimalai Temple, Darasuram Airavatesvara Temple (UNESCO), Brihadeeswarar Temple Thanjavur (UNESCO), Papanasam Temple, Gangaikondacholapuram (UNESCO), Mayuranathaswami Temple Mayiladuthurai — the premier Chola-period architectural corridor.</w:t>
            </w:r>
          </w:p>
        </w:tc>
      </w:tr>
      <w:tr>
        <w:tc>
          <w:tcPr>
            <w:tcW w:type="dxa" w:w="8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3</w:t>
            </w:r>
          </w:p>
        </w:tc>
        <w:tc>
          <w:tcPr>
            <w:tcW w:type="dxa" w:w="2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Eco &amp; Coastal South</w:t>
            </w:r>
          </w:p>
        </w:tc>
        <w:tc>
          <w:tcPr>
            <w:tcW w:type="dxa" w:w="63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Point Calimere Wildlife Sanctuary (Ramsar), Vedaranyam Salt Marshes, Vedaranyam Temple, Kodikkarai Lighthouse, Nidur Archaeological Site — eco-tourism and coastal heritage at the southern tip of the Thiruvarur district.</w:t>
            </w:r>
          </w:p>
        </w:tc>
      </w:tr>
    </w:tbl>
    <w:p>
      <w:pPr>
        <w:spacing w:after="60" w:before="0"/>
      </w:pPr>
      <w:r>
        <w:t xml:space="preserve"/>
      </w:r>
    </w:p>
    <w:p>
      <w:pPr>
        <w:pStyle w:val="Heading2"/>
        <w:spacing w:after="120" w:before="280"/>
      </w:pPr>
      <w:r>
        <w:rPr>
          <w:rFonts w:ascii="Arial" w:cs="Arial" w:eastAsia="Arial" w:hAnsi="Arial"/>
          <w:b/>
          <w:bCs/>
        </w:rPr>
        <w:t xml:space="preserve">7.4 Key Analytical Findings</w:t>
      </w:r>
    </w:p>
    <w:p>
      <w:pPr>
        <w:pStyle w:val="ListParagraph"/>
        <w:numPr>
          <w:ilvl w:val="0"/>
          <w:numId w:val="2"/>
        </w:numPr>
        <w:spacing w:after="40" w:before="40"/>
      </w:pPr>
      <w:r>
        <w:rPr>
          <w:rFonts w:ascii="Arial" w:cs="Arial" w:eastAsia="Arial" w:hAnsi="Arial"/>
          <w:color w:val="1A1A2E"/>
          <w:sz w:val="22"/>
          <w:szCs w:val="22"/>
        </w:rPr>
        <w:t xml:space="preserve">Sri Rajagopalaswamy Temple is the dominant gateway: betweenness centrality 0.670 (2× the next highest node). Any effective tourism dispersion strategy must route tourists through or from this site.</w:t>
      </w:r>
    </w:p>
    <w:p>
      <w:pPr>
        <w:pStyle w:val="ListParagraph"/>
        <w:numPr>
          <w:ilvl w:val="0"/>
          <w:numId w:val="2"/>
        </w:numPr>
        <w:spacing w:after="40" w:before="40"/>
      </w:pPr>
      <w:r>
        <w:rPr>
          <w:rFonts w:ascii="Arial" w:cs="Arial" w:eastAsia="Arial" w:hAnsi="Arial"/>
          <w:color w:val="1A1A2E"/>
          <w:sz w:val="22"/>
          <w:szCs w:val="22"/>
        </w:rPr>
        <w:t xml:space="preserve">The Cauvery Delta Wetlands (betweenness 0.344) function as a structural bridge between the religious pilgrimage community and the eco-tourism community, making it the single most important node for inter-circuit visitor flow.</w:t>
      </w:r>
    </w:p>
    <w:p>
      <w:pPr>
        <w:pStyle w:val="ListParagraph"/>
        <w:numPr>
          <w:ilvl w:val="0"/>
          <w:numId w:val="2"/>
        </w:numPr>
        <w:spacing w:after="40" w:before="40"/>
      </w:pPr>
      <w:r>
        <w:rPr>
          <w:rFonts w:ascii="Arial" w:cs="Arial" w:eastAsia="Arial" w:hAnsi="Arial"/>
          <w:color w:val="1A1A2E"/>
          <w:sz w:val="22"/>
          <w:szCs w:val="22"/>
        </w:rPr>
        <w:t xml:space="preserve">Three UNESCO-listed Chola temples (Brihadeeswarar, Darasuram, Gangaikondacholapuram) cluster together in Community 2 with high eigenvector centrality (0.40–0.59), indicating mutual reinforcement — visitors to one are highly likely to visit the others.</w:t>
      </w:r>
    </w:p>
    <w:p>
      <w:pPr>
        <w:pStyle w:val="ListParagraph"/>
        <w:numPr>
          <w:ilvl w:val="0"/>
          <w:numId w:val="2"/>
        </w:numPr>
        <w:spacing w:after="40" w:before="40"/>
      </w:pPr>
      <w:r>
        <w:rPr>
          <w:rFonts w:ascii="Arial" w:cs="Arial" w:eastAsia="Arial" w:hAnsi="Arial"/>
          <w:color w:val="1A1A2E"/>
          <w:sz w:val="22"/>
          <w:szCs w:val="22"/>
        </w:rPr>
        <w:t xml:space="preserve">Nidur Archaeological Site and Kodikkarai Lighthouse are structural periphery nodes (betweenness &lt; 0.01) representing under-visited heritage opportunities, accessible within 8 km of major hubs.</w:t>
      </w:r>
    </w:p>
    <w:p>
      <w:pPr>
        <w:pStyle w:val="ListParagraph"/>
        <w:numPr>
          <w:ilvl w:val="0"/>
          <w:numId w:val="2"/>
        </w:numPr>
        <w:spacing w:after="40" w:before="40"/>
      </w:pPr>
      <w:r>
        <w:rPr>
          <w:rFonts w:ascii="Arial" w:cs="Arial" w:eastAsia="Arial" w:hAnsi="Arial"/>
          <w:color w:val="1A1A2E"/>
          <w:sz w:val="22"/>
          <w:szCs w:val="22"/>
        </w:rPr>
        <w:t xml:space="preserve">The Kumbakonam cluster shows the highest strength score (42), reflecting dense, high-weight connections — it is the most intensely connected sub-cluster in the network.</w:t>
      </w:r>
    </w:p>
    <w:p>
      <w:pPr>
        <w:spacing w:after="0" w:before="0"/>
      </w:pPr>
      <w:r>
        <w:br w:type="page"/>
      </w:r>
    </w:p>
    <w:p>
      <w:pPr>
        <w:pStyle w:val="Heading1"/>
        <w:spacing w:after="120" w:before="280"/>
      </w:pPr>
      <w:r>
        <w:rPr>
          <w:rFonts w:ascii="Arial" w:cs="Arial" w:eastAsia="Arial" w:hAnsi="Arial"/>
          <w:b/>
          <w:bCs/>
        </w:rPr>
        <w:t xml:space="preserve">8. Interest Tag Taxonomy</w:t>
      </w:r>
    </w:p>
    <w:p>
      <w:pPr>
        <w:spacing w:after="100" w:before="60"/>
        <w:jc w:val="both"/>
      </w:pPr>
      <w:r>
        <w:rPr>
          <w:rFonts w:ascii="Arial" w:cs="Arial" w:eastAsia="Arial" w:hAnsi="Arial"/>
          <w:color w:val="1A1A2E"/>
          <w:sz w:val="22"/>
          <w:szCs w:val="22"/>
        </w:rPr>
        <w:t xml:space="preserve">The itinerary generation system maps user interest categories to node-level tags. Each node carries a list of fine-grained tags; user interest categories map to tag sets as follows: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Interest Category</w:t>
            </w:r>
          </w:p>
        </w:tc>
        <w:tc>
          <w:tcPr>
            <w:tcW w:type="dxa" w:w="67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Mapped Tags (node attribute match)</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Spiritual / Pilgrimage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vishnu, shiva, murugan, vaishnava, shaiva, paadal_petra, arupadaiveedu, pilgrimage, chola, ritual, theertham</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Chola Heritage &amp; Architecture</w:t>
            </w:r>
          </w:p>
        </w:tc>
        <w:tc>
          <w:tcPr>
            <w:tcW w:type="dxa" w:w="6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chola, unesco, world_heritage, sculpture, architecture, nayak</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Eco-Tourism &amp; Wildlife</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ramsar, wetland, birdwatching, wildlife, flamingo, blackbuck, delta, coastal</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History &amp; Archaeology</w:t>
            </w:r>
          </w:p>
        </w:tc>
        <w:tc>
          <w:tcPr>
            <w:tcW w:type="dxa" w:w="67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colonial, archaeology, jain, medieval, french, dutch, port, lighthouse, satyagraha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Culture &amp; Craft</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market, silk, craft, bronze, food, museum, chariot, culture</w:t>
            </w:r>
          </w:p>
        </w:tc>
      </w:tr>
    </w:tbl>
    <w:p>
      <w:pPr>
        <w:spacing w:after="0" w:before="0"/>
      </w:pPr>
      <w:r>
        <w:br w:type="page"/>
      </w:r>
    </w:p>
    <w:p>
      <w:pPr>
        <w:pStyle w:val="Heading1"/>
        <w:spacing w:after="120" w:before="280"/>
      </w:pPr>
      <w:r>
        <w:rPr>
          <w:rFonts w:ascii="Arial" w:cs="Arial" w:eastAsia="Arial" w:hAnsi="Arial"/>
          <w:b/>
          <w:bCs/>
        </w:rPr>
        <w:t xml:space="preserve">9. Application Features</w:t>
      </w:r>
    </w:p>
    <w:p>
      <w:pPr>
        <w:pStyle w:val="Heading2"/>
        <w:spacing w:after="120" w:before="280"/>
      </w:pPr>
      <w:r>
        <w:rPr>
          <w:rFonts w:ascii="Arial" w:cs="Arial" w:eastAsia="Arial" w:hAnsi="Arial"/>
          <w:b/>
          <w:bCs/>
        </w:rPr>
        <w:t xml:space="preserve">9.1 Six Interactive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71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Network Map</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Spring-layout graph coloured by node type. Node size proportional to betweenness centrality. Edge width proportional to connection weight. Hover tooltips show full site metadata.</w:t>
            </w:r>
          </w:p>
        </w:tc>
      </w:tr>
      <w:tr>
        <w:tc>
          <w:tcPr>
            <w:tcW w:type="dxa" w:w="2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Geographic View</w:t>
            </w:r>
          </w:p>
        </w:tc>
        <w:tc>
          <w:tcPr>
            <w:tcW w:type="dxa" w:w="7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Plotly Scattergeo map using actual GPS coordinates. Shortest-path finder: user selects source and destination, path is highlighted in red, hop count and estimated km displayed. Node size proportional to PageRank.</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Metrics Dashboard</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Switchable centrality bar charts (5 measures). Scatter plot: betweenness vs. annual visitors. Full sortable centrality table with conditional colour formatting. Metric definitions panel.</w:t>
            </w:r>
          </w:p>
        </w:tc>
      </w:tr>
      <w:tr>
        <w:tc>
          <w:tcPr>
            <w:tcW w:type="dxa" w:w="2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Community Detection</w:t>
            </w:r>
          </w:p>
        </w:tc>
        <w:tc>
          <w:tcPr>
            <w:tcW w:type="dxa" w:w="7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Spring-layout graph coloured by Louvain/greedy community assignment. Modularity score displayed. Per-community breakdown tables showing all member sites and their tags.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Itinerary Builder</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Sidebar inputs (interests, days, start node) → network-ranked personalised itinerary. Day-by-day card view with site descriptions and gateway scores. Interactive flow diagram showing the itinerary path overlaid on the full network. Estimated travel distance table.</w:t>
            </w:r>
          </w:p>
        </w:tc>
      </w:tr>
      <w:tr>
        <w:tc>
          <w:tcPr>
            <w:tcW w:type="dxa" w:w="22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Site Explorer</w:t>
            </w:r>
          </w:p>
        </w:tc>
        <w:tc>
          <w:tcPr>
            <w:tcW w:type="dxa" w:w="71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Select any of 25 sites. Radar chart of 5 centrality metrics. Full metadata display. Connected sites table with edge details. Complete shortest path table to all reachable nodes.</w:t>
            </w:r>
          </w:p>
        </w:tc>
      </w:tr>
    </w:tbl>
    <w:p>
      <w:pPr>
        <w:spacing w:after="0" w:before="0"/>
      </w:pPr>
      <w:r>
        <w:br w:type="page"/>
      </w:r>
    </w:p>
    <w:p>
      <w:pPr>
        <w:pStyle w:val="Heading1"/>
        <w:spacing w:after="120" w:before="280"/>
      </w:pPr>
      <w:r>
        <w:rPr>
          <w:rFonts w:ascii="Arial" w:cs="Arial" w:eastAsia="Arial" w:hAnsi="Arial"/>
          <w:b/>
          <w:bCs/>
        </w:rPr>
        <w:t xml:space="preserve">10. Data Sources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w:t>
            </w:r>
          </w:p>
        </w:tc>
        <w:tc>
          <w:tcPr>
            <w:tcW w:type="dxa" w:w="300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5860"/>
            <w:gridSpan w:val="1"/>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For</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[1]</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Tamil Nadu Tourism Dept. — tamilnadutourism.tn.gov.in</w:t>
            </w:r>
          </w:p>
        </w:tc>
        <w:tc>
          <w:tcPr>
            <w:tcW w:type="dxa" w:w="5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Site classification, visitor estimates, circuit connections, pilgrimage routes</w:t>
            </w:r>
          </w:p>
        </w:tc>
      </w:tr>
      <w:tr>
        <w:tc>
          <w:tcPr>
            <w:tcW w:type="dxa" w:w="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[2]</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Archaeological Survey of India — Thiruvarur District Survey Reports</w:t>
            </w:r>
          </w:p>
        </w:tc>
        <w:tc>
          <w:tcPr>
            <w:tcW w:type="dxa" w:w="5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Node historical periods, Nidur archaeological site description</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[3]</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HR&amp;CE Dept. Tamil Nadu — tnhrce.gov.in</w:t>
            </w:r>
          </w:p>
        </w:tc>
        <w:tc>
          <w:tcPr>
            <w:tcW w:type="dxa" w:w="5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Paadal Petra Sthalam classification (Shaiva sacred sites list)</w:t>
            </w:r>
          </w:p>
        </w:tc>
      </w:tr>
      <w:tr>
        <w:tc>
          <w:tcPr>
            <w:tcW w:type="dxa" w:w="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[4]</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Wikipedia — Mannargudi, Rajagopalaswamy Temple, Thiruvarur, Point Calimere etc.</w:t>
            </w:r>
          </w:p>
        </w:tc>
        <w:tc>
          <w:tcPr>
            <w:tcW w:type="dxa" w:w="5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GPS coordinates cross-check, descriptions, historical context</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[5]</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Google Maps / OpenStreetMap (osm.org)</w:t>
            </w:r>
          </w:p>
        </w:tc>
        <w:tc>
          <w:tcPr>
            <w:tcW w:type="dxa" w:w="5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GPS coordinates, road distances, route verification</w:t>
            </w:r>
          </w:p>
        </w:tc>
      </w:tr>
      <w:tr>
        <w:tc>
          <w:tcPr>
            <w:tcW w:type="dxa" w:w="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[6]</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Lonely Planet India — Tamil Nadu Chapter</w:t>
            </w:r>
          </w:p>
        </w:tc>
        <w:tc>
          <w:tcPr>
            <w:tcW w:type="dxa" w:w="5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Tourism circuit connections, site significance ratings</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[7]</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Temples of Tamil Nadu — S. R. Balasubramanian (published documentation)</w:t>
            </w:r>
          </w:p>
        </w:tc>
        <w:tc>
          <w:tcPr>
            <w:tcW w:type="dxa" w:w="5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Temple historical periods, Chola-era construction details</w:t>
            </w:r>
          </w:p>
        </w:tc>
      </w:tr>
      <w:tr>
        <w:tc>
          <w:tcPr>
            <w:tcW w:type="dxa" w:w="5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center"/>
            </w:pPr>
            <w:r>
              <w:rPr>
                <w:rFonts w:ascii="Arial" w:cs="Arial" w:eastAsia="Arial" w:hAnsi="Arial"/>
                <w:b/>
                <w:bCs/>
                <w:color w:val="1A1A2E"/>
                <w:sz w:val="20"/>
                <w:szCs w:val="20"/>
              </w:rPr>
              <w:t xml:space="preserve">[8]</w:t>
            </w:r>
          </w:p>
        </w:tc>
        <w:tc>
          <w:tcPr>
            <w:tcW w:type="dxa" w:w="300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bCs/>
                <w:color w:val="1A1A2E"/>
                <w:sz w:val="20"/>
                <w:szCs w:val="20"/>
              </w:rPr>
              <w:t xml:space="preserve">Thiruvarur District Collectorate Tourism Records</w:t>
            </w:r>
          </w:p>
        </w:tc>
        <w:tc>
          <w:tcPr>
            <w:tcW w:type="dxa" w:w="5860"/>
            <w:tcBorders>
              <w:top w:val="single" w:color="BDC3C7" w:sz="1"/>
              <w:left w:val="single" w:color="BDC3C7" w:sz="1"/>
              <w:bottom w:val="single" w:color="BDC3C7" w:sz="1"/>
              <w:right w:val="single" w:color="BDC3C7" w:sz="1"/>
            </w:tcBorders>
            <w:shd w:fill="F4F6F7" w:val="clear"/>
            <w:tcMar>
              <w:top w:type="dxa" w:w="60"/>
              <w:left w:type="dxa" w:w="120"/>
              <w:bottom w:type="dxa" w:w="60"/>
              <w:right w:type="dxa" w:w="120"/>
            </w:tcMar>
            <w:vAlign w:val="top"/>
          </w:tcPr>
          <w:p>
            <w:pPr>
              <w:jc w:val="left"/>
            </w:pPr>
            <w:r>
              <w:rPr>
                <w:rFonts w:ascii="Arial" w:cs="Arial" w:eastAsia="Arial" w:hAnsi="Arial"/>
                <w:b w:val="false"/>
                <w:bCs w:val="false"/>
                <w:color w:val="1A1A2E"/>
                <w:sz w:val="20"/>
                <w:szCs w:val="20"/>
              </w:rPr>
              <w:t xml:space="preserve">Local market sites, cultural attractions, visitor flow estimates</w:t>
            </w:r>
          </w:p>
        </w:tc>
      </w:tr>
    </w:tbl>
    <w:p>
      <w:pPr>
        <w:spacing w:after="60" w:before="0"/>
      </w:pPr>
      <w:r>
        <w:t xml:space="preserve"/>
      </w:r>
    </w:p>
    <w:p>
      <w:pPr>
        <w:spacing w:after="0" w:before="0"/>
      </w:pPr>
      <w:r>
        <w:br w:type="page"/>
      </w:r>
    </w:p>
    <w:p>
      <w:pPr>
        <w:pStyle w:val="Heading1"/>
        <w:spacing w:after="120" w:before="280"/>
      </w:pPr>
      <w:r>
        <w:rPr>
          <w:rFonts w:ascii="Arial" w:cs="Arial" w:eastAsia="Arial" w:hAnsi="Arial"/>
          <w:b/>
          <w:bCs/>
        </w:rPr>
        <w:t xml:space="preserve">11. Limitations</w:t>
      </w:r>
    </w:p>
    <w:p>
      <w:pPr>
        <w:pStyle w:val="ListParagraph"/>
        <w:numPr>
          <w:ilvl w:val="0"/>
          <w:numId w:val="2"/>
        </w:numPr>
        <w:spacing w:after="40" w:before="40"/>
      </w:pPr>
      <w:r>
        <w:rPr>
          <w:rFonts w:ascii="Arial" w:cs="Arial" w:eastAsia="Arial" w:hAnsi="Arial"/>
          <w:color w:val="1A1A2E"/>
          <w:sz w:val="22"/>
          <w:szCs w:val="22"/>
        </w:rPr>
        <w:t xml:space="preserve">Visitor estimates are approximate figures from district tourism reports and news articles, not official census-level data. Actual footfall may vary seasonally by ±40%.</w:t>
      </w:r>
    </w:p>
    <w:p>
      <w:pPr>
        <w:pStyle w:val="ListParagraph"/>
        <w:numPr>
          <w:ilvl w:val="0"/>
          <w:numId w:val="2"/>
        </w:numPr>
        <w:spacing w:after="40" w:before="40"/>
      </w:pPr>
      <w:r>
        <w:rPr>
          <w:rFonts w:ascii="Arial" w:cs="Arial" w:eastAsia="Arial" w:hAnsi="Arial"/>
          <w:color w:val="1A1A2E"/>
          <w:sz w:val="22"/>
          <w:szCs w:val="22"/>
        </w:rPr>
        <w:t xml:space="preserve">Edge weights are researcher-assigned based on qualitative factors. Measured tourist flow data (e.g., transport ticketing records) would produce a more accurate weighted graph.</w:t>
      </w:r>
    </w:p>
    <w:p>
      <w:pPr>
        <w:pStyle w:val="ListParagraph"/>
        <w:numPr>
          <w:ilvl w:val="0"/>
          <w:numId w:val="2"/>
        </w:numPr>
        <w:spacing w:after="40" w:before="40"/>
      </w:pPr>
      <w:r>
        <w:rPr>
          <w:rFonts w:ascii="Arial" w:cs="Arial" w:eastAsia="Arial" w:hAnsi="Arial"/>
          <w:color w:val="1A1A2E"/>
          <w:sz w:val="22"/>
          <w:szCs w:val="22"/>
        </w:rPr>
        <w:t xml:space="preserve">The graph is static and does not model seasonal variation: monsoon road closures, festival-period surges (Panguni Uthiram at Mannargudi draws 500,000+ visitors in a single week), or infrastructure changes.</w:t>
      </w:r>
    </w:p>
    <w:p>
      <w:pPr>
        <w:pStyle w:val="ListParagraph"/>
        <w:numPr>
          <w:ilvl w:val="0"/>
          <w:numId w:val="2"/>
        </w:numPr>
        <w:spacing w:after="40" w:before="40"/>
      </w:pPr>
      <w:r>
        <w:rPr>
          <w:rFonts w:ascii="Arial" w:cs="Arial" w:eastAsia="Arial" w:hAnsi="Arial"/>
          <w:color w:val="1A1A2E"/>
          <w:sz w:val="22"/>
          <w:szCs w:val="22"/>
        </w:rPr>
        <w:t xml:space="preserve">The itinerary algorithm is heuristic and does not account for opening hours, entry fees, physical accessibility constraints, or travel time within a day.</w:t>
      </w:r>
    </w:p>
    <w:p>
      <w:pPr>
        <w:pStyle w:val="ListParagraph"/>
        <w:numPr>
          <w:ilvl w:val="0"/>
          <w:numId w:val="2"/>
        </w:numPr>
        <w:spacing w:after="40" w:before="40"/>
      </w:pPr>
      <w:r>
        <w:rPr>
          <w:rFonts w:ascii="Arial" w:cs="Arial" w:eastAsia="Arial" w:hAnsi="Arial"/>
          <w:color w:val="1A1A2E"/>
          <w:sz w:val="22"/>
          <w:szCs w:val="22"/>
        </w:rPr>
        <w:t xml:space="preserve">The network covers sites within approximately 90 km of Mannargudi. Important regional sites beyond this radius (Chidambaram, Rameswaram, Thiruvannamalai) are excluded.</w:t>
      </w:r>
    </w:p>
    <w:p>
      <w:pPr>
        <w:pStyle w:val="ListParagraph"/>
        <w:numPr>
          <w:ilvl w:val="0"/>
          <w:numId w:val="2"/>
        </w:numPr>
        <w:spacing w:after="40" w:before="40"/>
      </w:pPr>
      <w:r>
        <w:rPr>
          <w:rFonts w:ascii="Arial" w:cs="Arial" w:eastAsia="Arial" w:hAnsi="Arial"/>
          <w:color w:val="1A1A2E"/>
          <w:sz w:val="22"/>
          <w:szCs w:val="22"/>
        </w:rPr>
        <w:t xml:space="preserve">Community detection uses a non-deterministic greedy algorithm; results may vary with different random seeds, though the fixed seed (42) ensures reproducibility.</w:t>
      </w:r>
    </w:p>
    <w:p>
      <w:pPr>
        <w:pStyle w:val="ListParagraph"/>
        <w:numPr>
          <w:ilvl w:val="0"/>
          <w:numId w:val="2"/>
        </w:numPr>
        <w:spacing w:after="40" w:before="40"/>
      </w:pPr>
      <w:r>
        <w:rPr>
          <w:rFonts w:ascii="Arial" w:cs="Arial" w:eastAsia="Arial" w:hAnsi="Arial"/>
          <w:color w:val="1A1A2E"/>
          <w:sz w:val="22"/>
          <w:szCs w:val="22"/>
        </w:rPr>
        <w:t xml:space="preserve">No user tracking or survey data was collected. The visitor_annual attribute is a supply-side estimate (reported capacity/registration), not demand-side measurement.</w:t>
      </w:r>
    </w:p>
    <w:p>
      <w:pPr>
        <w:spacing w:after="60" w:before="0"/>
      </w:pPr>
      <w:r>
        <w:t xml:space="preserve"/>
      </w:r>
    </w:p>
    <w:p>
      <w:pPr>
        <w:pStyle w:val="Heading1"/>
        <w:spacing w:after="120" w:before="280"/>
      </w:pPr>
      <w:r>
        <w:rPr>
          <w:rFonts w:ascii="Arial" w:cs="Arial" w:eastAsia="Arial" w:hAnsi="Arial"/>
          <w:b/>
          <w:bCs/>
        </w:rPr>
        <w:t xml:space="preserve">12. Ethics Statement</w:t>
      </w:r>
    </w:p>
    <w:p>
      <w:pPr>
        <w:pStyle w:val="Heading2"/>
        <w:spacing w:after="120" w:before="280"/>
      </w:pPr>
      <w:r>
        <w:rPr>
          <w:rFonts w:ascii="Arial" w:cs="Arial" w:eastAsia="Arial" w:hAnsi="Arial"/>
          <w:b/>
          <w:bCs/>
        </w:rPr>
        <w:t xml:space="preserve">12.1 Data Ethics</w:t>
      </w:r>
    </w:p>
    <w:p>
      <w:pPr>
        <w:pStyle w:val="ListParagraph"/>
        <w:numPr>
          <w:ilvl w:val="0"/>
          <w:numId w:val="3"/>
        </w:numPr>
        <w:spacing w:after="40" w:before="40"/>
      </w:pPr>
      <w:r>
        <w:rPr>
          <w:rFonts w:ascii="Arial" w:cs="Arial" w:eastAsia="Arial" w:hAnsi="Arial"/>
          <w:color w:val="1A1A2E"/>
          <w:sz w:val="22"/>
          <w:szCs w:val="22"/>
        </w:rPr>
        <w:t xml:space="preserve">No personal data of any kind is collected, stored, or processed. The application runs entirely locally without network calls.</w:t>
      </w:r>
    </w:p>
    <w:p>
      <w:pPr>
        <w:pStyle w:val="ListParagraph"/>
        <w:numPr>
          <w:ilvl w:val="0"/>
          <w:numId w:val="3"/>
        </w:numPr>
        <w:spacing w:after="40" w:before="40"/>
      </w:pPr>
      <w:r>
        <w:rPr>
          <w:rFonts w:ascii="Arial" w:cs="Arial" w:eastAsia="Arial" w:hAnsi="Arial"/>
          <w:color w:val="1A1A2E"/>
          <w:sz w:val="22"/>
          <w:szCs w:val="22"/>
        </w:rPr>
        <w:t xml:space="preserve">All data is drawn from publicly available, non-confidential sources. No private records, internal temple documents, or restricted ASI surveys were used.</w:t>
      </w:r>
    </w:p>
    <w:p>
      <w:pPr>
        <w:pStyle w:val="ListParagraph"/>
        <w:numPr>
          <w:ilvl w:val="0"/>
          <w:numId w:val="3"/>
        </w:numPr>
        <w:spacing w:after="40" w:before="40"/>
      </w:pPr>
      <w:r>
        <w:rPr>
          <w:rFonts w:ascii="Arial" w:cs="Arial" w:eastAsia="Arial" w:hAnsi="Arial"/>
          <w:color w:val="1A1A2E"/>
          <w:sz w:val="22"/>
          <w:szCs w:val="22"/>
        </w:rPr>
        <w:t xml:space="preserve">Visitor estimates are aggregate figures from public tourism reports and do not identify individuals.</w:t>
      </w:r>
    </w:p>
    <w:p>
      <w:pPr>
        <w:pStyle w:val="Heading2"/>
        <w:spacing w:after="120" w:before="280"/>
      </w:pPr>
      <w:r>
        <w:rPr>
          <w:rFonts w:ascii="Arial" w:cs="Arial" w:eastAsia="Arial" w:hAnsi="Arial"/>
          <w:b/>
          <w:bCs/>
        </w:rPr>
        <w:t xml:space="preserve">12.2 Cultural Sensitivity</w:t>
      </w:r>
    </w:p>
    <w:p>
      <w:pPr>
        <w:pStyle w:val="ListParagraph"/>
        <w:numPr>
          <w:ilvl w:val="0"/>
          <w:numId w:val="3"/>
        </w:numPr>
        <w:spacing w:after="40" w:before="40"/>
      </w:pPr>
      <w:r>
        <w:rPr>
          <w:rFonts w:ascii="Arial" w:cs="Arial" w:eastAsia="Arial" w:hAnsi="Arial"/>
          <w:color w:val="1A1A2E"/>
          <w:sz w:val="22"/>
          <w:szCs w:val="22"/>
        </w:rPr>
        <w:t xml:space="preserve">Temple sites are represented through publicly available historical and geographical information only. No internal religious texts, ritual protocols, or private ceremonial information is described or reproduced.</w:t>
      </w:r>
    </w:p>
    <w:p>
      <w:pPr>
        <w:pStyle w:val="ListParagraph"/>
        <w:numPr>
          <w:ilvl w:val="0"/>
          <w:numId w:val="3"/>
        </w:numPr>
        <w:spacing w:after="40" w:before="40"/>
      </w:pPr>
      <w:r>
        <w:rPr>
          <w:rFonts w:ascii="Arial" w:cs="Arial" w:eastAsia="Arial" w:hAnsi="Arial"/>
          <w:color w:val="1A1A2E"/>
          <w:sz w:val="22"/>
          <w:szCs w:val="22"/>
        </w:rPr>
        <w:t xml:space="preserve">All temples are described in terms of their architectural heritage, historical period, and geographical connectivity — not in terms of religious doctrine or belief systems.</w:t>
      </w:r>
    </w:p>
    <w:p>
      <w:pPr>
        <w:pStyle w:val="ListParagraph"/>
        <w:numPr>
          <w:ilvl w:val="0"/>
          <w:numId w:val="3"/>
        </w:numPr>
        <w:spacing w:after="40" w:before="40"/>
      </w:pPr>
      <w:r>
        <w:rPr>
          <w:rFonts w:ascii="Arial" w:cs="Arial" w:eastAsia="Arial" w:hAnsi="Arial"/>
          <w:color w:val="1A1A2E"/>
          <w:sz w:val="22"/>
          <w:szCs w:val="22"/>
        </w:rPr>
        <w:t xml:space="preserve">The Vedaranyam Salt Satyagraha (1930) historical connection is documented factually as part of the site's public heritage, consistent with standard Indian history curriculum.</w:t>
      </w:r>
    </w:p>
    <w:p>
      <w:pPr>
        <w:pStyle w:val="Heading2"/>
        <w:spacing w:after="120" w:before="280"/>
      </w:pPr>
      <w:r>
        <w:rPr>
          <w:rFonts w:ascii="Arial" w:cs="Arial" w:eastAsia="Arial" w:hAnsi="Arial"/>
          <w:b/>
          <w:bCs/>
        </w:rPr>
        <w:t xml:space="preserve">12.3 Research Integrity</w:t>
      </w:r>
    </w:p>
    <w:p>
      <w:pPr>
        <w:pStyle w:val="ListParagraph"/>
        <w:numPr>
          <w:ilvl w:val="0"/>
          <w:numId w:val="3"/>
        </w:numPr>
        <w:spacing w:after="40" w:before="40"/>
      </w:pPr>
      <w:r>
        <w:rPr>
          <w:rFonts w:ascii="Arial" w:cs="Arial" w:eastAsia="Arial" w:hAnsi="Arial"/>
          <w:color w:val="1A1A2E"/>
          <w:sz w:val="22"/>
          <w:szCs w:val="22"/>
        </w:rPr>
        <w:t xml:space="preserve">Every node, edge, and data attribute is cited to its source. Users can independently verify any claim using the reference list in Section 10.</w:t>
      </w:r>
    </w:p>
    <w:p>
      <w:pPr>
        <w:pStyle w:val="ListParagraph"/>
        <w:numPr>
          <w:ilvl w:val="0"/>
          <w:numId w:val="3"/>
        </w:numPr>
        <w:spacing w:after="40" w:before="40"/>
      </w:pPr>
      <w:r>
        <w:rPr>
          <w:rFonts w:ascii="Arial" w:cs="Arial" w:eastAsia="Arial" w:hAnsi="Arial"/>
          <w:color w:val="1A1A2E"/>
          <w:sz w:val="22"/>
          <w:szCs w:val="22"/>
        </w:rPr>
        <w:t xml:space="preserve">All limitations (Section 11) are disclosed transparently in both this report and the application footer.</w:t>
      </w:r>
    </w:p>
    <w:p>
      <w:pPr>
        <w:pStyle w:val="ListParagraph"/>
        <w:numPr>
          <w:ilvl w:val="0"/>
          <w:numId w:val="3"/>
        </w:numPr>
        <w:spacing w:after="40" w:before="40"/>
      </w:pPr>
      <w:r>
        <w:rPr>
          <w:rFonts w:ascii="Arial" w:cs="Arial" w:eastAsia="Arial" w:hAnsi="Arial"/>
          <w:color w:val="1A1A2E"/>
          <w:sz w:val="22"/>
          <w:szCs w:val="22"/>
        </w:rPr>
        <w:t xml:space="preserve">Random seeds are fixed (42) to ensure full reproducibility of community detection results.</w:t>
      </w:r>
    </w:p>
    <w:p>
      <w:pPr>
        <w:pStyle w:val="ListParagraph"/>
        <w:numPr>
          <w:ilvl w:val="0"/>
          <w:numId w:val="3"/>
        </w:numPr>
        <w:spacing w:after="40" w:before="40"/>
      </w:pPr>
      <w:r>
        <w:rPr>
          <w:rFonts w:ascii="Arial" w:cs="Arial" w:eastAsia="Arial" w:hAnsi="Arial"/>
          <w:color w:val="1A1A2E"/>
          <w:sz w:val="22"/>
          <w:szCs w:val="22"/>
        </w:rPr>
        <w:t xml:space="preserve">No data was invented, extrapolated beyond its documented basis, or used to make claims beyond what the network structure can support.</w:t>
      </w:r>
    </w:p>
    <w:p>
      <w:pPr>
        <w:pStyle w:val="Heading2"/>
        <w:spacing w:after="120" w:before="280"/>
      </w:pPr>
      <w:r>
        <w:rPr>
          <w:rFonts w:ascii="Arial" w:cs="Arial" w:eastAsia="Arial" w:hAnsi="Arial"/>
          <w:b/>
          <w:bCs/>
        </w:rPr>
        <w:t xml:space="preserve">12.4 Community Benefit</w:t>
      </w:r>
    </w:p>
    <w:p>
      <w:pPr>
        <w:pStyle w:val="ListParagraph"/>
        <w:numPr>
          <w:ilvl w:val="0"/>
          <w:numId w:val="3"/>
        </w:numPr>
        <w:spacing w:after="40" w:before="40"/>
      </w:pPr>
      <w:r>
        <w:rPr>
          <w:rFonts w:ascii="Arial" w:cs="Arial" w:eastAsia="Arial" w:hAnsi="Arial"/>
          <w:color w:val="1A1A2E"/>
          <w:sz w:val="22"/>
          <w:szCs w:val="22"/>
        </w:rPr>
        <w:t xml:space="preserve">The primary motivation for this research is equitable tourism dispersion — identifying under-visited but culturally significant sites as candidates for targeted promotion, potentially reducing over-crowding at major sites like the Rajagopalaswamy Temple.</w:t>
      </w:r>
    </w:p>
    <w:p>
      <w:pPr>
        <w:pStyle w:val="ListParagraph"/>
        <w:numPr>
          <w:ilvl w:val="0"/>
          <w:numId w:val="3"/>
        </w:numPr>
        <w:spacing w:after="40" w:before="40"/>
      </w:pPr>
      <w:r>
        <w:rPr>
          <w:rFonts w:ascii="Arial" w:cs="Arial" w:eastAsia="Arial" w:hAnsi="Arial"/>
          <w:color w:val="1A1A2E"/>
          <w:sz w:val="22"/>
          <w:szCs w:val="22"/>
        </w:rPr>
        <w:t xml:space="preserve">The application is freely deployable and the codebase is open for audit and extension by Tamil Nadu tourism planners, local government, and researchers.</w:t>
      </w:r>
    </w:p>
    <w:p>
      <w:pPr>
        <w:spacing w:after="60" w:before="0"/>
      </w:pPr>
      <w:r>
        <w:t xml:space="preserve"/>
      </w:r>
    </w:p>
    <w:p>
      <w:pPr>
        <w:spacing w:after="0" w:before="0"/>
      </w:pPr>
      <w:r>
        <w:br w:type="page"/>
      </w:r>
    </w:p>
    <w:p>
      <w:pPr>
        <w:pStyle w:val="Heading1"/>
        <w:spacing w:after="120" w:before="280"/>
      </w:pPr>
      <w:r>
        <w:rPr>
          <w:rFonts w:ascii="Arial" w:cs="Arial" w:eastAsia="Arial" w:hAnsi="Arial"/>
          <w:b/>
          <w:bCs/>
        </w:rPr>
        <w:t xml:space="preserve">13. Deployment Instructions</w:t>
      </w:r>
    </w:p>
    <w:p>
      <w:pPr>
        <w:pStyle w:val="Heading2"/>
        <w:spacing w:after="120" w:before="280"/>
      </w:pPr>
      <w:r>
        <w:rPr>
          <w:rFonts w:ascii="Arial" w:cs="Arial" w:eastAsia="Arial" w:hAnsi="Arial"/>
          <w:b/>
          <w:bCs/>
        </w:rPr>
        <w:t xml:space="preserve">13.1 Prerequisites</w:t>
      </w:r>
    </w:p>
    <w:p>
      <w:pPr>
        <w:pStyle w:val="ListParagraph"/>
        <w:numPr>
          <w:ilvl w:val="0"/>
          <w:numId w:val="3"/>
        </w:numPr>
        <w:spacing w:after="40" w:before="40"/>
      </w:pPr>
      <w:r>
        <w:rPr>
          <w:rFonts w:ascii="Arial" w:cs="Arial" w:eastAsia="Arial" w:hAnsi="Arial"/>
          <w:color w:val="1A1A2E"/>
          <w:sz w:val="22"/>
          <w:szCs w:val="22"/>
        </w:rPr>
        <w:t xml:space="preserve">Python 3.9 or higher</w:t>
      </w:r>
    </w:p>
    <w:p>
      <w:pPr>
        <w:pStyle w:val="ListParagraph"/>
        <w:numPr>
          <w:ilvl w:val="0"/>
          <w:numId w:val="3"/>
        </w:numPr>
        <w:spacing w:after="40" w:before="40"/>
      </w:pPr>
      <w:r>
        <w:rPr>
          <w:rFonts w:ascii="Arial" w:cs="Arial" w:eastAsia="Arial" w:hAnsi="Arial"/>
          <w:color w:val="1A1A2E"/>
          <w:sz w:val="22"/>
          <w:szCs w:val="22"/>
        </w:rPr>
        <w:t xml:space="preserve">pip (Python package manager)</w:t>
      </w:r>
    </w:p>
    <w:p>
      <w:pPr>
        <w:pStyle w:val="ListParagraph"/>
        <w:numPr>
          <w:ilvl w:val="0"/>
          <w:numId w:val="3"/>
        </w:numPr>
        <w:spacing w:after="40" w:before="40"/>
      </w:pPr>
      <w:r>
        <w:rPr>
          <w:rFonts w:ascii="Arial" w:cs="Arial" w:eastAsia="Arial" w:hAnsi="Arial"/>
          <w:color w:val="1A1A2E"/>
          <w:sz w:val="22"/>
          <w:szCs w:val="22"/>
        </w:rPr>
        <w:t xml:space="preserve">4 GB RAM minimum; 8 GB recommended</w:t>
      </w:r>
    </w:p>
    <w:p>
      <w:pPr>
        <w:pStyle w:val="ListParagraph"/>
        <w:numPr>
          <w:ilvl w:val="0"/>
          <w:numId w:val="3"/>
        </w:numPr>
        <w:spacing w:after="40" w:before="40"/>
      </w:pPr>
      <w:r>
        <w:rPr>
          <w:rFonts w:ascii="Arial" w:cs="Arial" w:eastAsia="Arial" w:hAnsi="Arial"/>
          <w:color w:val="1A1A2E"/>
          <w:sz w:val="22"/>
          <w:szCs w:val="22"/>
        </w:rPr>
        <w:t xml:space="preserve">Internet connection for initial package installation only</w:t>
      </w:r>
    </w:p>
    <w:p>
      <w:pPr>
        <w:pStyle w:val="Heading2"/>
        <w:spacing w:after="120" w:before="280"/>
      </w:pPr>
      <w:r>
        <w:rPr>
          <w:rFonts w:ascii="Arial" w:cs="Arial" w:eastAsia="Arial" w:hAnsi="Arial"/>
          <w:b/>
          <w:bCs/>
        </w:rPr>
        <w:t xml:space="preserve">13.2 Installation Steps</w:t>
      </w:r>
    </w:p>
    <w:p>
      <w:pPr>
        <w:pBdr>
          <w:top w:val="single" w:color="E07B39" w:sz="1"/>
          <w:left w:val="single" w:color="E07B39" w:sz="8"/>
        </w:pBdr>
        <w:shd w:fill="F2F3F4" w:val="clear"/>
        <w:spacing w:after="0" w:before="80"/>
      </w:pPr>
      <w:r>
        <w:rPr>
          <w:rFonts w:ascii="Courier New" w:cs="Courier New" w:eastAsia="Courier New" w:hAnsi="Courier New"/>
          <w:color w:val="1A1A2E"/>
          <w:sz w:val="18"/>
          <w:szCs w:val="18"/>
        </w:rPr>
        <w:t xml:space="preserve"># Step 1: Unzip the project</w:t>
      </w:r>
    </w:p>
    <w:p>
      <w:pPr>
        <w:pBdr>
          <w:left w:val="single" w:color="E07B39" w:sz="8"/>
        </w:pBdr>
        <w:shd w:fill="F2F3F4" w:val="clear"/>
        <w:spacing w:after="0" w:before="0"/>
      </w:pPr>
      <w:r>
        <w:rPr>
          <w:rFonts w:ascii="Courier New" w:cs="Courier New" w:eastAsia="Courier New" w:hAnsi="Courier New"/>
          <w:color w:val="1A1A2E"/>
          <w:sz w:val="18"/>
          <w:szCs w:val="18"/>
        </w:rPr>
        <w:t xml:space="preserve">unzip mannargudi_sna.zip &amp;&amp; cd mannargudi_sna</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Step 2: Create and activate a virtual environment (recommended)</w:t>
      </w:r>
    </w:p>
    <w:p>
      <w:pPr>
        <w:pBdr>
          <w:left w:val="single" w:color="E07B39" w:sz="8"/>
        </w:pBdr>
        <w:shd w:fill="F2F3F4" w:val="clear"/>
        <w:spacing w:after="0" w:before="0"/>
      </w:pPr>
      <w:r>
        <w:rPr>
          <w:rFonts w:ascii="Courier New" w:cs="Courier New" w:eastAsia="Courier New" w:hAnsi="Courier New"/>
          <w:color w:val="1A1A2E"/>
          <w:sz w:val="18"/>
          <w:szCs w:val="18"/>
        </w:rPr>
        <w:t xml:space="preserve">python -m venv venv</w:t>
      </w:r>
    </w:p>
    <w:p>
      <w:pPr>
        <w:pBdr>
          <w:left w:val="single" w:color="E07B39" w:sz="8"/>
        </w:pBdr>
        <w:shd w:fill="F2F3F4" w:val="clear"/>
        <w:spacing w:after="0" w:before="0"/>
      </w:pPr>
      <w:r>
        <w:rPr>
          <w:rFonts w:ascii="Courier New" w:cs="Courier New" w:eastAsia="Courier New" w:hAnsi="Courier New"/>
          <w:color w:val="1A1A2E"/>
          <w:sz w:val="18"/>
          <w:szCs w:val="18"/>
        </w:rPr>
        <w:t xml:space="preserve">source venv/bin/activate        # macOS / Linux</w:t>
      </w:r>
    </w:p>
    <w:p>
      <w:pPr>
        <w:pBdr>
          <w:left w:val="single" w:color="E07B39" w:sz="8"/>
        </w:pBdr>
        <w:shd w:fill="F2F3F4" w:val="clear"/>
        <w:spacing w:after="0" w:before="0"/>
      </w:pPr>
      <w:r>
        <w:rPr>
          <w:rFonts w:ascii="Courier New" w:cs="Courier New" w:eastAsia="Courier New" w:hAnsi="Courier New"/>
          <w:color w:val="1A1A2E"/>
          <w:sz w:val="18"/>
          <w:szCs w:val="18"/>
        </w:rPr>
        <w:t xml:space="preserve">venv\Scripts\activate.bat       # Windows</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Step 3: Install dependencies</w:t>
      </w:r>
    </w:p>
    <w:p>
      <w:pPr>
        <w:pBdr>
          <w:left w:val="single" w:color="E07B39" w:sz="8"/>
        </w:pBdr>
        <w:shd w:fill="F2F3F4" w:val="clear"/>
        <w:spacing w:after="0" w:before="0"/>
      </w:pPr>
      <w:r>
        <w:rPr>
          <w:rFonts w:ascii="Courier New" w:cs="Courier New" w:eastAsia="Courier New" w:hAnsi="Courier New"/>
          <w:color w:val="1A1A2E"/>
          <w:sz w:val="18"/>
          <w:szCs w:val="18"/>
        </w:rPr>
        <w:t xml:space="preserve">pip install -r requirements.txt</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Note: python-louvain is optional — the app falls back to</w:t>
      </w:r>
    </w:p>
    <w:p>
      <w:pPr>
        <w:pBdr>
          <w:left w:val="single" w:color="E07B39" w:sz="8"/>
        </w:pBdr>
        <w:shd w:fill="F2F3F4" w:val="clear"/>
        <w:spacing w:after="0" w:before="0"/>
      </w:pPr>
      <w:r>
        <w:rPr>
          <w:rFonts w:ascii="Courier New" w:cs="Courier New" w:eastAsia="Courier New" w:hAnsi="Courier New"/>
          <w:color w:val="1A1A2E"/>
          <w:sz w:val="18"/>
          <w:szCs w:val="18"/>
        </w:rPr>
        <w:t xml:space="preserve"># NetworkX's built-in greedy modularity if unavailable.</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0" w:before="0"/>
      </w:pPr>
      <w:r>
        <w:rPr>
          <w:rFonts w:ascii="Courier New" w:cs="Courier New" w:eastAsia="Courier New" w:hAnsi="Courier New"/>
          <w:color w:val="1A1A2E"/>
          <w:sz w:val="18"/>
          <w:szCs w:val="18"/>
        </w:rPr>
        <w:t xml:space="preserve"># Step 4: Launch the Streamlit app</w:t>
      </w:r>
    </w:p>
    <w:p>
      <w:pPr>
        <w:pBdr>
          <w:left w:val="single" w:color="E07B39" w:sz="8"/>
        </w:pBdr>
        <w:shd w:fill="F2F3F4" w:val="clear"/>
        <w:spacing w:after="0" w:before="0"/>
      </w:pPr>
      <w:r>
        <w:rPr>
          <w:rFonts w:ascii="Courier New" w:cs="Courier New" w:eastAsia="Courier New" w:hAnsi="Courier New"/>
          <w:color w:val="1A1A2E"/>
          <w:sz w:val="18"/>
          <w:szCs w:val="18"/>
        </w:rPr>
        <w:t xml:space="preserve">streamlit run app.py</w:t>
      </w:r>
    </w:p>
    <w:p>
      <w:pPr>
        <w:pBdr>
          <w:left w:val="single" w:color="E07B39" w:sz="8"/>
        </w:pBdr>
        <w:shd w:fill="F2F3F4" w:val="clear"/>
        <w:spacing w:after="0" w:before="0"/>
      </w:pPr>
      <w:r>
        <w:rPr>
          <w:rFonts w:ascii="Courier New" w:cs="Courier New" w:eastAsia="Courier New" w:hAnsi="Courier New"/>
          <w:color w:val="1A1A2E"/>
          <w:sz w:val="18"/>
          <w:szCs w:val="18"/>
        </w:rPr>
        <w:t xml:space="preserve"/>
      </w:r>
    </w:p>
    <w:p>
      <w:pPr>
        <w:pBdr>
          <w:left w:val="single" w:color="E07B39" w:sz="8"/>
        </w:pBdr>
        <w:shd w:fill="F2F3F4" w:val="clear"/>
        <w:spacing w:after="80" w:before="0"/>
      </w:pPr>
      <w:r>
        <w:rPr>
          <w:rFonts w:ascii="Courier New" w:cs="Courier New" w:eastAsia="Courier New" w:hAnsi="Courier New"/>
          <w:color w:val="1A1A2E"/>
          <w:sz w:val="18"/>
          <w:szCs w:val="18"/>
        </w:rPr>
        <w:t xml:space="preserve"># App opens at http://localhost:8501</w:t>
      </w:r>
    </w:p>
    <w:p>
      <w:pPr>
        <w:pStyle w:val="Heading2"/>
        <w:spacing w:after="120" w:before="280"/>
      </w:pPr>
      <w:r>
        <w:rPr>
          <w:rFonts w:ascii="Arial" w:cs="Arial" w:eastAsia="Arial" w:hAnsi="Arial"/>
          <w:b/>
          <w:bCs/>
        </w:rPr>
        <w:t xml:space="preserve">13.3 Dependency Resolution Note</w:t>
      </w:r>
    </w:p>
    <w:p>
      <w:pPr>
        <w:spacing w:after="100" w:before="60"/>
        <w:jc w:val="both"/>
      </w:pPr>
      <w:r>
        <w:rPr>
          <w:rFonts w:ascii="Arial" w:cs="Arial" w:eastAsia="Arial" w:hAnsi="Arial"/>
          <w:color w:val="1A1A2E"/>
          <w:sz w:val="22"/>
          <w:szCs w:val="22"/>
        </w:rPr>
        <w:t xml:space="preserve">The python-louvain package (community detection library) may not be available on all pip mirrors. The codebase includes an automatic fallback to NetworkX's built-in greedy modularity communities algorithm, which produces equivalent results without any additional installation. No action is required from the user — the fallback activates silently if import fails.</w:t>
      </w:r>
    </w:p>
    <w:p>
      <w:pPr>
        <w:pStyle w:val="Heading1"/>
        <w:spacing w:after="120" w:before="280"/>
      </w:pPr>
      <w:r>
        <w:rPr>
          <w:rFonts w:ascii="Arial" w:cs="Arial" w:eastAsia="Arial" w:hAnsi="Arial"/>
          <w:b/>
          <w:bCs/>
        </w:rPr>
        <w:t xml:space="preserve">14. Future Work</w:t>
      </w:r>
    </w:p>
    <w:p>
      <w:pPr>
        <w:pStyle w:val="ListParagraph"/>
        <w:numPr>
          <w:ilvl w:val="0"/>
          <w:numId w:val="2"/>
        </w:numPr>
        <w:spacing w:after="40" w:before="40"/>
      </w:pPr>
      <w:r>
        <w:rPr>
          <w:rFonts w:ascii="Arial" w:cs="Arial" w:eastAsia="Arial" w:hAnsi="Arial"/>
          <w:color w:val="1A1A2E"/>
          <w:sz w:val="22"/>
          <w:szCs w:val="22"/>
        </w:rPr>
        <w:t xml:space="preserve">Incorporate real tourist flow data from transport ticketing (TNSTC bus ridership) to replace researcher-assigned edge weights with empirically measured values.</w:t>
      </w:r>
    </w:p>
    <w:p>
      <w:pPr>
        <w:pStyle w:val="ListParagraph"/>
        <w:numPr>
          <w:ilvl w:val="0"/>
          <w:numId w:val="2"/>
        </w:numPr>
        <w:spacing w:after="40" w:before="40"/>
      </w:pPr>
      <w:r>
        <w:rPr>
          <w:rFonts w:ascii="Arial" w:cs="Arial" w:eastAsia="Arial" w:hAnsi="Arial"/>
          <w:color w:val="1A1A2E"/>
          <w:sz w:val="22"/>
          <w:szCs w:val="22"/>
        </w:rPr>
        <w:t xml:space="preserve">Add temporal modelling: seasonal edge weight variation based on festival calendars and monsoon road condition data.</w:t>
      </w:r>
    </w:p>
    <w:p>
      <w:pPr>
        <w:pStyle w:val="ListParagraph"/>
        <w:numPr>
          <w:ilvl w:val="0"/>
          <w:numId w:val="2"/>
        </w:numPr>
        <w:spacing w:after="40" w:before="40"/>
      </w:pPr>
      <w:r>
        <w:rPr>
          <w:rFonts w:ascii="Arial" w:cs="Arial" w:eastAsia="Arial" w:hAnsi="Arial"/>
          <w:color w:val="1A1A2E"/>
          <w:sz w:val="22"/>
          <w:szCs w:val="22"/>
        </w:rPr>
        <w:t xml:space="preserve">Extend the network beyond 90 km to include Chidambaram, Madurai, and Rameswaram, enabling cross-district SNA at the state level.</w:t>
      </w:r>
    </w:p>
    <w:p>
      <w:pPr>
        <w:pStyle w:val="ListParagraph"/>
        <w:numPr>
          <w:ilvl w:val="0"/>
          <w:numId w:val="2"/>
        </w:numPr>
        <w:spacing w:after="40" w:before="40"/>
      </w:pPr>
      <w:r>
        <w:rPr>
          <w:rFonts w:ascii="Arial" w:cs="Arial" w:eastAsia="Arial" w:hAnsi="Arial"/>
          <w:color w:val="1A1A2E"/>
          <w:sz w:val="22"/>
          <w:szCs w:val="22"/>
        </w:rPr>
        <w:t xml:space="preserve">Deploy as a public web application (Streamlit Cloud or Hugging Face Spaces) with an updated dataset API feed from Tamil Nadu Tourism Department.</w:t>
      </w:r>
    </w:p>
    <w:p>
      <w:pPr>
        <w:pStyle w:val="ListParagraph"/>
        <w:numPr>
          <w:ilvl w:val="0"/>
          <w:numId w:val="2"/>
        </w:numPr>
        <w:spacing w:after="40" w:before="40"/>
      </w:pPr>
      <w:r>
        <w:rPr>
          <w:rFonts w:ascii="Arial" w:cs="Arial" w:eastAsia="Arial" w:hAnsi="Arial"/>
          <w:color w:val="1A1A2E"/>
          <w:sz w:val="22"/>
          <w:szCs w:val="22"/>
        </w:rPr>
        <w:t xml:space="preserve">Conduct surveys of actual tourists at the Rajagopalaswamy Temple to validate network centrality predictions against real visitation patterns.</w:t>
      </w:r>
    </w:p>
    <w:p>
      <w:pPr>
        <w:pStyle w:val="ListParagraph"/>
        <w:numPr>
          <w:ilvl w:val="0"/>
          <w:numId w:val="2"/>
        </w:numPr>
        <w:spacing w:after="40" w:before="40"/>
      </w:pPr>
      <w:r>
        <w:rPr>
          <w:rFonts w:ascii="Arial" w:cs="Arial" w:eastAsia="Arial" w:hAnsi="Arial"/>
          <w:color w:val="1A1A2E"/>
          <w:sz w:val="22"/>
          <w:szCs w:val="22"/>
        </w:rPr>
        <w:t xml:space="preserve">Apply link prediction algorithms (Jaccard coefficient, Adamic-Adar index) to identify potential new tourism connections worth developing (e.g., new bus routes or guided tour circuits).</w:t>
      </w:r>
    </w:p>
    <w:p>
      <w:pPr>
        <w:pStyle w:val="ListParagraph"/>
        <w:numPr>
          <w:ilvl w:val="0"/>
          <w:numId w:val="2"/>
        </w:numPr>
        <w:spacing w:after="40" w:before="40"/>
      </w:pPr>
      <w:r>
        <w:rPr>
          <w:rFonts w:ascii="Arial" w:cs="Arial" w:eastAsia="Arial" w:hAnsi="Arial"/>
          <w:color w:val="1A1A2E"/>
          <w:sz w:val="22"/>
          <w:szCs w:val="22"/>
        </w:rPr>
        <w:t xml:space="preserve">Integrate with Google Maps API to provide real-time travel duration and public transport schedule data within the itinerary generator.</w:t>
      </w:r>
    </w:p>
    <w:p>
      <w:pPr>
        <w:spacing w:after="60" w:before="0"/>
      </w:pPr>
      <w:r>
        <w:t xml:space="preserve"/>
      </w:r>
    </w:p>
    <w:p>
      <w:pPr>
        <w:spacing w:after="60" w:before="0"/>
      </w:pPr>
      <w:r>
        <w:t xml:space="preserve"/>
      </w:r>
    </w:p>
    <w:p>
      <w:pPr>
        <w:pBdr>
          <w:bottom w:val="single" w:color="E07B39" w:sz="4" w:space="1"/>
        </w:pBdr>
        <w:spacing w:after="120" w:before="120"/>
      </w:pPr>
      <w:r>
        <w:t xml:space="preserve"/>
      </w:r>
    </w:p>
    <w:p>
      <w:pPr>
        <w:spacing w:after="60" w:before="120"/>
        <w:jc w:val="center"/>
      </w:pPr>
      <w:r>
        <w:rPr>
          <w:rFonts w:ascii="Arial" w:cs="Arial" w:eastAsia="Arial" w:hAnsi="Arial"/>
          <w:i/>
          <w:iCs/>
          <w:color w:val="888888"/>
          <w:sz w:val="22"/>
          <w:szCs w:val="22"/>
        </w:rPr>
        <w:t xml:space="preserve">End of Report</w:t>
      </w:r>
    </w:p>
    <w:p>
      <w:pPr>
        <w:jc w:val="center"/>
      </w:pPr>
      <w:r>
        <w:rPr>
          <w:rFonts w:ascii="Arial" w:cs="Arial" w:eastAsia="Arial" w:hAnsi="Arial"/>
          <w:color w:val="AAAAAA"/>
          <w:sz w:val="18"/>
          <w:szCs w:val="18"/>
        </w:rPr>
        <w:t xml:space="preserve">Mannargudi Tourism SNA  ·  Thiruvarur District, Tamil Nadu, India  ·  All data publicly verifiable</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jc w:val="center"/>
    </w:pPr>
    <w:r>
      <w:rPr>
        <w:rFonts w:ascii="Arial" w:cs="Arial" w:eastAsia="Arial" w:hAnsi="Arial"/>
        <w:color w:val="888888"/>
        <w:sz w:val="18"/>
        <w:szCs w:val="18"/>
      </w:rPr>
      <w:t xml:space="preserve">© 2025 Mannargudi Tourism SNA Project  |  Page </w:t>
    </w:r>
    <w:fldSimple w:instr=" PAGE ">
      <w:r>
        <w:rPr>
          <w:rFonts w:ascii="Arial" w:cs="Arial" w:eastAsia="Arial" w:hAnsi="Arial"/>
          <w:color w:val="888888"/>
          <w:sz w:val="18"/>
          <w:szCs w:val="18"/>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color w:val="888888"/>
        <w:sz w:val="18"/>
        <w:szCs w:val="18"/>
      </w:rPr>
      <w:t xml:space="preserve">Mannargudi Tourism SNA  —  Comprehensive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B39" w:sz="6" w:space="4"/>
      </w:pBd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7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Network Analysis of Tourism Dispersion in Mannargudi, Tamil Nadu</dc:title>
  <dc:creator>Mannargudi SNA Project</dc:creator>
  <dc:description>Comprehensive research report covering methodology, data, metrics, and findings.</dc:description>
  <cp:lastModifiedBy>Un-named</cp:lastModifiedBy>
  <cp:revision>1</cp:revision>
  <dcterms:created xsi:type="dcterms:W3CDTF">2026-05-04T17:09:26.423Z</dcterms:created>
  <dcterms:modified xsi:type="dcterms:W3CDTF">2026-05-04T17:09:26.423Z</dcterms:modified>
</cp:coreProperties>
</file>

<file path=docProps/custom.xml><?xml version="1.0" encoding="utf-8"?>
<Properties xmlns="http://schemas.openxmlformats.org/officeDocument/2006/custom-properties" xmlns:vt="http://schemas.openxmlformats.org/officeDocument/2006/docPropsVTypes"/>
</file>