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AD37F" w14:textId="77777777" w:rsidR="00A44D77" w:rsidRPr="009A5EDE" w:rsidRDefault="00F27B9A" w:rsidP="00A44D77">
      <w:pPr>
        <w:widowControl w:val="0"/>
        <w:autoSpaceDE w:val="0"/>
        <w:autoSpaceDN w:val="0"/>
        <w:adjustRightInd w:val="0"/>
        <w:spacing w:after="0" w:line="259" w:lineRule="atLeast"/>
        <w:ind w:left="38"/>
        <w:rPr>
          <w:rFonts w:ascii="Comic Sans MS" w:hAnsi="Comic Sans MS" w:cs="Comic Sans MS"/>
          <w:b/>
          <w:bCs/>
          <w:color w:val="000000"/>
          <w:kern w:val="0"/>
          <w:sz w:val="24"/>
          <w:szCs w:val="24"/>
          <w:lang w:val="en"/>
        </w:rPr>
      </w:pPr>
      <w:r w:rsidRPr="009A5EDE">
        <w:rPr>
          <w:rFonts w:ascii="Comic Sans MS" w:hAnsi="Comic Sans MS" w:cs="Comic Sans MS"/>
          <w:b/>
          <w:bCs/>
          <w:color w:val="000000"/>
          <w:kern w:val="0"/>
          <w:sz w:val="24"/>
          <w:szCs w:val="24"/>
          <w:lang w:val="en"/>
        </w:rPr>
        <w:t>How many acres of potatoes does a society need?</w:t>
      </w:r>
      <w:r w:rsidR="00A44D77" w:rsidRPr="009A5EDE">
        <w:rPr>
          <w:rFonts w:ascii="Comic Sans MS" w:hAnsi="Comic Sans MS" w:cs="Comic Sans MS"/>
          <w:b/>
          <w:bCs/>
          <w:color w:val="000000"/>
          <w:kern w:val="0"/>
          <w:sz w:val="24"/>
          <w:szCs w:val="24"/>
          <w:lang w:val="en"/>
        </w:rPr>
        <w:t xml:space="preserve"> </w:t>
      </w:r>
      <w:r w:rsidRPr="009A5EDE">
        <w:rPr>
          <w:rFonts w:ascii="Comic Sans MS" w:hAnsi="Comic Sans MS" w:cs="Comic Sans MS"/>
          <w:b/>
          <w:bCs/>
          <w:color w:val="000000"/>
          <w:kern w:val="0"/>
          <w:sz w:val="24"/>
          <w:szCs w:val="24"/>
          <w:lang w:val="en"/>
        </w:rPr>
        <w:t>Using food and historical claims in an energy context.</w:t>
      </w:r>
    </w:p>
    <w:p w14:paraId="312D45E7" w14:textId="6474E156" w:rsidR="00A44D77" w:rsidRDefault="00F27B9A" w:rsidP="00A44D77">
      <w:pPr>
        <w:widowControl w:val="0"/>
        <w:autoSpaceDE w:val="0"/>
        <w:autoSpaceDN w:val="0"/>
        <w:adjustRightInd w:val="0"/>
        <w:spacing w:after="0" w:line="259" w:lineRule="atLeast"/>
        <w:ind w:left="38"/>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Nathan T Moore</w:t>
      </w:r>
      <w:r w:rsidR="00A44D77">
        <w:rPr>
          <w:rFonts w:ascii="Comic Sans MS" w:hAnsi="Comic Sans MS" w:cs="Comic Sans MS"/>
          <w:color w:val="000000"/>
          <w:kern w:val="0"/>
          <w:sz w:val="24"/>
          <w:szCs w:val="24"/>
          <w:lang w:val="en"/>
        </w:rPr>
        <w:t xml:space="preserve">, </w:t>
      </w:r>
      <w:r w:rsidR="009A5EDE">
        <w:rPr>
          <w:rFonts w:ascii="Comic Sans MS" w:hAnsi="Comic Sans MS" w:cs="Comic Sans MS"/>
          <w:color w:val="000000"/>
          <w:kern w:val="0"/>
          <w:sz w:val="24"/>
          <w:szCs w:val="24"/>
          <w:lang w:val="en"/>
        </w:rPr>
        <w:t xml:space="preserve">Physics and General Engineering, </w:t>
      </w:r>
      <w:r w:rsidR="00A44D77">
        <w:rPr>
          <w:rFonts w:ascii="Comic Sans MS" w:hAnsi="Comic Sans MS" w:cs="Comic Sans MS"/>
          <w:color w:val="000000"/>
          <w:kern w:val="0"/>
          <w:sz w:val="24"/>
          <w:szCs w:val="24"/>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1CABD34B"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hyperlink r:id="rId4" w:history="1">
        <w:r w:rsidR="004776CC" w:rsidRPr="00C44D96">
          <w:rPr>
            <w:rStyle w:val="Hyperlink"/>
            <w:rFonts w:ascii="Comic Sans MS" w:hAnsi="Comic Sans MS" w:cs="Comic Sans MS"/>
            <w:kern w:val="0"/>
            <w:sz w:val="24"/>
            <w:szCs w:val="24"/>
            <w:lang w:val="en"/>
          </w:rPr>
          <w:t>https://github.com/ntmoore/food_energy_paper/</w:t>
        </w:r>
      </w:hyperlink>
      <w:r w:rsidR="004776CC">
        <w:rPr>
          <w:rFonts w:ascii="Comic Sans MS" w:hAnsi="Comic Sans MS" w:cs="Comic Sans MS"/>
          <w:color w:val="000000"/>
          <w:kern w:val="0"/>
          <w:sz w:val="24"/>
          <w:szCs w:val="24"/>
          <w:lang w:val="en"/>
        </w:rPr>
        <w:t xml:space="preserve">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umps are far more efficient than simply oxidizing methane or propane, but they consume kilowatt-hours (kWh) of electricity, not BTU’s. What’s a kWh? Run a 1000 Watt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54947B96"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As the last paragraph illustrates, there are a frustratingly large number of different units in an “Energy” class. At Winona State, this 3 credit class [24, 26] fulfills a “Science and Social Policy” general education requirement and is taken by students from across the university. </w:t>
      </w:r>
      <w:r w:rsidR="00A44D77">
        <w:rPr>
          <w:rFonts w:ascii="Comic Sans MS" w:hAnsi="Comic Sans MS" w:cs="Comic Sans MS"/>
          <w:color w:val="000000"/>
          <w:kern w:val="0"/>
          <w:sz w:val="24"/>
          <w:szCs w:val="24"/>
          <w:lang w:val="en"/>
        </w:rPr>
        <w:t xml:space="preserve">Many </w:t>
      </w:r>
      <w:r>
        <w:rPr>
          <w:rFonts w:ascii="Comic Sans MS" w:hAnsi="Comic Sans MS" w:cs="Comic Sans MS"/>
          <w:color w:val="000000"/>
          <w:kern w:val="0"/>
          <w:sz w:val="24"/>
          <w:szCs w:val="24"/>
          <w:lang w:val="en"/>
        </w:rPr>
        <w:t xml:space="preserve">college majors don’t require a math class beyond algebra or introductory statistics and the population is largely math-averse. You could jokingly say that one of the main things students learn in the class is unit conversion, but it isn’t far off. Nearly every field finds energy a useful representation, and every profession has their own set of units and terminology most well suited for quick calculation. Would a medical lab scientist talk about the </w:t>
      </w:r>
      <w:r>
        <w:rPr>
          <w:rFonts w:ascii="Comic Sans MS" w:hAnsi="Comic Sans MS" w:cs="Comic Sans MS"/>
          <w:color w:val="000000"/>
          <w:kern w:val="0"/>
          <w:sz w:val="24"/>
          <w:szCs w:val="24"/>
          <w:lang w:val="en"/>
        </w:rPr>
        <w:lastRenderedPageBreak/>
        <w:t xml:space="preserve">fractional acre-foot of urine needed test kidney function? No, but someone in the central valley of California would certainly care about the acre-feet of water necessary to grow almonds!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77777777"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626EFE" w:rsidRPr="00626EFE">
        <w:rPr>
          <w:rFonts w:ascii="Comic Sans MS" w:hAnsi="Comic Sans MS" w:cs="Comic Sans MS"/>
          <w:color w:val="000000"/>
          <w:kern w:val="0"/>
          <w:sz w:val="24"/>
          <w:szCs w:val="24"/>
          <w:lang w:val="en"/>
        </w:rPr>
        <w:t>https://arxiv.org/abs/2301.06637</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77777777"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1860's,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76ED7F11"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[20] Where will those Calories come from? Is your backyard enough to homestead in the suburbs?[25]</w:t>
      </w:r>
    </w:p>
    <w:p w14:paraId="2A51F70B" w14:textId="5C9DD98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Pr>
          <w:rFonts w:ascii="Comic Sans MS" w:hAnsi="Comic Sans MS" w:cs="Comic Sans MS"/>
          <w:b/>
          <w:bCs/>
          <w:color w:val="000000"/>
          <w:kern w:val="0"/>
          <w:sz w:val="24"/>
          <w:szCs w:val="24"/>
          <w:lang w:val="en"/>
        </w:rPr>
        <w:t>1</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and </w:t>
      </w:r>
      <w:r w:rsidR="00A44D77">
        <w:rPr>
          <w:rFonts w:ascii="Comic Sans MS" w:hAnsi="Comic Sans MS" w:cs="Comic Sans MS"/>
          <w:b/>
          <w:bCs/>
          <w:color w:val="000000"/>
          <w:kern w:val="0"/>
          <w:sz w:val="24"/>
          <w:szCs w:val="24"/>
          <w:lang w:val="en"/>
        </w:rPr>
        <w:t>2</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Pr>
          <w:rFonts w:ascii="Comic Sans MS" w:hAnsi="Comic Sans MS" w:cs="Comic Sans MS"/>
          <w:color w:val="000000"/>
          <w:kern w:val="0"/>
          <w:sz w:val="24"/>
          <w:szCs w:val="24"/>
          <w:lang w:val="en"/>
        </w:rPr>
        <w:t xml:space="preserve"> The data used to create these figures comes from the National Agricultural Statistics Service (NASS, </w:t>
      </w:r>
      <w:hyperlink r:id="rId5" w:history="1">
        <w:r w:rsidR="00747913" w:rsidRPr="00C44D96">
          <w:rPr>
            <w:rStyle w:val="Hyperlink"/>
            <w:rFonts w:ascii="Comic Sans MS" w:hAnsi="Comic Sans MS" w:cs="Comic Sans MS"/>
            <w:kern w:val="0"/>
            <w:sz w:val="24"/>
            <w:szCs w:val="24"/>
            <w:lang w:val="en"/>
          </w:rPr>
          <w:t>https://www.nass.usda.gov/</w:t>
        </w:r>
      </w:hyperlink>
      <w:r w:rsidR="00747913">
        <w:rPr>
          <w:rFonts w:ascii="Comic Sans MS" w:hAnsi="Comic Sans MS" w:cs="Comic Sans MS"/>
          <w:color w:val="000000"/>
          <w:kern w:val="0"/>
          <w:sz w:val="24"/>
          <w:szCs w:val="24"/>
          <w:lang w:val="en"/>
        </w:rPr>
        <w:t xml:space="preserve"> ), details online </w:t>
      </w:r>
      <w:hyperlink r:id="rId6" w:history="1">
        <w:r w:rsidR="00747913" w:rsidRPr="00C44D96">
          <w:rPr>
            <w:rStyle w:val="Hyperlink"/>
            <w:rFonts w:ascii="Comic Sans MS" w:hAnsi="Comic Sans MS" w:cs="Comic Sans MS"/>
            <w:kern w:val="0"/>
            <w:sz w:val="24"/>
            <w:szCs w:val="24"/>
            <w:lang w:val="en"/>
          </w:rPr>
          <w:t>https://github.com/ntmoore/food_energy_paper/blob/main/ag_yields_graph/make_figure.ipynb</w:t>
        </w:r>
      </w:hyperlink>
      <w:r w:rsidR="00747913">
        <w:rPr>
          <w:rFonts w:ascii="Comic Sans MS" w:hAnsi="Comic Sans MS" w:cs="Comic Sans MS"/>
          <w:color w:val="000000"/>
          <w:kern w:val="0"/>
          <w:sz w:val="24"/>
          <w:szCs w:val="24"/>
          <w:lang w:val="en"/>
        </w:rPr>
        <w:t xml:space="preserve"> </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2BD3B7C0"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Kcals produced per acre. The dramatic increase in production after World War 2 is still visible and if you like, the vertical axis could be read as “human beings fed per acre” as a person needs about a 1,000,000 Kcals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proofErr w:type="spellStart"/>
      <w:r w:rsidR="00896E8D">
        <w:rPr>
          <w:rFonts w:ascii="Comic Sans MS" w:hAnsi="Comic Sans MS" w:cs="Comic Sans MS"/>
          <w:color w:val="000000"/>
          <w:kern w:val="0"/>
          <w:sz w:val="24"/>
          <w:szCs w:val="24"/>
          <w:lang w:val="en"/>
        </w:rPr>
        <w:t>ann</w:t>
      </w:r>
      <w:proofErr w:type="spellEnd"/>
      <w:r w:rsidR="00896E8D">
        <w:rPr>
          <w:rFonts w:ascii="Comic Sans MS" w:hAnsi="Comic Sans MS" w:cs="Comic Sans MS"/>
          <w:color w:val="000000"/>
          <w:kern w:val="0"/>
          <w:sz w:val="24"/>
          <w:szCs w:val="24"/>
          <w:lang w:val="en"/>
        </w:rPr>
        <w:t xml:space="preserve"> online appendix</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 (Biegert, 2017)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 (Tucker, 1975)</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640 acre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145C96FD"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In 1917 the USDA published a pamphlet [10] giving detailed per acre Calorie 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w:t>
      </w:r>
      <w:r>
        <w:rPr>
          <w:rFonts w:ascii="Comic Sans MS" w:hAnsi="Comic Sans MS" w:cs="Comic Sans MS"/>
          <w:color w:val="000000"/>
          <w:kern w:val="0"/>
          <w:sz w:val="24"/>
          <w:szCs w:val="24"/>
          <w:lang w:val="en"/>
        </w:rPr>
        <w:lastRenderedPageBreak/>
        <w:t xml:space="preserve">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 xml:space="preserve">\footnote{Is 3000 kcal/person-day accurate for a family?  For soldiers or active athletes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EC82430" w14:textId="084DCD5E"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4F2106B3" w14:textId="77777777" w:rsidR="00F27B9A" w:rsidRDefault="00F27B9A" w:rsidP="00F23C1A">
      <w:pPr>
        <w:widowControl w:val="0"/>
        <w:autoSpaceDE w:val="0"/>
        <w:autoSpaceDN w:val="0"/>
        <w:adjustRightInd w:val="0"/>
        <w:spacing w:after="0" w:line="388" w:lineRule="atLeast"/>
        <w:ind w:left="1450" w:right="4" w:firstLine="710"/>
        <w:rPr>
          <w:rFonts w:ascii="Comic Sans MS" w:hAnsi="Comic Sans MS" w:cs="Comic Sans MS"/>
          <w:color w:val="000000"/>
          <w:kern w:val="0"/>
          <w:sz w:val="24"/>
          <w:szCs w:val="24"/>
          <w:lang w:val="en"/>
        </w:rPr>
      </w:pPr>
      <w:r w:rsidRPr="00F27B9A">
        <w:rPr>
          <w:rFonts w:ascii="Calibri" w:hAnsi="Calibri" w:cs="Calibri"/>
          <w:noProof/>
          <w:kern w:val="0"/>
          <w:lang w:val="en"/>
        </w:rPr>
        <w:drawing>
          <wp:inline distT="0" distB="0" distL="0" distR="0" wp14:anchorId="69D98BB9" wp14:editId="59D23A6E">
            <wp:extent cx="2419350" cy="27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9350" cy="273050"/>
                    </a:xfrm>
                    <a:prstGeom prst="rect">
                      <a:avLst/>
                    </a:prstGeom>
                    <a:noFill/>
                    <a:ln>
                      <a:noFill/>
                    </a:ln>
                  </pic:spPr>
                </pic:pic>
              </a:graphicData>
            </a:graphic>
          </wp:inline>
        </w:drawing>
      </w:r>
      <w:r>
        <w:rPr>
          <w:rFonts w:ascii="Comic Sans MS" w:hAnsi="Comic Sans MS" w:cs="Comic Sans MS"/>
          <w:color w:val="000000"/>
          <w:kern w:val="0"/>
          <w:sz w:val="24"/>
          <w:szCs w:val="24"/>
          <w:lang w:val="en"/>
        </w:rPr>
        <w:tab/>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2B05CAC8" w:rsidR="00F27B9A" w:rsidRDefault="00F23C1A">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b/>
      </w:r>
      <w:r w:rsidR="00F27B9A" w:rsidRPr="00F27B9A">
        <w:rPr>
          <w:rFonts w:ascii="Comic Sans MS" w:hAnsi="Comic Sans MS" w:cs="Comic Sans MS"/>
          <w:noProof/>
          <w:color w:val="000000"/>
          <w:kern w:val="0"/>
          <w:sz w:val="24"/>
          <w:szCs w:val="24"/>
          <w:lang w:val="en"/>
        </w:rPr>
        <w:drawing>
          <wp:inline distT="0" distB="0" distL="0" distR="0" wp14:anchorId="71188252" wp14:editId="544C875D">
            <wp:extent cx="1828800" cy="27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279400"/>
                    </a:xfrm>
                    <a:prstGeom prst="rect">
                      <a:avLst/>
                    </a:prstGeom>
                    <a:noFill/>
                    <a:ln>
                      <a:noFill/>
                    </a:ln>
                  </pic:spPr>
                </pic:pic>
              </a:graphicData>
            </a:graphic>
          </wp:inline>
        </w:drawing>
      </w:r>
    </w:p>
    <w:p w14:paraId="24008D7B" w14:textId="18411FD1"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[13]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and our 4 person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77777777"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[12]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3A3804D"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While a discussion of food energy is certainly useful in an introductory physics </w:t>
      </w:r>
      <w:r>
        <w:rPr>
          <w:rFonts w:ascii="Comic Sans MS" w:hAnsi="Comic Sans MS" w:cs="Comic Sans MS"/>
          <w:color w:val="000000"/>
          <w:kern w:val="0"/>
          <w:sz w:val="24"/>
          <w:szCs w:val="24"/>
          <w:lang w:val="en"/>
        </w:rPr>
        <w:lastRenderedPageBreak/>
        <w:t>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[3] floating patches of decaying vegetation and soil. Given the proximity to water and decaying vegetation, these fields were very fertile [9, 14]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5EECA55" w14:textId="12E50F7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inhabitants[5],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[28], the staple Calorie sources for the Aztecs were Corn, Beans, Quinoa, and Amaranth.</w:t>
      </w:r>
    </w:p>
    <w:p w14:paraId="14D5102C"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2"/>
                    <a:stretch>
                      <a:fillRect/>
                    </a:stretch>
                  </pic:blipFill>
                  <pic:spPr>
                    <a:xfrm>
                      <a:off x="0" y="0"/>
                      <a:ext cx="5943600" cy="4107815"/>
                    </a:xfrm>
                    <a:prstGeom prst="rect">
                      <a:avLst/>
                    </a:prstGeom>
                  </pic:spPr>
                </pic:pic>
              </a:graphicData>
            </a:graphic>
          </wp:inline>
        </w:drawing>
      </w:r>
    </w:p>
    <w:p w14:paraId="61B276C3" w14:textId="01D63DFA"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 (Coe, 1964)</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DA3409" w14:textId="41D720E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 1964 paper in Scientific American [9]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 (</w:t>
      </w:r>
      <w:hyperlink r:id="rId13" w:history="1">
        <w:r w:rsidR="00E350C3" w:rsidRPr="008A4A2E">
          <w:rPr>
            <w:rStyle w:val="Hyperlink"/>
            <w:rFonts w:ascii="Comic Sans MS" w:hAnsi="Comic Sans MS" w:cs="Comic Sans MS"/>
            <w:kern w:val="0"/>
            <w:sz w:val="24"/>
            <w:szCs w:val="24"/>
            <w:lang w:val="en"/>
          </w:rPr>
          <w:t>https://commons.wikimedia.org/wiki/File:Lake_Texcoco_c_1519.png</w:t>
        </w:r>
      </w:hyperlink>
      <w:r>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2016)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6A0B251E" w14:textId="13628F8B"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[30]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71913A3" w14:textId="77777777" w:rsidR="00D16712" w:rsidRPr="00D16712" w:rsidRDefault="00E350C3" w:rsidP="00E350C3">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Food Production=Population Requirement</m:t>
          </m:r>
          <m:r>
            <w:rPr>
              <w:rFonts w:ascii="Cambria Math" w:hAnsi="Cambria Math" w:cs="Comic Sans MS"/>
              <w:color w:val="000000"/>
              <w:kern w:val="0"/>
              <w:sz w:val="24"/>
              <w:szCs w:val="24"/>
              <w:lang w:val="en"/>
            </w:rPr>
            <w:br/>
          </m:r>
        </m:oMath>
      </m:oMathPara>
    </w:p>
    <w:p w14:paraId="7657DB3D" w14:textId="77777777" w:rsidR="00D16712" w:rsidRPr="00D16712" w:rsidRDefault="00E350C3" w:rsidP="00E350C3">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r>
            <w:rPr>
              <w:rFonts w:ascii="Cambria Math" w:hAnsi="Cambria Math" w:cs="Comic Sans MS"/>
              <w:color w:val="000000"/>
              <w:kern w:val="0"/>
              <w:sz w:val="24"/>
              <w:szCs w:val="24"/>
              <w:lang w:val="en"/>
            </w:rPr>
            <w:br/>
          </m:r>
        </m:oMath>
      </m:oMathPara>
    </w:p>
    <w:p w14:paraId="71C57DD9" w14:textId="77777777" w:rsidR="00D16712" w:rsidRDefault="00D16712" w:rsidP="00D16712">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m:oMathPara>
    </w:p>
    <w:p w14:paraId="02532D31" w14:textId="77777777" w:rsidR="00D16712" w:rsidRDefault="00F27B9A" w:rsidP="00D16712">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D16712" w:rsidRPr="00D16712">
        <w:rPr>
          <w:rFonts w:ascii="Comic Sans MS" w:hAnsi="Comic Sans MS" w:cs="Comic Sans MS"/>
          <w:color w:val="000000"/>
          <w:kern w:val="0"/>
          <w:sz w:val="24"/>
          <w:szCs w:val="24"/>
          <w:lang w:val="en"/>
        </w:rPr>
        <w:t>(Bernard R. Ortiz De Montellano American Anthropologist , Jun., 1983, New Series, Vol. 85, No. 2 (Jun., 1983), pp. 403-406)</w:t>
      </w:r>
      <w:r w:rsidR="00D16712">
        <w:t xml:space="preserve"> </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 xml:space="preserve">[9] </w:t>
      </w:r>
      <w:r>
        <w:rPr>
          <w:rFonts w:ascii="Comic Sans MS" w:hAnsi="Comic Sans MS" w:cs="Comic Sans MS"/>
          <w:color w:val="000000"/>
          <w:kern w:val="0"/>
          <w:sz w:val="24"/>
          <w:szCs w:val="24"/>
          <w:lang w:val="en"/>
        </w:rPr>
        <w:t xml:space="preserve">describe an extensive tribute system that Aztec government required of its subjects, which certainly would have been necessary to support populations on the upper end of historical estimates. [5] </w:t>
      </w:r>
    </w:p>
    <w:p w14:paraId="6253C96E" w14:textId="4BF95A03"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Was the Irish Potato Famine a Natural Disaster?</w:t>
      </w:r>
    </w:p>
    <w:p w14:paraId="436366DD" w14:textId="643D320A"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In contrast to native cultures of the Americas, Ireland’s population boomed with the Colombian Exchange and the introduction of the potato. [16, 29]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w:t>
      </w:r>
      <w:r>
        <w:rPr>
          <w:rFonts w:ascii="Comic Sans MS" w:hAnsi="Comic Sans MS" w:cs="Comic Sans MS"/>
          <w:color w:val="000000"/>
          <w:kern w:val="0"/>
          <w:sz w:val="24"/>
          <w:szCs w:val="24"/>
          <w:lang w:val="en"/>
        </w:rPr>
        <w:lastRenderedPageBreak/>
        <w:t xml:space="preserve">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[16]</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0505788C" w14:textId="1AB5A830"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w:t>
      </w:r>
      <w:r>
        <w:rPr>
          <w:rFonts w:ascii="Comic Sans MS" w:hAnsi="Comic Sans MS" w:cs="Comic Sans MS"/>
          <w:color w:val="000000"/>
          <w:kern w:val="0"/>
          <w:sz w:val="24"/>
          <w:szCs w:val="24"/>
          <w:lang w:val="en"/>
        </w:rPr>
        <w:t>Population-of-Ireland-since-1600.png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The population of Ireland over time, file from Wikipedia. (File:Population of the island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Ireland since 1600.png, 2010)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Pr>
          <w:rFonts w:ascii="Comic Sans MS" w:hAnsi="Comic Sans MS" w:cs="Comic Sans MS"/>
          <w:color w:val="000000"/>
          <w:kern w:val="0"/>
          <w:sz w:val="24"/>
          <w:szCs w:val="24"/>
          <w:lang w:val="en"/>
        </w:rPr>
        <w:t xml:space="preserve">a number of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Ireland finally re-reached its 1851 peak in 2021. (Carroll, 2021)</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w:t>
      </w:r>
      <w:r>
        <w:rPr>
          <w:rFonts w:ascii="Comic Sans MS" w:hAnsi="Comic Sans MS" w:cs="Comic Sans MS"/>
          <w:color w:val="000000"/>
          <w:kern w:val="0"/>
          <w:sz w:val="24"/>
          <w:szCs w:val="24"/>
          <w:lang w:val="en"/>
        </w:rPr>
        <w:lastRenderedPageBreak/>
        <w:t>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331BC93B"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4C039A40" w14:textId="39108B33"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xml:space="preserve">) is arable for agriculture.[1]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41415D78" w14:textId="77777777"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3C4ACF6E" w:rsidR="00F27B9A" w:rsidRDefault="00F27B9A" w:rsidP="00691E57">
      <w:pPr>
        <w:widowControl w:val="0"/>
        <w:autoSpaceDE w:val="0"/>
        <w:autoSpaceDN w:val="0"/>
        <w:adjustRightInd w:val="0"/>
        <w:spacing w:after="173" w:line="259" w:lineRule="atLeast"/>
        <w:ind w:right="443" w:firstLine="720"/>
        <w:rPr>
          <w:rFonts w:ascii="Comic Sans MS" w:hAnsi="Comic Sans MS" w:cs="Comic Sans MS"/>
          <w:color w:val="000000"/>
          <w:kern w:val="0"/>
          <w:sz w:val="24"/>
          <w:szCs w:val="24"/>
          <w:lang w:val="en"/>
        </w:rPr>
      </w:pPr>
      <w:r w:rsidRPr="00F27B9A">
        <w:rPr>
          <w:rFonts w:ascii="Calibri" w:hAnsi="Calibri" w:cs="Calibri"/>
          <w:noProof/>
          <w:kern w:val="0"/>
          <w:lang w:val="en"/>
        </w:rPr>
        <w:drawing>
          <wp:inline distT="0" distB="0" distL="0" distR="0" wp14:anchorId="07BE71F2" wp14:editId="30261301">
            <wp:extent cx="3562350" cy="42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425450"/>
                    </a:xfrm>
                    <a:prstGeom prst="rect">
                      <a:avLst/>
                    </a:prstGeom>
                    <a:noFill/>
                    <a:ln>
                      <a:noFill/>
                    </a:ln>
                  </pic:spPr>
                </pic:pic>
              </a:graphicData>
            </a:graphic>
          </wp:inline>
        </w:drawing>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266D8C48" w:rsidR="00F27B9A" w:rsidRDefault="00F27B9A">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w:r w:rsidRPr="00F27B9A">
        <w:rPr>
          <w:rFonts w:ascii="Calibri" w:hAnsi="Calibri" w:cs="Calibri"/>
          <w:noProof/>
          <w:kern w:val="0"/>
          <w:lang w:val="en"/>
        </w:rPr>
        <w:drawing>
          <wp:inline distT="0" distB="0" distL="0" distR="0" wp14:anchorId="3FB3C8C8" wp14:editId="6F2A7C11">
            <wp:extent cx="2952750" cy="46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463550"/>
                    </a:xfrm>
                    <a:prstGeom prst="rect">
                      <a:avLst/>
                    </a:prstGeom>
                    <a:noFill/>
                    <a:ln>
                      <a:noFill/>
                    </a:ln>
                  </pic:spPr>
                </pic:pic>
              </a:graphicData>
            </a:graphic>
          </wp:inline>
        </w:drawing>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51BF4B01" w:rsidR="00F27B9A" w:rsidRDefault="00F27B9A"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w:r w:rsidRPr="00F27B9A">
        <w:rPr>
          <w:rFonts w:ascii="Calibri" w:hAnsi="Calibri" w:cs="Calibri"/>
          <w:noProof/>
          <w:kern w:val="0"/>
          <w:lang w:val="en"/>
        </w:rPr>
        <w:drawing>
          <wp:inline distT="0" distB="0" distL="0" distR="0" wp14:anchorId="4BE68918" wp14:editId="66262D5E">
            <wp:extent cx="2952750" cy="46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463550"/>
                    </a:xfrm>
                    <a:prstGeom prst="rect">
                      <a:avLst/>
                    </a:prstGeom>
                    <a:noFill/>
                    <a:ln>
                      <a:noFill/>
                    </a:ln>
                  </pic:spPr>
                </pic:pic>
              </a:graphicData>
            </a:graphic>
          </wp:inline>
        </w:drawing>
      </w:r>
    </w:p>
    <w:p w14:paraId="5DC09186" w14:textId="649F8E5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xml:space="preserve">. [1]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3888DEBD" w14:textId="51D8F4D8"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Every question in a class like this is, to at least some extent, informed by numerical calculation and it </w:t>
      </w:r>
      <w:r w:rsidR="00691E57">
        <w:rPr>
          <w:rFonts w:ascii="Comic Sans MS" w:hAnsi="Comic Sans MS" w:cs="Comic Sans MS"/>
          <w:color w:val="000000"/>
          <w:kern w:val="0"/>
          <w:sz w:val="24"/>
          <w:szCs w:val="24"/>
          <w:lang w:val="en"/>
        </w:rPr>
        <w:t>seems</w:t>
      </w:r>
      <w:r>
        <w:rPr>
          <w:rFonts w:ascii="Comic Sans MS" w:hAnsi="Comic Sans MS" w:cs="Comic Sans MS"/>
          <w:color w:val="000000"/>
          <w:kern w:val="0"/>
          <w:sz w:val="24"/>
          <w:szCs w:val="24"/>
          <w:lang w:val="en"/>
        </w:rPr>
        <w:t xml:space="preserve"> pretty arrogant to assume that “those students” don’t need to (or can’t) do the math.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4037FF19" w14:textId="0B35E96C"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sectPr w:rsidR="00F27B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114009"/>
    <w:rsid w:val="00275CED"/>
    <w:rsid w:val="002B3F91"/>
    <w:rsid w:val="003C4CB5"/>
    <w:rsid w:val="004776CC"/>
    <w:rsid w:val="004F028E"/>
    <w:rsid w:val="00566DAB"/>
    <w:rsid w:val="005F3E90"/>
    <w:rsid w:val="00626EFE"/>
    <w:rsid w:val="00691E57"/>
    <w:rsid w:val="00747913"/>
    <w:rsid w:val="0075402E"/>
    <w:rsid w:val="0075787C"/>
    <w:rsid w:val="00853677"/>
    <w:rsid w:val="00896E8D"/>
    <w:rsid w:val="009A5EDE"/>
    <w:rsid w:val="00A44D77"/>
    <w:rsid w:val="00AB21D5"/>
    <w:rsid w:val="00D16712"/>
    <w:rsid w:val="00E350C3"/>
    <w:rsid w:val="00EB7BE3"/>
    <w:rsid w:val="00F0750F"/>
    <w:rsid w:val="00F17E1B"/>
    <w:rsid w:val="00F23C1A"/>
    <w:rsid w:val="00F27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mmons.wikimedia.org/wiki/File:Lake_Texcoco_c_1519.png" TargetMode="External"/><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ntmoore/food_energy_paper/blob/main/ag_yields_graph/make_figure.ipynb" TargetMode="External"/><Relationship Id="rId11" Type="http://schemas.openxmlformats.org/officeDocument/2006/relationships/image" Target="media/image5.png"/><Relationship Id="rId5" Type="http://schemas.openxmlformats.org/officeDocument/2006/relationships/hyperlink" Target="https://www.nass.usda.gov/"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hyperlink" Target="https://github.com/ntmoore/food_energy_paper/"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2717</Words>
  <Characters>15491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16</cp:revision>
  <dcterms:created xsi:type="dcterms:W3CDTF">2023-12-22T14:09:00Z</dcterms:created>
  <dcterms:modified xsi:type="dcterms:W3CDTF">2023-12-22T14:30:00Z</dcterms:modified>
</cp:coreProperties>
</file>