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Kính Chiếu Yêu / NxNxN</w:t>
      </w:r>
    </w:p>
    <w:p>
      <w:pPr>
        <w:pStyle w:val="Heading2"/>
        <w:pStyle w:val="MdHeading2"/>
      </w:pPr>
      <w:r>
        <w:t xml:space="preserve">Ma trận phân giải – tổ hợp – tái chiếu và phần đúc kết</w:t>
      </w:r>
    </w:p>
    <w:p>
      <w:pPr>
        <w:pStyle w:val="MdBlockquote"/>
      </w:pPr>
      <w:r>
        <w:rPr>
          <w:rStyle w:val="MdStrong"/>
          <w:b/>
          <w:bCs/>
        </w:rPr>
        <w:t xml:space="preserve">Mục tiêu của mô hình không phải dự đoán hay phán quyết đúng–sai. Mục tiêu là quan sát một hệ mở đang vận hành, nhận diện ngưỡng phát lộ, ghi nhận độ lệch và giữ dấu vết để truy nguyên.</w:t>
      </w:r>
    </w:p>
    <w:p>
      <w:pPr>
        <w:pStyle w:val="MdSpace"/>
        <w:spacing w:before="0" w:after="60"/>
      </w:pPr>
    </w:p>
    <w:p>
      <w:pPr>
        <w:pStyle w:val="Heading2"/>
        <w:pStyle w:val="MdHeading2"/>
      </w:pPr>
      <w:r>
        <w:t xml:space="preserve">1. Đặt lại bài toán</w:t>
      </w:r>
    </w:p>
    <w:p>
      <w:pPr>
        <w:pStyle w:val="MdParagraph"/>
      </w:pPr>
      <w:r>
        <w:t xml:space="preserve">Một hệ đối kháng không có số biến số đóng. Ngoài sáu hào của A và sáu hào của B, còn có chiến thuật, sân bãi, thông tin, lòng tin, sự ủng hộ, phần thưởng, kỳ vọng, phản ứng của đối phương và các quan hệ mới phát sinh trong quá trình vận hành. Nếu cố liệt kê tất cả như một danh sách hữu hạn, ma trận sẽ nhanh chóng bị rối và nhầm lẫn giữa cái đang quan sát với cái có thể phát sinh.</w:t>
      </w:r>
    </w:p>
    <w:p>
      <w:pPr>
        <w:pStyle w:val="MdSpace"/>
        <w:spacing w:before="0" w:after="60"/>
      </w:pPr>
    </w:p>
    <w:p>
      <w:pPr>
        <w:pStyle w:val="MdParagraph"/>
      </w:pPr>
      <w:r>
        <w:t xml:space="preserve">Do đó, </w:t>
      </w:r>
      <w:r>
        <w:rPr>
          <w:rStyle w:val="MdCode"/>
          <w:u w:val="single"/>
        </w:rPr>
        <w:t xml:space="preserve">n</w:t>
      </w:r>
      <w:r>
        <w:t xml:space="preserve"> chỉ nên là </w:t>
      </w:r>
      <w:r>
        <w:rPr>
          <w:rStyle w:val="MdStrong"/>
          <w:b/>
          <w:bCs/>
        </w:rPr>
        <w:t xml:space="preserve">lát cắt hiện thời</w:t>
      </w:r>
      <w:r>
        <w:t xml:space="preserve"> của một trường quan hệ mở:</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Rₙ → Rₙ₊₁ → Rₙ₊₂ → …</w:t>
      </w:r>
    </w:p>
    <w:p>
      <w:pPr>
        <w:pStyle w:val="MdSpace"/>
        <w:spacing w:before="0" w:after="60"/>
      </w:pPr>
    </w:p>
    <w:p>
      <w:pPr>
        <w:pStyle w:val="MdParagraph"/>
      </w:pPr>
      <w:r>
        <w:t xml:space="preserve">Biểu thức </w:t>
      </w:r>
      <w:r>
        <w:rPr>
          <w:rStyle w:val="MdCode"/>
          <w:u w:val="single"/>
        </w:rPr>
        <w:t xml:space="preserve">n → ∞</w:t>
      </w:r>
      <w:r>
        <w:t xml:space="preserve"> không yêu cầu tính một ma trận vô hạn. Nó chỉ nói rằng hệ thống không đóng trước số lượng Actor, quan hệ, điều kiện nền hay cấp độ tổ hợp có thể xuất hiện.</w:t>
      </w:r>
    </w:p>
    <w:p>
      <w:pPr>
        <w:pStyle w:val="MdSpace"/>
        <w:spacing w:before="0" w:after="60"/>
      </w:pPr>
    </w:p>
    <w:p>
      <w:pPr>
        <w:pStyle w:val="Heading2"/>
        <w:pStyle w:val="MdHeading2"/>
      </w:pPr>
      <w:r>
        <w:t xml:space="preserve">2. Ba diện của Kính Chiếu Yêu</w:t>
      </w:r>
    </w:p>
    <w:p>
      <w:pPr>
        <w:pStyle w:val="MdParagraph"/>
      </w:pPr>
      <w:r>
        <w:t xml:space="preserve">Mọi thực thể </w:t>
      </w:r>
      <w:r>
        <w:rPr>
          <w:rStyle w:val="MdCode"/>
          <w:u w:val="single"/>
        </w:rPr>
        <w:t xml:space="preserve">x</w:t>
      </w:r>
      <w:r>
        <w:t xml:space="preserve">, từ một hào, một cầu thủ, một vùng sân, một điều kiện nền cho đến một cụm quan hệ, đều được chiếu qua:</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π(x) = (Tượng(x), Lượng(x), Tính(x))</w:t>
      </w:r>
    </w:p>
    <w:p>
      <w:pPr>
        <w:pStyle w:val="MdSpace"/>
        <w:spacing w:before="0" w:after="60"/>
      </w:pPr>
    </w:p>
    <w:p>
      <w:pPr>
        <w:pStyle w:val="MdParagraph"/>
      </w:pPr>
      <w:r>
        <w:rPr>
          <w:rStyle w:val="MdStrong"/>
          <w:b/>
          <w:bCs/>
        </w:rPr>
        <w:t xml:space="preserve">Tượng</w:t>
      </w:r>
      <w:r>
        <w:t xml:space="preserve"> là diện nhận thức và hình thái: những gì được dựng lên, nhìn thấy, hình dung, kỳ vọng hoặc phát lộ. Nó bao gồm sơ đồ chiến thuật, hình ảnh truyền thông, tâm lý, lòng tin, mức thưởng, kỳ vọng và diện mạo của thế trận.</w:t>
      </w:r>
    </w:p>
    <w:p>
      <w:pPr>
        <w:pStyle w:val="MdSpace"/>
        <w:spacing w:before="0" w:after="60"/>
      </w:pPr>
    </w:p>
    <w:p>
      <w:pPr>
        <w:pStyle w:val="MdParagraph"/>
      </w:pPr>
      <w:r>
        <w:rPr>
          <w:rStyle w:val="MdStrong"/>
          <w:b/>
          <w:bCs/>
        </w:rPr>
        <w:t xml:space="preserve">Lượng</w:t>
      </w:r>
      <w:r>
        <w:t xml:space="preserve"> là diện động năng và biên độ: phần nạp, rút, tích tụ, tiêu hao, mật độ, tốc độ, áp lực, thể lực, va chạm và tần suất chuyển trạng thái.</w:t>
      </w:r>
    </w:p>
    <w:p>
      <w:pPr>
        <w:pStyle w:val="MdSpace"/>
        <w:spacing w:before="0" w:after="60"/>
      </w:pPr>
    </w:p>
    <w:p>
      <w:pPr>
        <w:pStyle w:val="MdParagraph"/>
      </w:pPr>
      <w:r>
        <w:rPr>
          <w:rStyle w:val="MdStrong"/>
          <w:b/>
          <w:bCs/>
        </w:rPr>
        <w:t xml:space="preserve">Tính</w:t>
      </w:r>
      <w:r>
        <w:t xml:space="preserve"> là diện bản thể và quy luật: các quan hệ Can Chi, Ngũ Hành, Lục Thân, Sinh–Khắc, Cục, Tương Hình và phép tự chuyển pha khi Lượng đạt ngưỡng. Tính ổn định ở tầng quy luật, nhưng trạng thái mà quy luật làm phát lộ vẫn có thể chuyển.</w:t>
      </w:r>
    </w:p>
    <w:p>
      <w:pPr>
        <w:pStyle w:val="MdSpace"/>
        <w:spacing w:before="0" w:after="60"/>
      </w:pPr>
    </w:p>
    <w:p>
      <w:pPr>
        <w:pStyle w:val="MdParagraph"/>
      </w:pPr>
      <w:r>
        <w:t xml:space="preserve">Ba diện không phải ba nhãn để phân loại một lần. Chúng là </w:t>
      </w:r>
      <w:r>
        <w:rPr>
          <w:rStyle w:val="MdStrong"/>
          <w:b/>
          <w:bCs/>
        </w:rPr>
        <w:t xml:space="preserve">ba phép hỏi chuẩn</w:t>
      </w:r>
      <w:r>
        <w:t xml:space="preserve"> được áp lên từng thực thể, từng quan hệ và từng tổ hợp mới.</w:t>
      </w:r>
    </w:p>
    <w:p>
      <w:pPr>
        <w:pStyle w:val="MdSpace"/>
        <w:spacing w:before="0" w:after="60"/>
      </w:pPr>
    </w:p>
    <w:p>
      <w:pPr>
        <w:pStyle w:val="Heading2"/>
        <w:pStyle w:val="MdHeading2"/>
      </w:pPr>
      <w:r>
        <w:t xml:space="preserve">3. Hai lớp ma trận: thô và phân giải</w:t>
      </w:r>
    </w:p>
    <w:p>
      <w:pPr>
        <w:pStyle w:val="Heading3"/>
        <w:pStyle w:val="MdHeading3"/>
      </w:pPr>
      <w:r>
        <w:t xml:space="preserve">3.1. Ma trận thô: 6 × 6 × 3</w:t>
      </w:r>
    </w:p>
    <w:p>
      <w:pPr>
        <w:pStyle w:val="MdParagraph"/>
      </w:pPr>
      <w:r>
        <w:t xml:space="preserve">Lớp đầu tiên đối chiếu sáu hào của A với sáu hào của B, đồng thời giữ ba diện của nền: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M₀[hᵢ, hⱼ,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hᵢ, hⱼ ∈ {1,…,6}</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 ∈ {Tượng nền, Lượng nền, Tính nền}</w:t>
      </w:r>
    </w:p>
    <w:p>
      <w:pPr>
        <w:pStyle w:val="MdSpace"/>
        <w:spacing w:before="0" w:after="60"/>
      </w:pPr>
    </w:p>
    <w:p>
      <w:pPr>
        <w:pStyle w:val="MdParagraph"/>
      </w:pPr>
      <w:r>
        <w:t xml:space="preserve">Đây là bản đồ nhanh để nhìn quan hệ giữa các hào trong một nền vận hành. Nó chưa mở từng hào thành các thành phần riêng.</w:t>
      </w:r>
    </w:p>
    <w:p>
      <w:pPr>
        <w:pStyle w:val="MdSpace"/>
        <w:spacing w:before="0" w:after="60"/>
      </w:pPr>
    </w:p>
    <w:p>
      <w:pPr>
        <w:pStyle w:val="Heading3"/>
        <w:pStyle w:val="MdHeading3"/>
      </w:pPr>
      <w:r>
        <w:t xml:space="preserve">3.2. Mỗi hào là một bộ ba</w:t>
      </w:r>
    </w:p>
    <w:p>
      <w:pPr>
        <w:pStyle w:val="MdParagraph"/>
      </w:pPr>
      <w:r>
        <w:t xml:space="preserve">Không được coi hào là một điểm đơn: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hᵢ = (hᵢ-Tượng, hᵢ-Lượng, hᵢ-Tính)</w:t>
      </w:r>
    </w:p>
    <w:p>
      <w:pPr>
        <w:pStyle w:val="MdSpace"/>
        <w:spacing w:before="0" w:after="60"/>
      </w:pPr>
    </w:p>
    <w:p>
      <w:pPr>
        <w:pStyle w:val="MdParagraph"/>
      </w:pPr>
      <w:r>
        <w:t xml:space="preserve">Sáu hào của mỗi bên sau khi phân giải tạo thành mười tám thành phần: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 = {A₁T, A₁L, A₁Ti, …, A₆T, A₆L, A₆Ti}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B = {B₁T, B₁L, B₁Ti, …, B₆T, B₆L, B₆Ti}</w:t>
      </w:r>
    </w:p>
    <w:p>
      <w:pPr>
        <w:pStyle w:val="MdSpace"/>
        <w:spacing w:before="0" w:after="60"/>
      </w:pPr>
    </w:p>
    <w:p>
      <w:pPr>
        <w:pStyle w:val="MdParagraph"/>
      </w:pPr>
      <w:r>
        <w:t xml:space="preserve">Vì vậy lớp ma trận thành phần là:</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R[(i,a),(j,b)] ∈ 18 × 18</w:t>
      </w:r>
    </w:p>
    <w:p>
      <w:pPr>
        <w:pStyle w:val="MdSpace"/>
        <w:spacing w:before="0" w:after="60"/>
      </w:pPr>
    </w:p>
    <w:p>
      <w:pPr>
        <w:pStyle w:val="MdParagraph"/>
      </w:pPr>
      <w:r>
        <w:t xml:space="preserve">Trong đó </w:t>
      </w:r>
      <w:r>
        <w:rPr>
          <w:rStyle w:val="MdCode"/>
          <w:u w:val="single"/>
        </w:rPr>
        <w:t xml:space="preserve">i,j</w:t>
      </w:r>
      <w:r>
        <w:t xml:space="preserve"> là chỉ số hào và </w:t>
      </w:r>
      <w:r>
        <w:rPr>
          <w:rStyle w:val="MdCode"/>
          <w:u w:val="single"/>
        </w:rPr>
        <w:t xml:space="preserve">a,b</w:t>
      </w:r>
      <w:r>
        <w:t xml:space="preserve"> là một trong ba mặt Tượng, Lượng, Tính.</w:t>
      </w:r>
    </w:p>
    <w:p>
      <w:pPr>
        <w:pStyle w:val="MdSpace"/>
        <w:spacing w:before="0" w:after="60"/>
      </w:pPr>
    </w:p>
    <w:p>
      <w:pPr>
        <w:pStyle w:val="Heading3"/>
        <w:pStyle w:val="MdHeading3"/>
      </w:pPr>
      <w:r>
        <w:t xml:space="preserve">3.3. Mỗi ô 18 × 18 vẫn là một phổ 3 × 3</w:t>
      </w:r>
    </w:p>
    <w:p>
      <w:pPr>
        <w:pStyle w:val="MdParagraph"/>
      </w:pPr>
      <w:r>
        <w:t xml:space="preserve">Một ô giữa hào </w:t>
      </w:r>
      <w:r>
        <w:rPr>
          <w:rStyle w:val="MdCode"/>
          <w:u w:val="single"/>
        </w:rPr>
        <w:t xml:space="preserve">hᵢ</w:t>
      </w:r>
      <w:r>
        <w:t xml:space="preserve"> của A và hào </w:t>
      </w:r>
      <w:r>
        <w:rPr>
          <w:rStyle w:val="MdCode"/>
          <w:u w:val="single"/>
        </w:rPr>
        <w:t xml:space="preserve">hⱼ</w:t>
      </w:r>
      <w:r>
        <w:t xml:space="preserve"> của B không phải một quan hệ đơn. Nó có phổ tương tác:</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Qᵢⱼ[a,b],  a,b ∈ {Tượng, Lượng, Tính}</w:t>
      </w:r>
    </w:p>
    <w:p>
      <w:pPr>
        <w:pStyle w:val="MdSpace"/>
        <w:spacing w:before="0" w:after="60"/>
      </w:pPr>
    </w:p>
    <w:p>
      <w:pPr>
        <w:pStyle w:val="MdParagraph"/>
      </w:pPr>
      <w:r>
        <w:t xml:space="preserve">Nó bao gồm chín khả năng cơ bản: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Tượng–Tượng   Tượng–Lượng   Tượng–Tính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Lượng–Tượng   Lượng–Lượng   Lượng–Tính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Tính–Tượng    Tính–Lượng    Tính–Tính</w:t>
      </w:r>
    </w:p>
    <w:p>
      <w:pPr>
        <w:pStyle w:val="MdSpace"/>
        <w:spacing w:before="0" w:after="60"/>
      </w:pPr>
    </w:p>
    <w:p>
      <w:pPr>
        <w:pStyle w:val="MdParagraph"/>
      </w:pPr>
      <w:r>
        <w:t xml:space="preserve">Vì vậy, </w:t>
      </w:r>
      <w:r>
        <w:rPr>
          <w:rStyle w:val="MdCode"/>
          <w:u w:val="single"/>
        </w:rPr>
        <w:t xml:space="preserve">18 × 18</w:t>
      </w:r>
      <w:r>
        <w:t xml:space="preserve"> là lớp phân giải; </w:t>
      </w:r>
      <w:r>
        <w:rPr>
          <w:rStyle w:val="MdCode"/>
          <w:u w:val="single"/>
        </w:rPr>
        <w:t xml:space="preserve">3 × 3</w:t>
      </w:r>
      <w:r>
        <w:t xml:space="preserve"> là lớp phổ tổ hợp bên trong mỗi cặp hào/thành phần.</w:t>
      </w:r>
    </w:p>
    <w:p>
      <w:pPr>
        <w:pStyle w:val="MdSpace"/>
        <w:spacing w:before="0" w:after="60"/>
      </w:pPr>
    </w:p>
    <w:p>
      <w:pPr>
        <w:pStyle w:val="Heading2"/>
        <w:pStyle w:val="MdHeading2"/>
      </w:pPr>
      <w:r>
        <w:t xml:space="preserve">4. Điều kiện nền và dạng 18 × 18 × (3 × K)</w:t>
      </w:r>
    </w:p>
    <w:p>
      <w:pPr>
        <w:pStyle w:val="MdParagraph"/>
      </w:pPr>
      <w:r>
        <w:t xml:space="preserve">Một điều kiện nền </w:t>
      </w:r>
      <w:r>
        <w:rPr>
          <w:rStyle w:val="MdCode"/>
          <w:u w:val="single"/>
        </w:rPr>
        <w:t xml:space="preserve">Nₖ</w:t>
      </w:r>
      <w:r>
        <w:t xml:space="preserve"> cũng không phải một nhãn đơn:</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Nₖ = (Tượngₖ, Lượngₖ, Tínhₖ)</w:t>
      </w:r>
    </w:p>
    <w:p>
      <w:pPr>
        <w:pStyle w:val="MdSpace"/>
        <w:spacing w:before="0" w:after="60"/>
      </w:pPr>
    </w:p>
    <w:p>
      <w:pPr>
        <w:pStyle w:val="MdParagraph"/>
      </w:pPr>
      <w:r>
        <w:t xml:space="preserve">Các nền khởi đầu có thể gồm sân bãi, chiến thuật, thông tin/lòng tin, sự ủng hộ, thưởng và kỳ vọng. Mỗi nền có một hình thái, một biên độ và một quy luật tác động riêng.</w:t>
      </w:r>
    </w:p>
    <w:p>
      <w:pPr>
        <w:pStyle w:val="MdSpace"/>
        <w:spacing w:before="0" w:after="60"/>
      </w:pPr>
    </w:p>
    <w:p>
      <w:pPr>
        <w:pStyle w:val="MdParagraph"/>
      </w:pPr>
      <w:r>
        <w:t xml:space="preserve">Nếu có </w:t>
      </w:r>
      <w:r>
        <w:rPr>
          <w:rStyle w:val="MdCode"/>
          <w:u w:val="single"/>
        </w:rPr>
        <w:t xml:space="preserve">K</w:t>
      </w:r>
      <w:r>
        <w:t xml:space="preserve"> nền đang được mở, có thể biểu diễn lớp đầy đủ như:</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R[(i,a),(j,b); k,d] ∈ 18 × 18 × 3 × K</w:t>
      </w:r>
    </w:p>
    <w:p>
      <w:pPr>
        <w:pStyle w:val="MdSpace"/>
        <w:spacing w:before="0" w:after="60"/>
      </w:pPr>
    </w:p>
    <w:p>
      <w:pPr>
        <w:pStyle w:val="MdParagraph"/>
      </w:pPr>
      <w:r>
        <w:t xml:space="preserve">Trong đó </w:t>
      </w:r>
      <w:r>
        <w:rPr>
          <w:rStyle w:val="MdCode"/>
          <w:u w:val="single"/>
        </w:rPr>
        <w:t xml:space="preserve">k</w:t>
      </w:r>
      <w:r>
        <w:t xml:space="preserve"> là điều kiện nền và </w:t>
      </w:r>
      <w:r>
        <w:rPr>
          <w:rStyle w:val="MdCode"/>
          <w:u w:val="single"/>
        </w:rPr>
        <w:t xml:space="preserve">d</w:t>
      </w:r>
      <w:r>
        <w:t xml:space="preserve"> là diện của điều kiện nền. Không nên gộp </w:t>
      </w:r>
      <w:r>
        <w:rPr>
          <w:rStyle w:val="MdCode"/>
          <w:u w:val="single"/>
        </w:rPr>
        <w:t xml:space="preserve">3 × K</w:t>
      </w:r>
      <w:r>
        <w:t xml:space="preserve"> thành một nhãn không truy nguyên, vì cần biết độ lệch phát sinh do Tượng, Lượng, Tính hay do nền nào.</w:t>
      </w:r>
    </w:p>
    <w:p>
      <w:pPr>
        <w:pStyle w:val="MdSpace"/>
        <w:spacing w:before="0" w:after="60"/>
      </w:pPr>
    </w:p>
    <w:p>
      <w:pPr>
        <w:pStyle w:val="Heading2"/>
        <w:pStyle w:val="MdHeading2"/>
      </w:pPr>
      <w:r>
        <w:t xml:space="preserve">5. Phân giải và tổ hợp là hai phép đệ quy</w:t>
      </w:r>
    </w:p>
    <w:p>
      <w:pPr>
        <w:pStyle w:val="MdParagraph"/>
      </w:pPr>
      <w:r>
        <w:t xml:space="preserve">Kính Chiếu Yêu không bóc vô cực thành ba mảnh rồi dừng lại. Nó thực hiện hai phép song hành:</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Phân giải: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x → (Tượng(x), Lượng(x), Tính(x))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Tổ hợp: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π(x₁), π(x₂), …, π(xₚ), 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quan hệ / cụm / mạng</w:t>
      </w:r>
    </w:p>
    <w:p>
      <w:pPr>
        <w:pStyle w:val="MdSpace"/>
        <w:spacing w:before="0" w:after="60"/>
      </w:pPr>
    </w:p>
    <w:p>
      <w:pPr>
        <w:pStyle w:val="MdParagraph"/>
      </w:pPr>
      <w:r>
        <w:t xml:space="preserve">Tổ hợp mới lại trở thành một thực thể mới: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C₁ = Combine(π(x₁), π(x₂), 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C₂ = Combine(C₁₁, C₁₂, …, C₁ₚ)</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π(C₂) = (Tượng(C₂), Lượng(C₂), Tính(C₂))</w:t>
      </w:r>
    </w:p>
    <w:p>
      <w:pPr>
        <w:pStyle w:val="MdSpace"/>
        <w:spacing w:before="0" w:after="60"/>
      </w:pPr>
    </w:p>
    <w:p>
      <w:pPr>
        <w:pStyle w:val="MdParagraph"/>
      </w:pPr>
      <w:r>
        <w:t xml:space="preserve">Cấu trúc đệ quy là:</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Hào → Tượng/Lượng/Tính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Cặp hào → Tượng/Lượng/Tính của quan hệ</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Cụm quan hệ → Tượng/Lượng/Tính của cụm lực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Mạng lực → Tượng/Lượng/Tính của mạng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Trạng thái phát lộ → Tượng/Lượng/Tính ở cấp mới</w:t>
      </w:r>
    </w:p>
    <w:p>
      <w:pPr>
        <w:pStyle w:val="MdSpace"/>
        <w:spacing w:before="0" w:after="60"/>
      </w:pPr>
    </w:p>
    <w:p>
      <w:pPr>
        <w:pStyle w:val="Heading2"/>
        <w:pStyle w:val="MdHeading2"/>
      </w:pPr>
      <w:r>
        <w:t xml:space="preserve">6. Tổ hợp không phải phép cộng lực đơn giản</w:t>
      </w:r>
    </w:p>
    <w:p>
      <w:pPr>
        <w:pStyle w:val="MdParagraph"/>
      </w:pPr>
      <w:r>
        <w:t xml:space="preserve">Các quan hệ có thể cộng hưởng, triệt tiêu, chuyển hóa, bắc cầu, dồn cụm, phân tán hoặc tạo nhiễu. Vì vậy, tổng lực không nhất thiết bằng phép cộng số học của các lực thành phần.</w:t>
      </w:r>
    </w:p>
    <w:p>
      <w:pPr>
        <w:pStyle w:val="MdSpace"/>
        <w:spacing w:before="0" w:after="60"/>
      </w:pPr>
    </w:p>
    <w:p>
      <w:pPr>
        <w:pStyle w:val="MdParagraph"/>
      </w:pPr>
      <w:r>
        <w:t xml:space="preserve">Một lực riêng lẻ có thể yếu nhưng nhiều quan hệ cùng hướng có thể tạo một cụm vượt ngưỡng. Ngược lại, một lực mạnh có thể không phát lộ nếu bị mạng quan hệ khác triệt tiêu hoặc chuyển hướng.</w:t>
      </w:r>
    </w:p>
    <w:p>
      <w:pPr>
        <w:pStyle w:val="MdSpace"/>
        <w:spacing w:before="0" w:after="60"/>
      </w:pPr>
    </w:p>
    <w:p>
      <w:pPr>
        <w:pStyle w:val="MdParagraph"/>
      </w:pPr>
      <w:r>
        <w:t xml:space="preserve">Điều cần theo dõi là </w:t>
      </w:r>
      <w:r>
        <w:rPr>
          <w:rStyle w:val="MdStrong"/>
          <w:b/>
          <w:bCs/>
        </w:rPr>
        <w:t xml:space="preserve">cấu hình tổ hợp</w:t>
      </w:r>
      <w:r>
        <w:t xml:space="preserve">: Actor nào cùng góp lực, quan hệ nào làm trung gian, lực đang nạp hay rút, và cụm nào đang tiến gần ngưỡng.</w:t>
      </w:r>
    </w:p>
    <w:p>
      <w:pPr>
        <w:pStyle w:val="MdSpace"/>
        <w:spacing w:before="0" w:after="60"/>
      </w:pPr>
    </w:p>
    <w:p>
      <w:pPr>
        <w:pStyle w:val="Heading2"/>
        <w:pStyle w:val="MdHeading2"/>
      </w:pPr>
      <w:r>
        <w:t xml:space="preserve">7. Ngưỡng và tự chuyển pha</w:t>
      </w:r>
    </w:p>
    <w:p>
      <w:pPr>
        <w:pStyle w:val="MdParagraph"/>
      </w:pPr>
      <w:r>
        <w:t xml:space="preserve">Ngưỡng không nhất thiết là một mốc thời gian định trước. Nó là thuộc tính nổi lên của mạng lực:</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L_network ≥ Θ(Tính, Nền)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Hệ tự chuyển 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Trạng thái phát lộ</w:t>
      </w:r>
    </w:p>
    <w:p>
      <w:pPr>
        <w:pStyle w:val="MdSpace"/>
        <w:spacing w:before="0" w:after="60"/>
      </w:pPr>
    </w:p>
    <w:p>
      <w:pPr>
        <w:pStyle w:val="MdParagraph"/>
      </w:pPr>
      <w:r>
        <w:t xml:space="preserve">Có thể có tiền-kích hoạt, phát lộ và cực điểm. Vì vậy, “sớm/muộn” nên được truy vết như quan hệ giữa cửa dự kiến và quá trình tích tụ thực tế, không nên coi thời gian đồng hồ là nguyên nhân duy nhất.</w:t>
      </w:r>
    </w:p>
    <w:p>
      <w:pPr>
        <w:pStyle w:val="MdSpace"/>
        <w:spacing w:before="0" w:after="60"/>
      </w:pPr>
    </w:p>
    <w:p>
      <w:pPr>
        <w:pStyle w:val="Heading2"/>
        <w:pStyle w:val="MdHeading2"/>
      </w:pPr>
      <w:r>
        <w:t xml:space="preserve">8. Kính Chiếu Yêu trong quan sát thực địa</w:t>
      </w:r>
    </w:p>
    <w:p>
      <w:pPr>
        <w:pStyle w:val="MdParagraph"/>
      </w:pPr>
      <w:r>
        <w:t xml:space="preserve">Với một hệ đối kháng, quy trình quan sát là:</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 × B × Nền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Phân giải từng hào, từng Actor, từng nền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Tổ hợp các mặt Tượng–Lượng–Tính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Cụm quan hệ và mạng tích tụ lực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Ngưỡng / tự chuyển pha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Phát lộ Tính × Lượng × Tượng ở cấp mới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Ghi nhận diễn biến và truy nguyên độ lệch</w:t>
      </w:r>
    </w:p>
    <w:p>
      <w:pPr>
        <w:pStyle w:val="MdSpace"/>
        <w:spacing w:before="0" w:after="60"/>
      </w:pPr>
    </w:p>
    <w:p>
      <w:pPr>
        <w:pStyle w:val="MdParagraph"/>
      </w:pPr>
      <w:r>
        <w:t xml:space="preserve">Dữ liệu quan sát không cần đuổi theo mọi sự kiện nhỏ lẻ. Chỉ cần giữ ba câu hỏi:</w:t>
      </w:r>
    </w:p>
    <w:p>
      <w:pPr>
        <w:pStyle w:val="MdSpace"/>
        <w:spacing w:before="0" w:after="60"/>
      </w:pPr>
    </w:p>
    <w:p>
      <w:pPr>
        <w:pStyle w:val="MdListItem"/>
        <w:numPr>
          <w:ilvl w:val="0"/>
          <w:numId w:val="2"/>
        </w:numPr>
      </w:pPr>
      <w:r>
        <w:rPr>
          <w:rStyle w:val="MdStrong"/>
          <w:b/>
          <w:bCs/>
        </w:rPr>
        <w:t xml:space="preserve">Tượng đang dựng lên hình thái gì?</w:t>
      </w:r>
    </w:p>
    <w:p>
      <w:pPr>
        <w:pStyle w:val="MdListItem"/>
        <w:numPr>
          <w:ilvl w:val="0"/>
          <w:numId w:val="2"/>
        </w:numPr>
      </w:pPr>
      <w:r>
        <w:rPr>
          <w:rStyle w:val="MdStrong"/>
          <w:b/>
          <w:bCs/>
        </w:rPr>
        <w:t xml:space="preserve">Lượng đang dồn về đâu, nạp hay rút, đã gần ngưỡng chưa?</w:t>
      </w:r>
    </w:p>
    <w:p>
      <w:pPr>
        <w:pStyle w:val="MdListItem"/>
        <w:numPr>
          <w:ilvl w:val="0"/>
          <w:numId w:val="2"/>
        </w:numPr>
      </w:pPr>
      <w:r>
        <w:rPr>
          <w:rStyle w:val="MdStrong"/>
          <w:b/>
          <w:bCs/>
        </w:rPr>
        <w:t xml:space="preserve">Tính đang cho phép, cản trở, triệt tiêu hay chuyển hóa lực theo quan hệ nào?</w:t>
      </w:r>
    </w:p>
    <w:p>
      <w:pPr>
        <w:pStyle w:val="MdSpace"/>
        <w:spacing w:before="0" w:after="60"/>
      </w:pPr>
    </w:p>
    <w:p>
      <w:pPr>
        <w:pStyle w:val="Heading2"/>
        <w:pStyle w:val="MdHeading2"/>
      </w:pPr>
      <w:r>
        <w:t xml:space="preserve">9. Quy tắc truy vết</w:t>
      </w:r>
    </w:p>
    <w:p>
      <w:pPr>
        <w:pStyle w:val="MdParagraph"/>
      </w:pPr>
      <w:r>
        <w:t xml:space="preserve">Dự đoán gốc phải được khóa thành </w:t>
      </w:r>
      <w:r>
        <w:rPr>
          <w:rStyle w:val="MdCode"/>
          <w:u w:val="single"/>
        </w:rPr>
        <w:t xml:space="preserve">source_snapshot</w:t>
      </w:r>
      <w:r>
        <w:t xml:space="preserve">. Sau đó, nhật ký chỉ bổ sung quan sát và quan hệ so sánh.</w:t>
      </w:r>
    </w:p>
    <w:p>
      <w:pPr>
        <w:pStyle w:val="MdSpace"/>
        <w:spacing w:before="0" w:after="60"/>
      </w:pPr>
    </w:p>
    <w:p>
      <w:pPr>
        <w:pStyle w:val="MdParagraph"/>
      </w:pPr>
      <w:r>
        <w:t xml:space="preserve">Các nhãn nên dùng là:</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Nhãn</w:t>
            </w:r>
          </w:p>
        </w:tc>
        <w:tc>
          <w:tcPr>
            <w:tcBorders>
              <w:right w:val="none"/>
            </w:tcBorders>
            <w:tcMar>
              <w:top w:type="dxa" w:w="100"/>
              <w:left w:type="dxa" w:w="120"/>
              <w:bottom w:type="dxa" w:w="100"/>
              <w:right w:type="dxa" w:w="120"/>
            </w:tcMar>
            <w:vAlign w:val="center"/>
          </w:tcPr>
          <w:p>
            <w:pPr>
              <w:pStyle w:val="MdTableHeader"/>
            </w:pPr>
            <w:r>
              <w:t xml:space="preserve">Ý nghĩa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KHOP_MUC_DO</w:t>
            </w:r>
          </w:p>
        </w:tc>
        <w:tc>
          <w:tcPr>
            <w:tcBorders>
              <w:right w:val="none"/>
            </w:tcBorders>
            <w:tcMar>
              <w:top w:type="dxa" w:w="80"/>
              <w:left w:type="dxa" w:w="120"/>
              <w:bottom w:type="dxa" w:w="80"/>
              <w:right w:type="dxa" w:w="120"/>
            </w:tcMar>
            <w:vAlign w:val="center"/>
          </w:tcPr>
          <w:p>
            <w:pPr>
              <w:pStyle w:val="MdTableCell"/>
            </w:pPr>
            <w:r>
              <w:t xml:space="preserve">Dữ liệu quan sát tương ứng với mệnh đề ở một mức độ nào đó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LECH</w:t>
            </w:r>
          </w:p>
        </w:tc>
        <w:tc>
          <w:tcPr>
            <w:tcBorders>
              <w:right w:val="none"/>
            </w:tcBorders>
            <w:tcMar>
              <w:top w:type="dxa" w:w="80"/>
              <w:left w:type="dxa" w:w="120"/>
              <w:bottom w:type="dxa" w:w="80"/>
              <w:right w:type="dxa" w:w="120"/>
            </w:tcMar>
            <w:vAlign w:val="center"/>
          </w:tcPr>
          <w:p>
            <w:pPr>
              <w:pStyle w:val="MdTableCell"/>
            </w:pPr>
            <w:r>
              <w:t xml:space="preserve">Có khoảng cách về thời gian, vùng, cơ chế, cường độ, hướng hoặc hình thái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UNKNOWN</w:t>
            </w:r>
          </w:p>
        </w:tc>
        <w:tc>
          <w:tcPr>
            <w:tcBorders>
              <w:right w:val="none"/>
            </w:tcBorders>
            <w:tcMar>
              <w:top w:type="dxa" w:w="80"/>
              <w:left w:type="dxa" w:w="120"/>
              <w:bottom w:type="dxa" w:w="80"/>
              <w:right w:type="dxa" w:w="120"/>
            </w:tcMar>
            <w:vAlign w:val="center"/>
          </w:tcPr>
          <w:p>
            <w:pPr>
              <w:pStyle w:val="MdTableCell"/>
            </w:pPr>
            <w:r>
              <w:t xml:space="preserve">Chưa có đủ dữ liệu để nhận diện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UNCONFIRMED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Có tín hiệu nhưng nguồn hoặc bằng chứng chưa đủ thống nhất</w:t>
            </w:r>
          </w:p>
        </w:tc>
      </w:tr>
    </w:tbl>
    <w:p>
      <w:pPr>
        <w:pStyle w:val="MdParagraph"/>
      </w:pPr>
      <w:r>
        <w:rPr>
          <w:rStyle w:val="MdCode"/>
          <w:u w:val="single"/>
        </w:rPr>
        <w:t xml:space="preserve">LECH</w:t>
      </w:r>
      <w:r>
        <w:t xml:space="preserve"> không có nghĩa dự đoán bị bác bỏ. Nó chỉ là tọa độ của khoảng cách cần truy nguyên.</w:t>
      </w:r>
    </w:p>
    <w:p>
      <w:pPr>
        <w:pStyle w:val="MdSpace"/>
        <w:spacing w:before="0" w:after="60"/>
      </w:pPr>
    </w:p>
    <w:p>
      <w:pPr>
        <w:pStyle w:val="Heading2"/>
        <w:pStyle w:val="MdHeading2"/>
      </w:pPr>
      <w:r>
        <w:t xml:space="preserve">10. Đúc kết</w:t>
      </w:r>
    </w:p>
    <w:p>
      <w:pPr>
        <w:pStyle w:val="MdBlockquote"/>
      </w:pPr>
      <w:r>
        <w:rPr>
          <w:rStyle w:val="MdStrong"/>
          <w:b/>
          <w:bCs/>
        </w:rPr>
        <w:t xml:space="preserve">Vô cực không cần được đếm hết. Nó được giữ mở trong n, được chiếu qua Tượng–Lượng–Tính, được tổ hợp thành quan hệ và mạng lực, rồi được tái chiếu ở cấp độ mới. Khi mạng đạt ngưỡng, trạng thái tự phát lộ; nhiệm vụ của Duyên Dịch là quan sát cách trạng thái ấy vận hành và truy nguyên các điểm lệch, không phải phán quyết kết quả.</w:t>
      </w:r>
    </w:p>
    <w:p>
      <w:pPr>
        <w:pStyle w:val="MdSpace"/>
        <w:spacing w:before="0" w:after="60"/>
      </w:pPr>
    </w:p>
    <w:p>
      <w:pPr>
        <w:pStyle w:val="Heading3"/>
        <w:pStyle w:val="MdHeading3"/>
      </w:pPr>
      <w:r>
        <w:t xml:space="preserve">Công thức khái niệm</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Open Field(n)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Project(Tượng × Lượng × Tính)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Combine(Relations, Background)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Re-project(Emergent Composition)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Accumulate(Lực)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Threshold(Θ)</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Phase Transition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Manifest(Tượng, Lượng, Tính)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Trace(Ứng kỳ, Diễn biến, Cảnh báo, Dynamic)</w:t>
      </w:r>
    </w:p>
    <w:p>
      <w:pPr>
        <w:pStyle w:val="MdSpace"/>
        <w:spacing w:before="0" w:after="60"/>
      </w:pPr>
    </w:p>
    <w:p>
      <w:pPr>
        <w:pStyle w:val="Heading3"/>
        <w:pStyle w:val="MdHeading3"/>
      </w:pPr>
      <w:r>
        <w:t xml:space="preserve">Trạng thái đặc tả</w:t>
      </w:r>
    </w:p>
    <w:p>
      <w:pPr>
        <w:pStyle w:val="MdParagraph"/>
      </w:pPr>
      <w:r>
        <w:t xml:space="preserve">Ma trận này là </w:t>
      </w:r>
      <w:r>
        <w:rPr>
          <w:rStyle w:val="MdStrong"/>
          <w:b/>
          <w:bCs/>
        </w:rPr>
        <w:t xml:space="preserve">khung proto cho Double-Quẻ Đối-Kháng / Kính Chiếu Yêu – Proto v0</w:t>
      </w:r>
      <w:r>
        <w:t xml:space="preserve">. Nó đã xác định được kiến trúc khái niệm, nhưng chưa khóa các trọng số số hóa, hàm gia giảm, quy tắc tổng hợp hoặc ngưỡng canonical. Việc chưa khóa các phần đó là phù hợp với giai đoạn khám phá; trước hết cần thu thập nhiều phiên truy vết để xem quan hệ nào lặp lại, quan hệ nào chỉ là liên tưởng nhất thời và tổ hợp nào thực sự tạo ra chuyển pha.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2026-08-22T15:59:46.603Z</dcterms:created>
  <dcterms:modified xsi:type="dcterms:W3CDTF">2026-08-22T15:59:46.603Z</dcterms:modified>
</cp:coreProperties>
</file>

<file path=docProps/custom.xml><?xml version="1.0" encoding="utf-8"?>
<Properties xmlns="http://schemas.openxmlformats.org/officeDocument/2006/custom-properties" xmlns:vt="http://schemas.openxmlformats.org/officeDocument/2006/docPropsVTypes"/>
</file>