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96"/>
          <w:szCs w:val="96"/>
        </w:rPr>
        <w:t xml:space="preserve">ENGIQ</w:t>
      </w:r>
    </w:p>
    <w:p>
      <w:pPr>
        <w:spacing w:after="480"/>
        <w:jc w:val="center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Engineering Intelligence Platform</w:t>
      </w:r>
    </w:p>
    <w:p>
      <w:pPr>
        <w:pBdr>
          <w:top w:val="single" w:color="0F6E56" w:sz="4"/>
          <w:bottom w:val="single" w:color="0F6E56" w:sz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Business Architecture · System Design · Market-Ready Scaffold</w:t>
      </w:r>
    </w:p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Confidential  ·  Version 1.0  ·  March 2026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Business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EngineIQ operates as a B2B SaaS platform. Understanding where it sits in both the business and technology layer is critical for go-to-market clarity, pricing decisions, and product sequencing.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 Where EngineIQ Sits in the Business Layer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EngineIQ is a horizontal engineering infrastructure product. It does not belong to any single vertical industry — it serves any company that builds software. Within a client's business, it sits between the engineering function and the product delivery function.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Layer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EngineIQ Lives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</w:tr>
      <w:tr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/ Board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risk visibility &amp; engineering ROI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CTO, CEO</w:t>
            </w:r>
          </w:p>
        </w:tc>
      </w:tr>
      <w:tr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Management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forecasting, architecture governance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Manager, VP Eng</w:t>
            </w:r>
          </w:p>
        </w:tc>
      </w:tr>
      <w:tr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Lead / Principal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review, standards enforcement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Lead, Senior Engineer</w:t>
            </w:r>
          </w:p>
        </w:tc>
      </w:tr>
      <w:tr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Code feedback, test generation</w:t>
            </w:r>
          </w:p>
        </w:tc>
        <w:tc>
          <w:tcPr>
            <w:tcW w:type="dxa" w:w="31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 / Junior Developer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EngineIQ enters at the Team Lead layer (lowest friction) and expands upward to Engineering Management and CTO as the client matures. This is the land-and-expand motion.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 Business Model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EngineIQ follows a tiered SaaS subscription model, billed monthly in South African Rand. Pricing is per-repository, not per-seat, which is more palatable to SA engineering managers who resist headcount-based pricing.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360"/>
        <w:gridCol w:w="2400"/>
      </w:tblGrid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/ month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2,500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5,500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12,000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Repositories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3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10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Review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Linter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Forecasting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&amp; Reports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+ API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Residency (SA)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+ Private Deploy</w:t>
            </w:r>
          </w:p>
        </w:tc>
      </w:tr>
      <w:tr>
        <w:tc>
          <w:tcPr>
            <w:tcW w:type="dxa" w:w="22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effort</w:t>
            </w:r>
          </w:p>
        </w:tc>
        <w:tc>
          <w:tcPr>
            <w:tcW w:type="dxa" w:w="2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99.9% + CSM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 Go-To-Market Motion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GTM strategy is a two-stage land-and-expand play specific to the SA engineering ecosystem.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Stage 1 — Land (Month 1–6)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Billable as the reference client. Build real metrics over 90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FinTech and HealthTech CTOs in JHB and CT through direct outreach.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the POPIA / data residency angle — no competitor can match this.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a 30-day free trial on the Starter tier with no credit card required.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 pricing in rand — this is a structural cost advantage vs global tools.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Stage 2 — Expand (Month 6–18)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Starter clients to Growth tier using architecture drift reports as the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the Sprint Risk Forecasting module to Engineering Managers.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dashboard metrics from existing clients as the sales asset for new prospects.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Partner with SA developer communities: DevConf, ZaTech Slack, Jozi JUG.</w:t>
      </w:r>
    </w:p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1.4  Customer Journey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Aware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Expand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Advocate</w:t>
            </w:r>
          </w:p>
        </w:tc>
      </w:tr>
      <w:tr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hears about EngineIQ via ZaTech or LinkedIn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30-day free trial on Starter. First PR reviewed within 10 min.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sees value. CTO reviews the 30-day metrics report.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Upgrades to Growth. Architecture linter enabled.</w:t>
            </w:r>
          </w:p>
        </w:tc>
        <w:tc>
          <w:tcPr>
            <w:tcW w:type="dxa" w:w="1872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CTO refers EngineIQ at a meetup or case study interview.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EngineIQ is a cloud-native SaaS platform built on Azure, operating exclusively in the South Africa North region (Johannesburg) to satisfy POPIA data residency requirements. All source code is processed ephemerally — never persisted to disk or database.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Ephemeral code processing — diffs in memory only, findings persisted.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isolation at every layer — no cross-tenant data leakage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Hybrid review engine — deterministic rules first, AI second.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 by default — webhooks return immediately, processing queued.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Observable by design — structured logging and metrics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POPIA-compliant — all data processed and stored in Azure SA North.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 System Layers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platform is divided into five distinct layers, each with clear boundaries and responsibilities.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Ingestion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 GitHub webhooks, validate HMAC signature, enqueue PR jobs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8 Web API, Azure Service Bus</w:t>
            </w:r>
          </w:p>
        </w:tc>
      </w:tr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Context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repo structure, detect architecture style, build semantic context via embeddings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Search, Redis Cache</w:t>
            </w:r>
          </w:p>
        </w:tc>
      </w:tr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Review Engine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deterministic rules, apply AI analysis, score severity of findings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OpenAI, .NET Background Worker</w:t>
            </w:r>
          </w:p>
        </w:tc>
      </w:tr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Feedback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Classify findings, format PR comments, post back to GitHub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REST API, .NET 8</w:t>
            </w:r>
          </w:p>
        </w:tc>
      </w:tr>
      <w:tr>
        <w:tc>
          <w:tcPr>
            <w:tcW w:type="dxa" w:w="2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Intelligence</w:t>
            </w:r>
          </w:p>
        </w:tc>
        <w:tc>
          <w:tcPr>
            <w:tcW w:type="dxa" w:w="4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findings, serve dashboard, generate trend reports, expose metrics API</w:t>
            </w:r>
          </w:p>
        </w:tc>
        <w:tc>
          <w:tcPr>
            <w:tcW w:type="dxa" w:w="30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PostgreSQL, .NET 8 API, React Dashboard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 Component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Listener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Receives PR events from GitHub. Validates HMAC. Enqueues job to Service Bus. Returns 200 immediately.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HTTPS endpoint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Job Processor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Dequeues PR job. Fetches diff via GitHub API. Passes to Review Orchestrator. Handles retries.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worker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Builder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Indexes repo folder structure. Detects architecture style (Clean, Layered, Hexagonal). Caches per tenant.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 Engine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Loads tenant YAML config. Runs deterministic rule checks. Produces structured violation list.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service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Review Engine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Sends structured diff + context to Azure OpenAI. Extracts findings. Deduplicates against rule results.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Internal, no raw code sent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Generator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Merges all findings. Classifies by severity. Formats PR comment. Posts to GitHub via App token.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to GitHub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&amp; Metrics Store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Persists finding metadata (never source code). Powers dashboard. Enables trend reporting.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— tenant-isolated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Management API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onboarding, GitHub App installation, YAML config management, billing status.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API, auth required</w:t>
            </w:r>
          </w:p>
        </w:tc>
      </w:tr>
      <w:tr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(React)</w:t>
            </w:r>
          </w:p>
        </w:tc>
        <w:tc>
          <w:tcPr>
            <w:tcW w:type="dxa" w:w="468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Visualises PR review history, violation trends, architecture drift score, team metrics.</w:t>
            </w:r>
          </w:p>
        </w:tc>
        <w:tc>
          <w:tcPr>
            <w:tcW w:type="dxa" w:w="23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SPA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2.4  Data Flow — PR Review Lifecycle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5F5E5A"/>
          <w:sz w:val="22"/>
          <w:szCs w:val="22"/>
        </w:rPr>
        <w:t xml:space="preserve">The following sequence describes the complete lifecycle of a single PR review event from webhook receipt to GitHub comment.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00"/>
        <w:gridCol w:w="2440"/>
        <w:gridCol w:w="2400"/>
      </w:tblGrid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fires PR webhook to EngineIQ endpoint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Listener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+ job enqueued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 dequeues job, fetches PR diff via GitHub API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Job Processor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diff in memory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Builder checks Redis for cached repo context. If stale, re-indexes.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Builder + Redis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context object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 Engine loads tenant YAML, runs deterministic checks against diff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Standards Engine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findings list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Engine receives structured diff + context (no raw secrets). Calls Azure OpenAI.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Review Engine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findings list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Generator merges, deduplicates, classifies severity, formats comment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Generator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PR comment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 posted to GitHub PR via GitHub App installation token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REST API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PR review comment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 metadata (never source code) persisted to PostgreSQL for reporting</w:t>
            </w:r>
          </w:p>
        </w:tc>
        <w:tc>
          <w:tcPr>
            <w:tcW w:type="dxa" w:w="24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Store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Metrics available in dashboard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 no point is raw source code written to disk or database. Steps 2–6 operate entirely in-memory. Only structured findings metadata is persisted. Azure OpenAI is called under a zero-training data processing agreement.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Infrastructure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infrastructure runs in Azure South Africa North (Johannesburg) to satisfy POPIA data residency requirements. The architecture is containerised, horizontally scalable, and cost-optimised for SME-scale launch volumes.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 Azure Services Map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1600"/>
        <w:gridCol w:w="1600"/>
      </w:tblGrid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R/mo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Container Apps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Hosts API, background worker, dashboard backend. Scales to zero.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Consumption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800–1,500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Service Bus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PR job queue. Retry, dead-letter, idempotency.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200–400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GPT-4o model endpoint. Zero-training DPA. SA region.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1,500–4,000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Search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Tenant-isolated vector index for repo context embeddings.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800–1,500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Cache for Redis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context cache per tenant. TTL-controlled expiry.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C1 Basic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400–800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Database for PostgreSQL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 metadata, tenant config, audit log, metrics.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Burstable B2s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600–1,200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App private key, API keys, connection strings.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100–200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 + App Insights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logging, telemetry, alerting, SLA tracking.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Pay-as-you-go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200–500</w:t>
            </w:r>
          </w:p>
        </w:tc>
      </w:tr>
      <w:tr>
        <w:tc>
          <w:tcPr>
            <w:tcW w:type="dxa" w:w="2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Estimated monthly infrastructure cost at launch (5–20 clients)</w:t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 4,600–10,100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 Security Architecture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webhook HMAC-SHA256 signature validation on every inbound request.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secrets retrieved from Azure Key Vault via managed identity — no env vars with secrets.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Tenant ID injected at Service Bus message level — workers enforce tenant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row-level security enforces tenant isolation at database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OpenAI called over private endpoint — no public internet traversal for code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App installation tokens scoped per repository, short-lived, never 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audit log of every review event: timestamp, tenant, PR ID, findings count — no code.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Solution Scaffold — Repository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structure represents the complete market-ready scaffold. Each project has a defined responsibility and clear dependency boundary. All projects follow Clean Architecture principles.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 Repository Layout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src/EngineIQ.API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HTTP layer. Webhook listener, tenant management endpoints, auth middleware.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src/EngineIQ.Worker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Background job processor. Dequeues PR jobs from Service Bus. Orchestrates review pipeline.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src/EngineIQ.ReviewEngine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review orchestrator. Coordinates Context Builder, Standards Engine, AI Engine, Feedback Generator.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src/EngineIQ.StandardsEngine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rule executor. Loads YAML config. Runs boundary, naming, coupling checks.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src/EngineIQ.ContextBuilder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indexer. Detects architecture style. Produces context object for AI enrichment.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src/EngineIQ.AIEngine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 integration. Prompt orchestration. Response parsing. Finding extraction.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src/EngineIQ.FeedbackGenerator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 merger, severity classifier, PR comment formatter, GitHub comment poster.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src/EngineIQ.Domain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Shared domain entities, value objects, interfaces, enums. No external dependencies.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src/EngineIQ.Infrastructure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repositories, Redis cache client, Service Bus client, Azure Key Vault client.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src/EngineIQ.GitHub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App client. Webhook validation, diff fetching, comment posting, installation token management.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src/EngineIQ.Dashboard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SPA. PR review history, violation trends, architecture drift score, tenant settings.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config/standards-templates/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YAML architecture standards configs. One per detected architecture style.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tests/EngineIQ.Tests.Unit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for Standards Engine, AI response parsing, finding classification logic.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tests/EngineIQ.Tests.Integration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for GitHub webhook processing, PostgreSQL repositories, Service Bus flow.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infra/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Bicep IaC templates. One-command environment provisioning.</w:t>
            </w:r>
          </w:p>
        </w:tc>
      </w:tr>
      <w:tr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</w:t>
            </w:r>
          </w:p>
        </w:tc>
        <w:tc>
          <w:tcPr>
            <w:tcW w:type="dxa" w:w="57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decision records (ADRs), API docs, onboarding guide, DPA template.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 Domain Model — Core Entities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TenantId, Name, Plan, GitHubOrgId, CreatedAt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aggregate. All data scoped to TenantId.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RepoId, TenantId, FullName, ArchitectureStyle, LastIndexedAt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tenant can own many repos.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PRReviewJob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JobId, RepoId, PRNumber, Status, CreatedAt, CompletedAt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 on webhook. Status: Queued → Processing → Complete.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FindingId, JobId, Severity, Category, FilePath, LineNumber, Message, Source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Source: Rule | AI. Never contains source code.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ArchitectureRule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RuleId, TenantId, Name, Layer, Expression, Severity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Loaded from tenant YAML config at review time.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ReviewComment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CommentId, JobId, GitHubCommentId, PostedAt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finding batch to the GitHub PR comment.</w:t>
            </w:r>
          </w:p>
        </w:tc>
      </w:tr>
      <w:tr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TenantMetrics</w:t>
            </w:r>
          </w:p>
        </w:tc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PRsReviewed, ViolationsFound, ViolationsPrevented, AvgReviewMs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Aggregated. Used for dashboard and ROI reporting.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Build Milestones — Market-Ready Sequence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milestones represent the ordered build sequence from zero to market-ready. Each milestone produces a working, testable increment. Billable is the internal test client throughout.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0 — Working Loop (Weeks 1–2)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GitHub PR in the Billable repo receives a real AI-generated review comment. Nothing more, nothing less.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GitHub App on Billable org.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Scaffold EngineIQ.API with a single /webhook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HMAC signature. Log the payload.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the PR diff via GitHub REST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diff to Azure OpenAI. Parse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comment back to the PR.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to Azure Container Apps (SA North).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First automated PR comment on Billable. The loop is real.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1 — Standards Engine (Weeks 3–5)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Deterministic architecture rules run before AI, reducing false positives and cost.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EngineIQ.Domain — entities, interfaces, enums.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EngineIQ.StandardsEngine — YAML loader, rule executor.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default clean-architecture.yaml standards template.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standards results into PR comment (severity-classified).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Service Bus — webhook enqueues, worker processes.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PostgreSQL — tenant and finding persistence.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Architecture rule violations appear in Billable PRs, separated from AI findings.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2 — Context Builder (Weeks 6–8)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become architecture-aware, not just diff-aware.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EngineIQ.ContextBuilder — folder scanner, layer detector.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Azure AI Search — repo embeddings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Redis — cache repo context with TTL.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Enrich AI prompts with repo context (layer map, detected patterns).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architecture style detection (Clean, Layered, Hexagonal, Modular Monolith).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AI review comments reference the actual architecture of Billable's codebase.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3 — Multi-Tenancy (Weeks 9–12)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platform can onboard and isolate multiple clients safely.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Tenant Management API — registration, GitHub App install flow, config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tenant isolation: Service Bus, Redis, AI Search, PostgreSQL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Per-tenant YAML standards configuration via dashboard or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App installation token scoping per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 first external pilot client alongside Billable.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Two isolated tenants running in production simultaneously without data leakage.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4 — Dashboard &amp; Metrics (Weeks 13–16)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CTOs have visibility into engineering health. EngineIQ becomes sticky.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EngineIQ.Dashboard (React SPA).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 review history timeline.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Violation trend chart (by severity, by file, by rule).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Architecture drift score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30-day metrics email report (auto-generated).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satisfaction feedback widget.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Billable CTO can present engineering health metrics to stakeholders. Sales asset created.</w:t>
      </w:r>
    </w:p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Milestone 5 — Production Hardening (Weeks 17–20)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platform is sellable, observable, and defensible.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logging and Application Insights telemetry throughout.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logic and dead-letter handling on all queued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on webhook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Large PR chunking (PRs &gt; 2,000 lines split intelligently).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False positive reduction — developer override mechanism.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POPIA data processing documentation finalised.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DPA template reviewed and signed-off.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Azure Bicep IaC — one-command environment provisioning.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 testing at 10× expected volume.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penetration test on public endpoints.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Deliverable: Platform is ready to sell. First paying client can be onboarded with confidence.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Success Metrics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EngineIQ is only credible if it is measurable. The following metrics are tracked from day one across two categories: platform performance and client value delivered.</w:t>
      </w:r>
    </w:p>
    <w:p>
      <w:pPr>
        <w:spacing w:after="12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 Platform Metrics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review completion time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90 seconds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experience threshold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→ comment latency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120 seconds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queue + processing time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15%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Trust threshold — above this, devs ignore the tool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Suggestion acceptance rate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40%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of finding quality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uptime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 baseline for Growth tier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cost per PR review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R 8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economics must stay positive at R2,500/mo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 Client Value Metrics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400"/>
        <w:gridCol w:w="3600"/>
      </w:tblGrid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(90 days)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Sales Use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cycle time reduction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30%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Headline ROI metric for CTOs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violations caught pre-merge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absolute number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Quantifies defect prevention value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failure rate trend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Downward trend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Links EngineIQ to production stability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reviewer time saved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 hrs/week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Translate to rand value for ROI case</w:t>
            </w:r>
          </w:p>
        </w:tc>
      </w:tr>
      <w:tr>
        <w:tc>
          <w:tcPr>
            <w:tcW w:type="dxa" w:w="336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NPS on tool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30</w:t>
            </w:r>
          </w:p>
        </w:tc>
        <w:tc>
          <w:tcPr>
            <w:tcW w:type="dxa" w:w="36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Adoption signal — below this, churn risk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Default Standards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tenant receives a default YAML standards file on onboarding, pre-populated based on the detected architecture style. The following is the default for Clean Architecture (.NET).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1A1A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EngineIQ Standards Configuration — Clean Architecture (.NET)</w:t>
            </w:r>
          </w:p>
          <w:p>
            <w:r>
              <w:rPr>
                <w:rFonts w:ascii="Courier New" w:cs="Courier New" w:eastAsia="Courier New" w:hAnsi="Courier New"/>
                <w:color w:val="5DCAA5"/>
                <w:sz w:val="18"/>
                <w:szCs w:val="18"/>
              </w:rPr>
              <w:t xml:space="preserve"># Version: 1.0  |  Auto-generated by EngineIQ on onboarding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F9F27"/>
                <w:sz w:val="18"/>
                <w:szCs w:val="18"/>
              </w:rPr>
              <w:t xml:space="preserve">architecture: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style: clean-architecture</w:t>
            </w:r>
          </w:p>
          <w:p>
            <w:r>
              <w:rPr>
                <w:rFonts w:ascii="Courier New" w:cs="Courier New" w:eastAsia="Courier New" w:hAnsi="Courier New"/>
                <w:color w:val="EF9F27"/>
                <w:sz w:val="18"/>
                <w:szCs w:val="18"/>
              </w:rPr>
              <w:t xml:space="preserve">  layers: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name: Domain      folders: [Domain, Core]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name: Application  folders: [Application, UseCases]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name: Infrastructure  folders: [Infrastructure, Persistence]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- name: API          folders: [API, Controllers, WebAPI]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EF9F27"/>
                <w:sz w:val="18"/>
                <w:szCs w:val="18"/>
              </w:rPr>
              <w:t xml:space="preserve">rules:</w:t>
            </w:r>
          </w:p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 id: ARCH-001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name: No domain dependency on infrastructure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severity: critical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check: layer_dependency  from: Domain  disallows: [Infrastructure, API]</w:t>
            </w:r>
          </w:p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 id: ARCH-002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name: No business logic in controllers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severity: high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check: layer_logic  layer: API  disallow_patterns: [if, switch, calculation]</w:t>
            </w:r>
          </w:p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 id: SEC-001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name: No hardcoded secrets or connection strings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severity: critical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check: secret_pattern</w:t>
            </w:r>
          </w:p>
          <w:p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- id: PERF-001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name: No synchronous database calls in async context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severity: high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    check: async_pattern  disallow: [.Result, .Wait(), GetAwaiter().GetResult()]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Immediate Next Steps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actions should be completed in sequence to begin Milestone 0. Each action has a clear owner and output.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040"/>
        <w:gridCol w:w="2400"/>
        <w:gridCol w:w="1400"/>
      </w:tblGrid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GitHub App on Billable GitHub org with PR read/write permissions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ID + Private Key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Azure resource group in South Africa North via Bicep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environment live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Scaffold EngineIQ solution with all project stubs and dependency references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Compiling solution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2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Webhook Listener with HMAC validation and Service Bus enqueue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receives events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3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Implement PR diff fetch via GitHub REST API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 in memory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4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Azure OpenAI call with basic prompt and response parsing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findings extracted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formatted comment back to GitHub PR via GitHub App token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live PR comment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6</w:t>
            </w:r>
          </w:p>
        </w:tc>
      </w:tr>
      <w:tr>
        <w:tc>
          <w:tcPr>
            <w:tcW w:type="dxa" w:w="52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to Azure Container Apps and test against a real Billable PR</w:t>
            </w:r>
          </w:p>
        </w:tc>
        <w:tc>
          <w:tcPr>
            <w:tcW w:type="dxa" w:w="2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Milestone 0 complete</w:t>
            </w:r>
          </w:p>
        </w:tc>
        <w:tc>
          <w:tcPr>
            <w:tcW w:type="dxa" w:w="1400"/>
            <w:gridSpan w:val="1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 7–10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9040"/>
      </w:tblGrid>
      <w:tr>
        <w:tc>
          <w:tcPr>
            <w:tcW w:type="dxa" w:w="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</w:t>
            </w:r>
          </w:p>
        </w:tc>
        <w:tc>
          <w:tcPr>
            <w:tcW w:type="dxa" w:w="9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 1 can be completed in 15 minutes. Register the GitHub App at github.com/settings/apps/new. The Private Key and App ID are the only credentials needed to begin.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5F5E5A"/>
        <w:sz w:val="18"/>
        <w:szCs w:val="18"/>
      </w:rPr>
      <w:t xml:space="preserve">Confidential  ·  March 2026</w:t>
    </w:r>
    <w:r>
      <w:rPr>
        <w:rFonts w:ascii="Arial" w:cs="Arial" w:eastAsia="Arial" w:hAnsi="Arial"/>
        <w:color w:val="5F5E5A"/>
        <w:sz w:val="18"/>
        <w:szCs w:val="18"/>
      </w:rPr>
      <w:t xml:space="preserve">	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  <w:spacing w:after="80"/>
    </w:pPr>
    <w:r>
      <w:rPr>
        <w:rFonts w:ascii="Arial" w:cs="Arial" w:eastAsia="Arial" w:hAnsi="Arial"/>
        <w:b/>
        <w:bCs/>
        <w:color w:val="0F6E56"/>
        <w:sz w:val="20"/>
        <w:szCs w:val="20"/>
      </w:rPr>
      <w:t xml:space="preserve">EngineIQ </w:t>
    </w:r>
    <w:r>
      <w:rPr>
        <w:rFonts w:ascii="Arial" w:cs="Arial" w:eastAsia="Arial" w:hAnsi="Arial"/>
        <w:color w:val="5F5E5A"/>
        <w:sz w:val="20"/>
        <w:szCs w:val="20"/>
      </w:rPr>
      <w:t xml:space="preserve">· Engineering Intelligence Platform ·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2026-03-17T17:44:38.273Z</dcterms:created>
  <dcterms:modified xsi:type="dcterms:W3CDTF">2026-03-17T17:44:38.274Z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