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EngineIQ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Engineering Intelligence Platform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Architecture Addendum</w:t>
      </w:r>
    </w:p>
    <w:p>
      <w:pPr>
        <w:spacing w:after="320" w:before="0"/>
      </w:pPr>
      <w:r>
        <w:rPr>
          <w:rFonts w:ascii="Arial" w:cs="Arial" w:eastAsia="Arial" w:hAnsi="Arial"/>
          <w:color w:val="3D4F61"/>
          <w:sz w:val="24"/>
          <w:szCs w:val="24"/>
        </w:rPr>
        <w:t xml:space="preserve">Python Platform · Build Sequence · Deployment &amp; IP Protection</w:t>
      </w:r>
    </w:p>
    <w:p>
      <w:pPr>
        <w:pBdr>
          <w:bottom w:val="single" w:color="2E6DA4" w:sz="8" w:space="2"/>
        </w:pBdr>
        <w:spacing w:after="200" w:before="0"/>
      </w:pPr>
      <w:r>
        <w:rPr>
          <w:rFonts w:ascii="Arial" w:cs="Arial" w:eastAsia="Arial" w:hAnsi="Arial"/>
          <w:color w:val="3D4F61"/>
          <w:sz w:val="18"/>
          <w:szCs w:val="18"/>
        </w:rPr>
        <w:t xml:space="preserve">Confidential · Version 1.0 · March 2026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Python Platform — Architecture &amp; Integration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Python does not replace any core EngineIQ component. It operates as the intelligence, automation, and analytics layer that wraps the .NET platform — handling everything the core platform should not own. This section defines the Python services, their boundaries, and how they are sequenced across milestones.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Python Layer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EngineIQ's Python layer is composed of five discrete service groups. Each runs independently, communicates via REST or shared PostgreSQL/Service Bus, and is containerised for deployment alongside the core platform.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Group</w:t>
            </w:r>
          </w:p>
        </w:tc>
        <w:tc>
          <w:tcPr>
            <w:tcW w:type="dxa" w:w="3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Introduced</w:t>
            </w:r>
          </w:p>
        </w:tc>
      </w:tr>
      <w:tr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Lab</w:t>
            </w:r>
          </w:p>
        </w:tc>
        <w:tc>
          <w:tcPr>
            <w:tcW w:type="dxa" w:w="3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OpenAI prompt testing, token cost measurement, diff simulation</w:t>
            </w:r>
          </w:p>
        </w:tc>
        <w:tc>
          <w:tcPr>
            <w:tcW w:type="dxa" w:w="3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0 — before first PR comment</w:t>
            </w:r>
          </w:p>
        </w:tc>
      </w:tr>
      <w:tr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Simulator</w:t>
            </w:r>
          </w:p>
        </w:tc>
        <w:tc>
          <w:tcPr>
            <w:tcW w:type="dxa" w:w="3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 realistic GitHub PR events at the API endpoint for load and integration testing</w:t>
            </w:r>
          </w:p>
        </w:tc>
        <w:tc>
          <w:tcPr>
            <w:tcW w:type="dxa" w:w="3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0 — Day 1 tooling</w:t>
            </w:r>
          </w:p>
        </w:tc>
      </w:tr>
      <w:tr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 Engine</w:t>
            </w:r>
          </w:p>
        </w:tc>
        <w:tc>
          <w:tcPr>
            <w:tcW w:type="dxa" w:w="3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30-day metrics email, drift score charts, PDF report generation</w:t>
            </w:r>
          </w:p>
        </w:tc>
        <w:tc>
          <w:tcPr>
            <w:tcW w:type="dxa" w:w="3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4 — Dashboard &amp; Metrics</w:t>
            </w:r>
          </w:p>
        </w:tc>
      </w:tr>
      <w:tr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Testing Service</w:t>
            </w:r>
          </w:p>
        </w:tc>
        <w:tc>
          <w:tcPr>
            <w:tcW w:type="dxa" w:w="3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10× load simulation, SLA validation, dead-letter queue stress testing</w:t>
            </w:r>
          </w:p>
        </w:tc>
        <w:tc>
          <w:tcPr>
            <w:tcW w:type="dxa" w:w="3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5 — Production Hardening</w:t>
            </w:r>
          </w:p>
        </w:tc>
      </w:tr>
      <w:tr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&amp; ML Engine</w:t>
            </w:r>
          </w:p>
        </w:tc>
        <w:tc>
          <w:tcPr>
            <w:tcW w:type="dxa" w:w="3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 dataset, drift clustering, sprint failure prediction model</w:t>
            </w:r>
          </w:p>
        </w:tc>
        <w:tc>
          <w:tcPr>
            <w:tcW w:type="dxa" w:w="3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 — Delivery Risk Intelligence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Python Service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9.2.1 Prompt Lab (engineiq-prompt-lab)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local developer tool — not deployed to clients. Runs as a Jupyter-compatible script environment for iterating on Azure OpenAI prompts outside the main .NET codebase. Keeps prompt changes out of the production build cycle.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httpx, tiktoken, rich, python-dotenv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tiktoken (token cost), httpx (API calls), rich (terminal output formatting)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PR diff file (.patch), prompt template (.txt), Azure OpenAI credentials from .env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finding list, token count, estimated cost in ZAR, acceptance rate score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only. Never shipped to clients. Run from /tools/prompt-lab/ in the monorepo.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9.2.2 Webhook Simulator (engineiq-webhook-sim)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Fires realistic GitHub PR webhook payloads at the EngineIQ API endpoint. Used during development, integration testing, and Milestone 5 production hardening. Removes dependency on real GitHub events during testing cycles.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httpx, hmac, hashlib, faker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HMAC-SHA256 signed payloads, configurable PR size, multi-tenant simulation, burst mode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response log, latency histogram, SLA pass/fail report per run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pipeline (GitHub Actions) and local dev. Never shipped to clients.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9.2.3 Reporting Engine (engineiq-reporting)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Generates the 30-day metrics email report, architecture drift score charts, and the board-level PDF report (Phase 5). Pulls data from the PostgreSQL Audit Store and renders output via templated HTML and PDF. Runs as a scheduled Azure Container App on a nightly cron.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pandas, matplotlib, jinja2, weasyprint, psycopg2, sendgrid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Audit Store. Tenant-isolated queries via TenantId parameter.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email (SendGrid), drift score chart PNG (embedded), PDF board report (Phase 5)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Nightly metrics aggregation, monthly report dispatch. Triggered via Azure Container Apps Jobs.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Containerised. Deployed to Azure Container Apps (SA North). Included in client environment.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9.2.4 Load Testing Service (engineiq-loadtest)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Used during Milestone 5 production hardening. Simulates 10× expected webhook volume using Locust to validate the 90-second PR review SLA and confirm Service Bus dead-letter queue handling under pressure. Never shipped to clients.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locust, httpx, azure-servicebus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Scenarios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Burst mode (50 PRs/min), sustained load (10 PRs/min for 60 min), large PR chunking (&gt;2000 lines)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Metrics Captured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p50/p95/p99 latency, SLA breach rate, dead-letter queue depth, Azure OpenAI token consumption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from CI/CD (GitHub Actions) against staging environment only. Not in client image.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9.2.5 Analytics &amp; ML Engine (engineiq-analytics)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Introduced in Phase 5. Processes accumulated cross-tenant finding metadata (never source code) to produce benchmark datasets, industry-level comparisons, and the sprint failure probability model. This is the engine behind EngineIQ's long-term data moat.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pandas, scikit-learn, numpy, sqlalchemy, FastAPI (model serving)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 Output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failure probability score, DORA metrics calculator, engineering health composite score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6 Output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 FinTech/HealthTech benchmark dataset, incident-to-finding correlation, loop-close reporting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 FastAPI endpoint consumed by EngineIQ.Worker. Not exposed publicly.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Scope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Anonymised, aggregated finding metadata only. Never source code, never PII, POPIA-compliant.</w:t>
            </w:r>
          </w:p>
        </w:tc>
      </w:tr>
      <w:tr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Containerised. Azure Container Apps (SA North). Included from Phase 5 onward.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Python Build Sequence — When to Write What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Python components are written in-parallel with .NET milestones — not after. Each Python service is introduced at the earliest milestone where it delivers direct value. The rule is simple: write the Python tool before you need it, not after you feel the pain of not having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Milestone-by-Milestone Build Schedule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60"/>
        <w:gridCol w:w="30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Component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0
Weeks 1–2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Simulator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HMAC-signed PR payloads, diff size variants, multi-tenant headers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 cannot test your webhook endpoint without real GitHub events unless you can fake them. Build this on Day 1.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0
Weeks 1–2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Lab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 loader, Azure OpenAI call, token counter, ZAR cost estimate, finding extractor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Iterate on prompts without touching .NET. Validate &lt; R8/review target before wiring into the engine.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1
Weeks 3–5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 Validator Script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YAML standards config, run against sample diffs, output false positive rate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Standards Engine rule accuracy before integrating. Catch false positives before they erode developer trust.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4
Weeks 13–16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 Engine v1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query layer, pandas aggregation, jinja2 HTML email template, SendGrid dispatch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30-day metrics report is the CTO sales asset. It must ship with the dashboard, not after.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5
Weeks 17–20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Testing Service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Locust scenarios: burst, sustained, large-PR. SLA pass/fail report. Dead-letter queue stress.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hardening milestone requires 10× load validation. Locust is the right tool — not ab, not k6.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
Month 5–12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 Engine v2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 score chart (matplotlib), trend email with blurred upgrade CTA, weekly dashboard data push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 score upgrade trigger requires visual reporting. The blurred detail section is the growth lever.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
Month 15–24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&amp; ML Engine v1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DORA metrics calculator, sprint failure probability model (scikit-learn), FastAPI model server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Risk Intelligence cannot ship without a forecasting model. Python is the only viable stack.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
Month 15–24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Board Report Generator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weasyprint PDF generation, client branding tokens, auto-scheduled monthly dispatch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Board-level PDF report is the stickiness mechanism. Must be automated — not manually generated.</w:t>
            </w:r>
          </w:p>
        </w:tc>
      </w:tr>
      <w:tr>
        <w:tc>
          <w:tcPr>
            <w:tcW w:type="dxa" w:w="1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
Month 18–30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&amp; ML Engine v2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 benchmark dataset pipeline, incident-to-finding correlation, loop-close report, clustering</w:t>
            </w:r>
          </w:p>
        </w:tc>
        <w:tc>
          <w:tcPr>
            <w:tcW w:type="dxa" w:w="3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data moat. This is what no global competitor can replicate for the SA market.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6DA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start a Python component after you feel the pain of not having it. The Webhook Simulator and Prompt Lab are Day 1 items — they make every subsequent milestone faster and safer.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Python Repository Layout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Python tooling lives in the same monorepo as the .NET platform, under a /python top-level directory. Each service has its own package, Dockerfile, and requirements.txt. They share no runtime dependencies with the .NET services.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python/webhook-sim/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Simulator. Dev + CI use only. Never deployed to client.</w:t>
            </w:r>
          </w:p>
        </w:tc>
      </w:tr>
      <w:t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python/prompt-lab/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testing toolkit. Local dev use only. Never deployed.</w:t>
            </w:r>
          </w:p>
        </w:tc>
      </w:tr>
      <w:t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python/reporting/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 Engine. Containerised. Deployed to all client environments.</w:t>
            </w:r>
          </w:p>
        </w:tc>
      </w:tr>
      <w:t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python/analytics/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&amp; ML Engine. Containerised. Deployed from Phase 5 onward.</w:t>
            </w:r>
          </w:p>
        </w:tc>
      </w:tr>
      <w:t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python/shared/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models, DB client, Azure Key Vault client, logging config.</w:t>
            </w:r>
          </w:p>
        </w:tc>
      </w:tr>
      <w:tr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python/tests/</w:t>
            </w:r>
          </w:p>
        </w:tc>
        <w:tc>
          <w:tcPr>
            <w:tcW w:type="dxa" w:w="6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unit and integration tests for all Python services.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Deployment Architecture &amp; IP Protection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EngineIQ ships to clients as container images — not source code. This is the fundamental IP protection mechanism. Clients receive a running platform, not a codebase. This section defines the full deployment model, image delivery pipeline, and code security controls across both .NET and Python services.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Core IP Protection Principle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client ever receives source code. All .NET and Python services are compiled and containerised. Clients receive Docker images pulled from a private Azure Container Registry. The registry is EngineIQ-controlled. Client environments authenticate via scoped pull tokens — read-only, time-limited, per-client.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Deployment Models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EngineIQ supports two deployment models depending on client tier. The model determines how images are delivered and where data is processed.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Tiers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 Owner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Cloud-Hosted (SaaS)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Starter, Growth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EngineIQ (Azure SA North)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has zero infrastructure responsibility. Multi-tenant. Tenant-isolated via RLS and Service Bus.</w:t>
            </w:r>
          </w:p>
        </w:tc>
      </w:tr>
      <w:tr>
        <w:tc>
          <w:tcPr>
            <w:tcW w:type="dxa" w:w="1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Private Deploy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 (POPIA private deploy add-on)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Client's own Azure subscription</w:t>
            </w:r>
          </w:p>
        </w:tc>
        <w:tc>
          <w:tcPr>
            <w:tcW w:type="dxa" w:w="2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EngineIQ provides Bicep IaC + Docker Compose. Client pulls images from EngineIQ ACR via scoped token. EngineIQ retains image control.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Container Image Pipeline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services — .NET and Python — follow the same image pipeline. Source code never leaves the EngineIQ build environment.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(.NET)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dotnet publish -c Release. Outputs compiled IL binaries. No source files in output layer.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(Python)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Cython compilation for business-logic modules (.pyx → .so). Non-sensitive scripts remain .py. Multi-stage Dockerfile discards source layer.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Assembly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Multi-stage Dockerfile. Stage 1: build. Stage 2: runtime-only. Source files are never COPY'd to Stage 2. Final image contains binaries only.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Signing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images signed with Notation (Azure Container Registry Notary). Client environments validate signature on pull. Tampered images are rejected.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Registry Push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Pushed to EngineIQ-owned Azure Container Registry. Repository per service. Tags: {version}-{env}. e.g. 1.4.2-prod.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Token Issue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Per-client scoped pull token issued via ACR token API. Read-only. Expires in 90 days. Rotated automatically by Tenant Management API.</w:t>
            </w:r>
          </w:p>
        </w:tc>
      </w:tr>
      <w:tr>
        <w:tc>
          <w:tcPr>
            <w:tcW w:type="dxa" w:w="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Pull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environment (Azure Container Apps or private Docker host) pulls images using scoped token. Signature validated. Image runs.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11.4 Python-Specific IP Protection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Python source is readable by default — unlike compiled .NET IL. Additional protection is applied to business-critical Python modules before containerisation.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Method</w:t>
            </w:r>
          </w:p>
        </w:tc>
        <w:tc>
          <w:tcPr>
            <w:tcW w:type="dxa" w:w="4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Cython compilation (.pyx → .so)</w:t>
            </w:r>
          </w:p>
        </w:tc>
        <w:tc>
          <w:tcPr>
            <w:tcW w:type="dxa" w:w="4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model scoring, benchmark calculation, drift algorithm, report generation logic</w:t>
            </w:r>
          </w:p>
        </w:tc>
      </w:tr>
      <w:tr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Configuration &amp; Templates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Excluded from final image layer</w:t>
            </w:r>
          </w:p>
        </w:tc>
        <w:tc>
          <w:tcPr>
            <w:tcW w:type="dxa" w:w="4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Jinja2 templates, YAML defaults — loaded from Azure Blob Storage at runtime, not baked into image</w:t>
            </w:r>
          </w:p>
        </w:tc>
      </w:tr>
      <w:tr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 Scripts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 .py (acceptable)</w:t>
            </w:r>
          </w:p>
        </w:tc>
        <w:tc>
          <w:tcPr>
            <w:tcW w:type="dxa" w:w="4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connection wrappers, Key Vault client, logging setup — no proprietary logic</w:t>
            </w:r>
          </w:p>
        </w:tc>
      </w:tr>
      <w:tr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Tooling</w:t>
            </w:r>
          </w:p>
        </w:tc>
        <w:tc>
          <w:tcPr>
            <w:tcW w:type="dxa" w:w="2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containerised — never shipped</w:t>
            </w:r>
          </w:p>
        </w:tc>
        <w:tc>
          <w:tcPr>
            <w:tcW w:type="dxa" w:w="4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Simulator, Prompt Lab, Load Testing Service — development tools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C05C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Cython compilation is not perfect obfuscation, but it raises the effort bar significantly. Combined with multi-stage Docker builds that discard source layers, it is sufficient protection for commercial SaaS deployment. Enterprise-grade reverse engineering protection (PyArmor) can be added in Phase 3 if competitive pressure warrants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11.5 Secrets &amp; Credential Management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credentials are baked into images. All secrets are injected at runtime from Azure Key Vault via managed identity. This applies to both the cloud-hosted and private deploy models.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Stored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OpenAI API Key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EngineIQ Key Vault (per env)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Identity — no env vars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App Private Key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EngineIQ Key Vault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Identity. Rotated quarterly.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Vault (per environment)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Identity. Private endpoint — no public DB exposure.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ACR Pull Token (client)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Issued by Tenant Management API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Scoped read-only. 90-day expiry. Auto-rotated.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 API Key (reporting)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Vault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Identity. Per-environment key.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Webhook Secret (HMAC)</w:t>
            </w:r>
          </w:p>
        </w:tc>
        <w:tc>
          <w:tcPr>
            <w:tcW w:type="dxa" w:w="32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Vault, per-tenant entry</w:t>
            </w:r>
          </w:p>
        </w:tc>
        <w:tc>
          <w:tcPr>
            <w:tcW w:type="dxa" w:w="3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Retrieved by Webhook Listener on startup per tenant.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11.6 Private Deploy — Client Delivery Package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For Scale tier clients on the private deploy option, EngineIQ ships a deployment package. This package contains everything the client needs to run EngineIQ in their own Azure subscription — but no source code.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Component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&amp; Notes</w:t>
            </w:r>
          </w:p>
        </w:tc>
      </w:tr>
      <w:t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Defines all EngineIQ services. Images referenced by digest (not just tag) to prevent substitution.</w:t>
            </w:r>
          </w:p>
        </w:tc>
      </w:tr>
      <w:t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infra/bicep/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Bicep IaC templates. Provisions Container Apps, Service Bus, PostgreSQL, Redis, Key Vault. One-command deploy.</w:t>
            </w:r>
          </w:p>
        </w:tc>
      </w:tr>
      <w:t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config/standards-templates/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YAML architecture standards configs. Client-editable. Not IP — this is configuration.</w:t>
            </w:r>
          </w:p>
        </w:tc>
      </w:tr>
      <w:t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acr-pull-token.json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Scoped ACR pull credentials. Generated per-client by Tenant Management API. 90-day expiry.</w:t>
            </w:r>
          </w:p>
        </w:tc>
      </w:tr>
      <w:t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INSTALL.md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deployment guide. Azure CLI commands. Key Vault secret population instructions.</w:t>
            </w:r>
          </w:p>
        </w:tc>
      </w:tr>
      <w:tr>
        <w:tc>
          <w:tcPr>
            <w:tcW w:type="dxa" w:w="2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DPA-template.docx</w:t>
            </w:r>
          </w:p>
        </w:tc>
        <w:tc>
          <w:tcPr>
            <w:tcW w:type="dxa" w:w="65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Processing Agreement template. POPIA-compliant. Pre-filled with EngineIQ data handling terms.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A0202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  <w:tc>
          <w:tcPr>
            <w:tcW w:type="dxa" w:w="8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EBE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Images in docker-compose.yml are pinned by digest (sha256:...), not by tag. This prevents a client from substituting a different image version without EngineIQ's knowledge. The signed image validation step in the container runtime catches any tampering.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11.7 Licence Enforcement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Licence enforcement is lightweight but meaningful. It does not require complex DRM — the delivery model itself is the primary control. The following additional controls are applied.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ACR Token Expiry</w:t>
            </w:r>
          </w:p>
        </w:tc>
        <w:tc>
          <w:tcPr>
            <w:tcW w:type="dxa" w:w="6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 tokens expire every 90 days. Non-paying clients cannot pull updated images. Platform degrades to last pulled version — a natural forcing function for renewal.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Status Check</w:t>
            </w:r>
          </w:p>
        </w:tc>
        <w:tc>
          <w:tcPr>
            <w:tcW w:type="dxa" w:w="6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EngineIQ.Worker startup checks Tenant billing status via Tenant Management API. Suspended tenants are blocked from processing new jobs. No hard shutdown — pending jobs complete, new ones queue but do not process.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Flags by Plan</w:t>
            </w:r>
          </w:p>
        </w:tc>
        <w:tc>
          <w:tcPr>
            <w:tcW w:type="dxa" w:w="6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Linter (Growth+), Delivery Forecasting (Scale) are feature-flagged server-side. Not in config the client can edit — enforced by Tenant Management API response at runtime.</w:t>
            </w:r>
          </w:p>
        </w:tc>
      </w:tr>
      <w:tr>
        <w:tc>
          <w:tcPr>
            <w:tcW w:type="dxa" w:w="26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Telemetry Heartbeat</w:t>
            </w:r>
          </w:p>
        </w:tc>
        <w:tc>
          <w:tcPr>
            <w:tcW w:type="dxa" w:w="67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 deploy clients emit a lightweight heartbeat (PR count, job count — no code data) to EngineIQ's monitoring endpoint. Used to detect unauthorised instances. POPIA-disclosed in DPA.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11.8 Updated System Layers — Including Python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following table extends Section 2.2 of the Architecture Document to include the Python layer as an explicit platform tier.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160"/>
        <w:gridCol w:w="34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GitHub webhooks, validate HMAC, enqueue PR jobs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.NET 8 Web API, Azure Service Bus</w:t>
            </w:r>
          </w:p>
        </w:tc>
      </w:tr>
      <w:t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 repo structure, detect architecture style, build semantic context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AI Search, Redis Cache</w:t>
            </w:r>
          </w:p>
        </w:tc>
      </w:tr>
      <w:t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Engine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Deterministic rules + AI analysis, severity scoring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OpenAI, .NET Background Worker</w:t>
            </w:r>
          </w:p>
        </w:tc>
      </w:tr>
      <w:t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Classify findings, format PR comments, post to GitHub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REST API, .NET 8</w:t>
            </w:r>
          </w:p>
        </w:tc>
      </w:tr>
      <w:t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findings, serve dashboard, generate trend reports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PostgreSQL, .NET 8 API, React</w:t>
            </w:r>
          </w:p>
        </w:tc>
      </w:tr>
      <w:tr>
        <w:tc>
          <w:tcPr>
            <w:tcW w:type="dxa" w:w="8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Python Platform</w:t>
            </w:r>
          </w:p>
        </w:tc>
        <w:tc>
          <w:tcPr>
            <w:tcW w:type="dxa" w:w="316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Reporting, analytics, ML forecasting, benchmark dataset, board-level PDF generation</w:t>
            </w:r>
          </w:p>
        </w:tc>
        <w:tc>
          <w:tcPr>
            <w:tcW w:type="dxa" w:w="3400"/>
            <w:gridSpan w:val="1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pandas, scikit-learn, FastAPI, jinja2, weasyprint — Azure Container Apps (SA North)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tabs>
        <w:tab w:val="right" w:pos="9000"/>
      </w:tabs>
      <w:spacing w:before="80"/>
    </w:pPr>
    <w:r>
      <w:rPr>
        <w:rFonts w:ascii="Arial" w:cs="Arial" w:eastAsia="Arial" w:hAnsi="Arial"/>
        <w:color w:val="3D4F61"/>
        <w:sz w:val="16"/>
        <w:szCs w:val="16"/>
      </w:rPr>
      <w:t xml:space="preserve">EngineIQ · Confidential · Version 1.0</w:t>
    </w:r>
    <w:r>
      <w:rPr>
        <w:rFonts w:ascii="Arial" w:cs="Arial" w:eastAsia="Arial" w:hAnsi="Arial"/>
        <w:color w:val="3D4F61"/>
        <w:sz w:val="16"/>
        <w:szCs w:val="16"/>
      </w:rPr>
      <w:t xml:space="preserve">	Page </w:t>
    </w:r>
    <w:r>
      <w:rPr>
        <w:rFonts w:ascii="Arial" w:cs="Arial" w:eastAsia="Arial" w:hAnsi="Arial"/>
        <w:color w:val="3D4F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100"/>
    </w:pPr>
    <w:r>
      <w:rPr>
        <w:rFonts w:ascii="Arial" w:cs="Arial" w:eastAsia="Arial" w:hAnsi="Arial"/>
        <w:color w:val="3D4F61"/>
        <w:sz w:val="16"/>
        <w:szCs w:val="16"/>
      </w:rPr>
      <w:t xml:space="preserve">EngineIQ · Architecture Addendum — Python Platform, Build Sequence &amp; Deployment</w:t>
    </w:r>
    <w:r>
      <w:rPr>
        <w:rFonts w:ascii="Arial" w:cs="Arial" w:eastAsia="Arial" w:hAnsi="Arial"/>
        <w:color w:val="3D4F61"/>
        <w:sz w:val="16"/>
        <w:szCs w:val="16"/>
      </w:rPr>
      <w:t xml:space="preserve">  |  Confidential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2026-04-01T08:50:33.085Z</dcterms:created>
  <dcterms:modified xsi:type="dcterms:W3CDTF">2026-04-01T08:50:33.086Z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