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center"/>
      </w:pPr>
      <w:r>
        <w:rPr>
          <w:rFonts w:ascii="Arial" w:cs="Arial" w:eastAsia="Arial" w:hAnsi="Arial"/>
          <w:b/>
          <w:bCs/>
          <w:color w:val="0F6E56"/>
          <w:sz w:val="112"/>
          <w:szCs w:val="112"/>
        </w:rPr>
        <w:t xml:space="preserve">ENGIQ</w:t>
      </w:r>
    </w:p>
    <w:p>
      <w:pPr>
        <w:spacing w:after="60"/>
        <w:jc w:val="center"/>
      </w:pPr>
      <w:r>
        <w:rPr>
          <w:rFonts w:ascii="Arial" w:cs="Arial" w:eastAsia="Arial" w:hAnsi="Arial"/>
          <w:color w:val="5F5E5A"/>
          <w:sz w:val="34"/>
          <w:szCs w:val="34"/>
        </w:rPr>
        <w:t xml:space="preserve">Engineering Intelligence Platform</w:t>
      </w:r>
    </w:p>
    <w:p>
      <w:pPr>
        <w:spacing w:after="600"/>
        <w:jc w:val="center"/>
      </w:pPr>
      <w:r>
        <w:rPr>
          <w:rFonts w:ascii="Arial" w:cs="Arial" w:eastAsia="Arial" w:hAnsi="Arial"/>
          <w:color w:val="5F5E5A"/>
          <w:sz w:val="26"/>
          <w:szCs w:val="26"/>
        </w:rPr>
        <w:t xml:space="preserve">Product Roadmap  ·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00"/>
              <w:left w:type="dxa" w:w="400"/>
              <w:bottom w:type="dxa" w:w="200"/>
              <w:right w:type="dxa" w:w="400"/>
            </w:tcMar>
          </w:tcPr>
          <w:p>
            <w:pPr>
              <w:spacing w:after="60"/>
              <w:jc w:val="center"/>
            </w:pPr>
            <w:r>
              <w:rPr>
                <w:rFonts w:ascii="Arial" w:cs="Arial" w:eastAsia="Arial" w:hAnsi="Arial"/>
                <w:b/>
                <w:bCs/>
                <w:color w:val="FFFFFF"/>
                <w:sz w:val="28"/>
                <w:szCs w:val="28"/>
              </w:rPr>
              <w:t xml:space="preserve">From first PR comment to full engineering intelligence</w:t>
            </w:r>
          </w:p>
          <w:p>
            <w:pPr>
              <w:jc w:val="center"/>
            </w:pPr>
            <w:r>
              <w:rPr>
                <w:rFonts w:ascii="Arial" w:cs="Arial" w:eastAsia="Arial" w:hAnsi="Arial"/>
                <w:color w:val="E1F5EE"/>
                <w:sz w:val="22"/>
                <w:szCs w:val="22"/>
              </w:rPr>
              <w:t xml:space="preserve">A 30-month phased build plan for market-ready SaaS</w:t>
            </w:r>
          </w:p>
        </w:tc>
      </w:tr>
    </w:tbl>
    <w:p>
      <w:pPr>
        <w:spacing w:after="400"/>
      </w:pPr>
      <w:r>
        <w:t xml:space="preserve"/>
      </w:r>
    </w:p>
    <w:p>
      <w:pPr>
        <w:jc w:val="center"/>
      </w:pPr>
      <w:r>
        <w:rPr>
          <w:rFonts w:ascii="Arial" w:cs="Arial" w:eastAsia="Arial" w:hAnsi="Arial"/>
          <w:color w:val="5F5E5A"/>
          <w:sz w:val="20"/>
          <w:szCs w:val="20"/>
        </w:rPr>
        <w:t xml:space="preserve">Confidential  ·  Version 1.0  ·  March 2026</w:t>
      </w:r>
    </w:p>
    <w:p>
      <w:r>
        <w:br w:type="page"/>
      </w:r>
    </w:p>
    <w:p>
      <w:pPr>
        <w:pStyle w:val="Heading1"/>
        <w:pBdr>
          <w:bottom w:val="single" w:color="0F6E56" w:sz="6" w:space="4"/>
        </w:pBdr>
        <w:spacing w:before="400" w:after="140"/>
      </w:pPr>
      <w:r>
        <w:rPr>
          <w:rFonts w:ascii="Arial" w:cs="Arial" w:eastAsia="Arial" w:hAnsi="Arial"/>
          <w:b/>
          <w:bCs/>
          <w:color w:val="1A1A2E"/>
          <w:sz w:val="40"/>
          <w:szCs w:val="40"/>
        </w:rPr>
        <w:t xml:space="preserve">Executive Summary</w:t>
      </w:r>
    </w:p>
    <w:p>
      <w:pPr>
        <w:spacing w:after="120"/>
      </w:pPr>
      <w:r>
        <w:rPr>
          <w:rFonts w:ascii="Arial" w:cs="Arial" w:eastAsia="Arial" w:hAnsi="Arial"/>
          <w:color w:val="1A1A2E"/>
          <w:sz w:val="22"/>
          <w:szCs w:val="22"/>
        </w:rPr>
        <w:t xml:space="preserve">EngineIQ is being built in six phases over 30 months, progressing from a focused PR review tool to a full engineering intelligence platform. Each phase delivers standalone commercial value while laying the foundation for the next. The sequencing is deliberate — start narrow, prove value on Billable, expand based on client pull rather than assumption.</w:t>
      </w:r>
    </w:p>
    <w:p>
      <w:pPr>
        <w:spacing w:after="80"/>
      </w:pPr>
      <w:r>
        <w:t xml:space="preserve"/>
      </w:r>
    </w:p>
    <w:p>
      <w:pPr>
        <w:spacing w:after="120"/>
      </w:pPr>
      <w:r>
        <w:rPr>
          <w:rFonts w:ascii="Arial" w:cs="Arial" w:eastAsia="Arial" w:hAnsi="Arial"/>
          <w:b/>
          <w:bCs/>
          <w:color w:val="1A1A2E"/>
          <w:sz w:val="22"/>
          <w:szCs w:val="22"/>
        </w:rPr>
        <w:t xml:space="preserve">The north star: </w:t>
      </w:r>
      <w:r>
        <w:rPr>
          <w:rFonts w:ascii="Arial" w:cs="Arial" w:eastAsia="Arial" w:hAnsi="Arial"/>
          <w:color w:val="1A1A2E"/>
          <w:sz w:val="22"/>
          <w:szCs w:val="22"/>
        </w:rPr>
        <w:t xml:space="preserve">a platform that instruments the entire software delivery lifecycle for South African engineering teams — from requirements through production — making engineering health measurable, governable, and continuously improving.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3040"/>
        <w:gridCol w:w="1800"/>
        <w:gridCol w:w="1600"/>
      </w:tblGrid>
      <w:tr>
        <w:tc>
          <w:tcPr>
            <w:tcW w:type="dxa" w:w="52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304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Core Capability</w:t>
            </w:r>
          </w:p>
        </w:tc>
        <w:tc>
          <w:tcPr>
            <w:tcW w:type="dxa" w:w="18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c>
          <w:tcPr>
            <w:tcW w:type="dxa" w:w="16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 Trigger</w:t>
            </w:r>
          </w:p>
        </w:tc>
      </w:tr>
      <w:tr>
        <w:tc>
          <w:tcPr>
            <w:tcW w:type="dxa" w:w="52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4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PR Review</w:t>
            </w:r>
          </w:p>
        </w:tc>
        <w:tc>
          <w:tcPr>
            <w:tcW w:type="dxa" w:w="304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Architecture-aware AI pull request analysis</w:t>
            </w:r>
          </w:p>
        </w:tc>
        <w:tc>
          <w:tcPr>
            <w:tcW w:type="dxa" w:w="18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1–5</w:t>
            </w:r>
          </w:p>
        </w:tc>
        <w:tc>
          <w:tcPr>
            <w:tcW w:type="dxa" w:w="16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Starter / Growth</w:t>
            </w:r>
          </w:p>
        </w:tc>
      </w:tr>
      <w:tr>
        <w:tc>
          <w:tcPr>
            <w:tcW w:type="dxa" w:w="52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Architecture Intelligence</w:t>
            </w:r>
          </w:p>
        </w:tc>
        <w:tc>
          <w:tcPr>
            <w:tcW w:type="dxa" w:w="304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Continuous drift detection across the full codebase</w:t>
            </w:r>
          </w:p>
        </w:tc>
        <w:tc>
          <w:tcPr>
            <w:tcW w:type="dxa" w:w="1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5–12</w:t>
            </w:r>
          </w:p>
        </w:tc>
        <w:tc>
          <w:tcPr>
            <w:tcW w:type="dxa" w:w="1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Growth add-on</w:t>
            </w:r>
          </w:p>
        </w:tc>
      </w:tr>
      <w:tr>
        <w:tc>
          <w:tcPr>
            <w:tcW w:type="dxa" w:w="52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w:t>
            </w:r>
          </w:p>
        </w:tc>
        <w:tc>
          <w:tcPr>
            <w:tcW w:type="dxa" w:w="24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Requirements Intelligence</w:t>
            </w:r>
          </w:p>
        </w:tc>
        <w:tc>
          <w:tcPr>
            <w:tcW w:type="dxa" w:w="304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Clarity scoring and acceptance criteria validation</w:t>
            </w:r>
          </w:p>
        </w:tc>
        <w:tc>
          <w:tcPr>
            <w:tcW w:type="dxa" w:w="18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9–15</w:t>
            </w:r>
          </w:p>
        </w:tc>
        <w:tc>
          <w:tcPr>
            <w:tcW w:type="dxa" w:w="16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Growth add-on</w:t>
            </w:r>
          </w:p>
        </w:tc>
      </w:tr>
      <w:tr>
        <w:tc>
          <w:tcPr>
            <w:tcW w:type="dxa" w:w="52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Test Intelligence</w:t>
            </w:r>
          </w:p>
        </w:tc>
        <w:tc>
          <w:tcPr>
            <w:tcW w:type="dxa" w:w="304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AI-generated edge cases and test quality scoring</w:t>
            </w:r>
          </w:p>
        </w:tc>
        <w:tc>
          <w:tcPr>
            <w:tcW w:type="dxa" w:w="1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12–18</w:t>
            </w:r>
          </w:p>
        </w:tc>
        <w:tc>
          <w:tcPr>
            <w:tcW w:type="dxa" w:w="1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Scale tier</w:t>
            </w:r>
          </w:p>
        </w:tc>
      </w:tr>
      <w:tr>
        <w:tc>
          <w:tcPr>
            <w:tcW w:type="dxa" w:w="52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w:t>
            </w:r>
          </w:p>
        </w:tc>
        <w:tc>
          <w:tcPr>
            <w:tcW w:type="dxa" w:w="24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Delivery Risk Intelligence</w:t>
            </w:r>
          </w:p>
        </w:tc>
        <w:tc>
          <w:tcPr>
            <w:tcW w:type="dxa" w:w="304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Sprint forecasting and board-level engineering visibility</w:t>
            </w:r>
          </w:p>
        </w:tc>
        <w:tc>
          <w:tcPr>
            <w:tcW w:type="dxa" w:w="18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15–24</w:t>
            </w:r>
          </w:p>
        </w:tc>
        <w:tc>
          <w:tcPr>
            <w:tcW w:type="dxa" w:w="16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Executive tier</w:t>
            </w:r>
          </w:p>
        </w:tc>
      </w:tr>
      <w:tr>
        <w:tc>
          <w:tcPr>
            <w:tcW w:type="dxa" w:w="52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Runtime &amp; Incident Intelligence</w:t>
            </w:r>
          </w:p>
        </w:tc>
        <w:tc>
          <w:tcPr>
            <w:tcW w:type="dxa" w:w="304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AI-assisted incident management and root cause analysis</w:t>
            </w:r>
          </w:p>
        </w:tc>
        <w:tc>
          <w:tcPr>
            <w:tcW w:type="dxa" w:w="1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18–30</w:t>
            </w:r>
          </w:p>
        </w:tc>
        <w:tc>
          <w:tcPr>
            <w:tcW w:type="dxa" w:w="1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Enterprise tier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D9E75" w:val="clear"/>
            <w:tcMar>
              <w:top w:type="dxa" w:w="140"/>
              <w:left w:type="dxa" w:w="120"/>
              <w:bottom w:type="dxa" w:w="140"/>
              <w:right w:type="dxa" w:w="120"/>
            </w:tcMar>
          </w:tcPr>
          <w:p>
            <w:pPr>
              <w:jc w:val="center"/>
            </w:pPr>
            <w:r>
              <w:rPr>
                <w:rFonts w:ascii="Arial" w:cs="Arial" w:eastAsia="Arial" w:hAnsi="Arial"/>
                <w:b/>
                <w:bCs/>
                <w:color w:val="FFFFFF"/>
                <w:sz w:val="18"/>
                <w:szCs w:val="18"/>
              </w:rPr>
              <w:t xml:space="preserve">PRINCIPLE</w:t>
            </w:r>
          </w:p>
        </w:tc>
        <w:tc>
          <w:tcPr>
            <w:tcW w:type="dxa" w:w="89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color w:val="1A1A2E"/>
                <w:sz w:val="20"/>
                <w:szCs w:val="20"/>
              </w:rPr>
              <w:t xml:space="preserve">Build what clients pull for. Billable is the validation environment throughout. Each phase only begins when the previous phase is generating real signal and real revenue.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1  </w:t>
            </w:r>
            <w:r>
              <w:rPr>
                <w:rFonts w:ascii="Arial" w:cs="Arial" w:eastAsia="Arial" w:hAnsi="Arial"/>
                <w:b/>
                <w:bCs/>
                <w:color w:val="FFFFFF"/>
                <w:sz w:val="36"/>
                <w:szCs w:val="36"/>
              </w:rPr>
              <w:t xml:space="preserve">—  PR Review</w:t>
            </w:r>
          </w:p>
          <w:p>
            <w:r>
              <w:rPr>
                <w:rFonts w:ascii="Arial" w:cs="Arial" w:eastAsia="Arial" w:hAnsi="Arial"/>
                <w:color w:val="E1F5EE"/>
                <w:sz w:val="22"/>
                <w:szCs w:val="22"/>
              </w:rPr>
              <w:t xml:space="preserve">Architecture-aware AI pull request analysis · Month 1–5</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Phase 1 is the entry point into every client's engineering workflow. It delivers immediate, visible value — a PR gets reviewed within 90 seconds of opening, with findings that are architectural and meaningful, not just style nits. This is the land motion that earns trust before anything deeper is introduced.</w:t>
      </w:r>
    </w:p>
    <w:p>
      <w:pPr>
        <w:spacing w:after="80"/>
      </w:pPr>
      <w:r>
        <w:t xml:space="preserve"/>
      </w:r>
    </w:p>
    <w:p>
      <w:pPr>
        <w:spacing w:after="120"/>
      </w:pPr>
      <w:r>
        <w:rPr>
          <w:rFonts w:ascii="Arial" w:cs="Arial" w:eastAsia="Arial" w:hAnsi="Arial"/>
          <w:color w:val="1A1A2E"/>
          <w:sz w:val="22"/>
          <w:szCs w:val="22"/>
        </w:rPr>
        <w:t xml:space="preserve">The distinction that matters: most competitors are diff-aware (they read what changed). EngineIQ is system-aware (it understands how the change affects the architecture). That difference is the entire value proposition in Phase 1.</w:t>
      </w:r>
    </w:p>
    <w:p>
      <w:pPr>
        <w:spacing w:after="160"/>
      </w:pPr>
      <w:r>
        <w:t xml:space="preserve"/>
      </w:r>
    </w:p>
    <w:p>
      <w:pPr>
        <w:pStyle w:val="Heading2"/>
        <w:spacing w:before="300" w:after="100"/>
      </w:pPr>
      <w:r>
        <w:rPr>
          <w:rFonts w:ascii="Arial" w:cs="Arial" w:eastAsia="Arial" w:hAnsi="Arial"/>
          <w:b/>
          <w:bCs/>
          <w:color w:val="0F6E56"/>
          <w:sz w:val="30"/>
          <w:szCs w:val="30"/>
        </w:rPr>
        <w:t xml:space="preserve">Milestones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M0</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Working Loop</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1–2</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First PR comment live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M1</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Standards Engine</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3–5</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Rule violations in PRs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M2</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Context Builder</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6–8</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Architecture-aware reviews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M3</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Multi-Tenancy</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9–12</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Two isolated tenants live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M4</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Dashboard &amp; Metrics</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13–16</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CTO metrics report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1800"/>
        <w:gridCol w:w="1600"/>
      </w:tblGrid>
      <w:tr>
        <w:tc>
          <w:tcPr>
            <w:tcW w:type="dxa" w:w="5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M5</w:t>
            </w:r>
          </w:p>
        </w:tc>
        <w:tc>
          <w:tcPr>
            <w:tcW w:type="dxa" w:w="5400"/>
            <w:tcBorders>
              <w:top w:val="single" w:color="D3D1C7" w:sz="1"/>
              <w:left w:val="single" w:color="D3D1C7" w:sz="1"/>
              <w:bottom w:val="single" w:color="D3D1C7" w:sz="1"/>
              <w:right w:val="single" w:color="D3D1C7" w:sz="1"/>
            </w:tcBorders>
            <w:tcMar>
              <w:top w:type="dxa" w:w="80"/>
              <w:left w:type="dxa" w:w="160"/>
              <w:bottom w:type="dxa" w:w="80"/>
              <w:right w:type="dxa" w:w="160"/>
            </w:tcMar>
          </w:tcPr>
          <w:p>
            <w:r>
              <w:rPr>
                <w:rFonts w:ascii="Arial" w:cs="Arial" w:eastAsia="Arial" w:hAnsi="Arial"/>
                <w:b/>
                <w:bCs/>
                <w:color w:val="1A1A2E"/>
                <w:sz w:val="22"/>
                <w:szCs w:val="22"/>
              </w:rPr>
              <w:t xml:space="preserve">Production Hardening</w:t>
            </w:r>
          </w:p>
        </w:tc>
        <w:tc>
          <w:tcPr>
            <w:tcW w:type="dxa" w:w="1800"/>
            <w:tcBorders>
              <w:top w:val="single" w:color="D3D1C7" w:sz="1"/>
              <w:left w:val="single" w:color="D3D1C7" w:sz="1"/>
              <w:bottom w:val="single" w:color="D3D1C7" w:sz="1"/>
              <w:right w:val="single" w:color="D3D1C7" w:sz="1"/>
            </w:tcBorders>
            <w:shd w:fill="E1F5EE" w:val="clear"/>
            <w:tcMar>
              <w:top w:type="dxa" w:w="80"/>
              <w:left w:type="dxa" w:w="100"/>
              <w:bottom w:type="dxa" w:w="80"/>
              <w:right w:type="dxa" w:w="100"/>
            </w:tcMar>
          </w:tcPr>
          <w:p>
            <w:pPr>
              <w:jc w:val="center"/>
            </w:pPr>
            <w:r>
              <w:rPr>
                <w:rFonts w:ascii="Arial" w:cs="Arial" w:eastAsia="Arial" w:hAnsi="Arial"/>
                <w:color w:val="0F6E56"/>
                <w:sz w:val="20"/>
                <w:szCs w:val="20"/>
              </w:rPr>
              <w:t xml:space="preserve">Weeks 17–20</w:t>
            </w:r>
          </w:p>
        </w:tc>
        <w:tc>
          <w:tcPr>
            <w:tcW w:type="dxa" w:w="1600"/>
            <w:tcBorders>
              <w:top w:val="single" w:color="D3D1C7" w:sz="1"/>
              <w:left w:val="single" w:color="D3D1C7" w:sz="1"/>
              <w:bottom w:val="single" w:color="D3D1C7" w:sz="1"/>
              <w:right w:val="single" w:color="D3D1C7" w:sz="1"/>
            </w:tcBorders>
            <w:tcMar>
              <w:top w:type="dxa" w:w="80"/>
              <w:left w:type="dxa" w:w="100"/>
              <w:bottom w:type="dxa" w:w="80"/>
              <w:right w:type="dxa" w:w="100"/>
            </w:tcMar>
          </w:tcPr>
          <w:p>
            <w:pPr>
              <w:jc w:val="center"/>
            </w:pPr>
            <w:r>
              <w:rPr>
                <w:rFonts w:ascii="Arial" w:cs="Arial" w:eastAsia="Arial" w:hAnsi="Arial"/>
                <w:b/>
                <w:bCs/>
                <w:color w:val="1D9E75"/>
                <w:sz w:val="18"/>
                <w:szCs w:val="18"/>
              </w:rPr>
              <w:t xml:space="preserve">Platform sellable</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GitHub App integration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Webhook-based PR event handling. HMAC-SHA256 validation. Async processing via Service Bus.</w:t>
            </w:r>
          </w:p>
        </w:tc>
      </w:tr>
      <w:tr>
        <w:tc>
          <w:tcPr>
            <w:tcW w:type="dxa" w:w="3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 style detection</w:t>
            </w:r>
          </w:p>
        </w:tc>
        <w:tc>
          <w:tcPr>
            <w:tcW w:type="dxa" w:w="61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Automatic detection of Clean Architecture, Layered, Hexagonal, Modular Monolith from repo structure.</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Standards Engine</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YAML-configurable deterministic rules. Layer dependency checks, secret detection, async pattern enforcement, naming conventions.</w:t>
            </w:r>
          </w:p>
        </w:tc>
      </w:tr>
      <w:tr>
        <w:tc>
          <w:tcPr>
            <w:tcW w:type="dxa" w:w="3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 Review Engine</w:t>
            </w:r>
          </w:p>
        </w:tc>
        <w:tc>
          <w:tcPr>
            <w:tcW w:type="dxa" w:w="61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Azure OpenAI GPT-4o with context-enriched prompts. Findings deduplicated against rule results. Zero raw code in persistence.</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Severity classification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Critical / High / Medium / Suggestion. Grouped PR comment with developer-friendly recommendations.</w:t>
            </w:r>
          </w:p>
        </w:tc>
      </w:tr>
      <w:tr>
        <w:tc>
          <w:tcPr>
            <w:tcW w:type="dxa" w:w="3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Metrics dashboard</w:t>
            </w:r>
          </w:p>
        </w:tc>
        <w:tc>
          <w:tcPr>
            <w:tcW w:type="dxa" w:w="61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 review history, violation trends, architecture drift score, 30-day email report.</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POPIA compliance</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processing in Azure South Africa North. Ephemeral diff handling. DPA template for clients.</w:t>
            </w:r>
          </w:p>
        </w:tc>
      </w:tr>
      <w:tr>
        <w:tc>
          <w:tcPr>
            <w:tcW w:type="dxa" w:w="3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Multi-tenancy</w:t>
            </w:r>
          </w:p>
        </w:tc>
        <w:tc>
          <w:tcPr>
            <w:tcW w:type="dxa" w:w="61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tenant isolation at Service Bus, Redis, AI Search, and PostgreSQL row-level security.</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Success Criteria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2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w:t>
            </w:r>
          </w:p>
        </w:tc>
        <w:tc>
          <w:tcPr>
            <w:tcW w:type="dxa" w:w="34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Significance</w:t>
            </w:r>
          </w:p>
        </w:tc>
      </w:tr>
      <w:tr>
        <w:tc>
          <w:tcPr>
            <w:tcW w:type="dxa" w:w="3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 review completion time</w:t>
            </w:r>
          </w:p>
        </w:tc>
        <w:tc>
          <w:tcPr>
            <w:tcW w:type="dxa" w:w="2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90 seconds</w:t>
            </w:r>
          </w:p>
        </w:tc>
        <w:tc>
          <w:tcPr>
            <w:tcW w:type="dxa" w:w="34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Developer experience threshold</w:t>
            </w:r>
          </w:p>
        </w:tc>
      </w:tr>
      <w:tr>
        <w:tc>
          <w:tcPr>
            <w:tcW w:type="dxa" w:w="36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False positive rate</w:t>
            </w:r>
          </w:p>
        </w:tc>
        <w:tc>
          <w:tcPr>
            <w:tcW w:type="dxa" w:w="2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15%</w:t>
            </w:r>
          </w:p>
        </w:tc>
        <w:tc>
          <w:tcPr>
            <w:tcW w:type="dxa" w:w="34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Above this, developers ignore the tool</w:t>
            </w:r>
          </w:p>
        </w:tc>
      </w:tr>
      <w:tr>
        <w:tc>
          <w:tcPr>
            <w:tcW w:type="dxa" w:w="3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Suggestion acceptance rate</w:t>
            </w:r>
          </w:p>
        </w:tc>
        <w:tc>
          <w:tcPr>
            <w:tcW w:type="dxa" w:w="2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40%</w:t>
            </w:r>
          </w:p>
        </w:tc>
        <w:tc>
          <w:tcPr>
            <w:tcW w:type="dxa" w:w="34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Indicator of finding quality</w:t>
            </w:r>
          </w:p>
        </w:tc>
      </w:tr>
      <w:tr>
        <w:tc>
          <w:tcPr>
            <w:tcW w:type="dxa" w:w="36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 cycle time reduction (Billable)</w:t>
            </w:r>
          </w:p>
        </w:tc>
        <w:tc>
          <w:tcPr>
            <w:tcW w:type="dxa" w:w="2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30%</w:t>
            </w:r>
          </w:p>
        </w:tc>
        <w:tc>
          <w:tcPr>
            <w:tcW w:type="dxa" w:w="34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Headline ROI metric for CTO sales conversations</w:t>
            </w:r>
          </w:p>
        </w:tc>
      </w:tr>
      <w:tr>
        <w:tc>
          <w:tcPr>
            <w:tcW w:type="dxa" w:w="36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Paying clients by Month 5</w:t>
            </w:r>
          </w:p>
        </w:tc>
        <w:tc>
          <w:tcPr>
            <w:tcW w:type="dxa" w:w="2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3–5</w:t>
            </w:r>
          </w:p>
        </w:tc>
        <w:tc>
          <w:tcPr>
            <w:tcW w:type="dxa" w:w="34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Revenue validation before Phase 2 investment</w:t>
            </w:r>
          </w:p>
        </w:tc>
      </w:tr>
      <w:tr>
        <w:tc>
          <w:tcPr>
            <w:tcW w:type="dxa" w:w="36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Token cost per PR review</w:t>
            </w:r>
          </w:p>
        </w:tc>
        <w:tc>
          <w:tcPr>
            <w:tcW w:type="dxa" w:w="2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R 8</w:t>
            </w:r>
          </w:p>
        </w:tc>
        <w:tc>
          <w:tcPr>
            <w:tcW w:type="dxa" w:w="34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Unit economics positive at R2,500/mo Starter tier</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Revenue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Starter</w:t>
            </w:r>
          </w:p>
        </w:tc>
        <w:tc>
          <w:tcPr>
            <w:tcW w:type="dxa" w:w="23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Growth</w:t>
            </w:r>
          </w:p>
        </w:tc>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Scale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Price / month</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 2,500</w:t>
            </w:r>
          </w:p>
        </w:tc>
        <w:tc>
          <w:tcPr>
            <w:tcW w:type="dxa" w:w="2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 5,500</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 12,000</w:t>
            </w:r>
          </w:p>
        </w:tc>
      </w:tr>
      <w:tr>
        <w:tc>
          <w:tcPr>
            <w:tcW w:type="dxa" w:w="2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Repositories</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Up to 3</w:t>
            </w:r>
          </w:p>
        </w:tc>
        <w:tc>
          <w:tcPr>
            <w:tcW w:type="dxa" w:w="2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Up to 10</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Unlimited</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 Review</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c>
          <w:tcPr>
            <w:tcW w:type="dxa" w:w="2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r>
      <w:tr>
        <w:tc>
          <w:tcPr>
            <w:tcW w:type="dxa" w:w="2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 Linter</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c>
          <w:tcPr>
            <w:tcW w:type="dxa" w:w="2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&amp; Reports</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Basic</w:t>
            </w:r>
          </w:p>
        </w:tc>
        <w:tc>
          <w:tcPr>
            <w:tcW w:type="dxa" w:w="2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 API</w:t>
            </w:r>
          </w:p>
        </w:tc>
      </w:tr>
      <w:tr>
        <w:tc>
          <w:tcPr>
            <w:tcW w:type="dxa" w:w="22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SLA</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Best effort</w:t>
            </w:r>
          </w:p>
        </w:tc>
        <w:tc>
          <w:tcPr>
            <w:tcW w:type="dxa" w:w="2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99.5%</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99.9% + CSM</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2  </w:t>
            </w:r>
            <w:r>
              <w:rPr>
                <w:rFonts w:ascii="Arial" w:cs="Arial" w:eastAsia="Arial" w:hAnsi="Arial"/>
                <w:b/>
                <w:bCs/>
                <w:color w:val="FFFFFF"/>
                <w:sz w:val="36"/>
                <w:szCs w:val="36"/>
              </w:rPr>
              <w:t xml:space="preserve">—  Architecture Intelligence</w:t>
            </w:r>
          </w:p>
          <w:p>
            <w:r>
              <w:rPr>
                <w:rFonts w:ascii="Arial" w:cs="Arial" w:eastAsia="Arial" w:hAnsi="Arial"/>
                <w:color w:val="EEEDFE"/>
                <w:sz w:val="22"/>
                <w:szCs w:val="22"/>
              </w:rPr>
              <w:t xml:space="preserve">Continuous codebase drift detection · Month 5–12</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Phase 1 catches architectural violations in individual PRs. Phase 2 zooms out and asks a harder question: how is the overall health of this codebase changing over time? Architecture Intelligence produces a measurable drift score that CTOs can track, present to stakeholders, and use to justify engineering investment.</w:t>
      </w:r>
    </w:p>
    <w:p>
      <w:pPr>
        <w:spacing w:after="80"/>
      </w:pPr>
      <w:r>
        <w:t xml:space="preserve"/>
      </w:r>
    </w:p>
    <w:p>
      <w:pPr>
        <w:spacing w:after="120"/>
      </w:pPr>
      <w:r>
        <w:rPr>
          <w:rFonts w:ascii="Arial" w:cs="Arial" w:eastAsia="Arial" w:hAnsi="Arial"/>
          <w:color w:val="1A1A2E"/>
          <w:sz w:val="22"/>
          <w:szCs w:val="22"/>
        </w:rPr>
        <w:t xml:space="preserve">This is the upgrade trigger from Starter to Growth. When a client sees their drift score rising over 60 days, the conversation about the Architecture Linter module writes itself.</w:t>
      </w:r>
    </w:p>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codebase scan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Scheduled scan of the entire repository, not just PR diffs. Detects accumulated drift between PRs.</w:t>
            </w:r>
          </w:p>
        </w:tc>
      </w:tr>
      <w:tr>
        <w:tc>
          <w:tcPr>
            <w:tcW w:type="dxa" w:w="320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 Drift Score</w:t>
            </w:r>
          </w:p>
        </w:tc>
        <w:tc>
          <w:tcPr>
            <w:tcW w:type="dxa" w:w="616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0–100 score representing architectural health. Tracked over time. Drillable by layer, file, rule.</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Cyclic dependency detection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Identifies circular dependencies between modules, namespaces, or layers that create hidden coupling.</w:t>
            </w:r>
          </w:p>
        </w:tc>
      </w:tr>
      <w:tr>
        <w:tc>
          <w:tcPr>
            <w:tcW w:type="dxa" w:w="320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Tight coupling alerts</w:t>
            </w:r>
          </w:p>
        </w:tc>
        <w:tc>
          <w:tcPr>
            <w:tcW w:type="dxa" w:w="616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Flags components with excessive afferent or efferent coupling that increase fragility and reduce testability.</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Missing abstraction detection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Identifies where concrete implementations are used directly where interfaces should exist.</w:t>
            </w:r>
          </w:p>
        </w:tc>
      </w:tr>
      <w:tr>
        <w:tc>
          <w:tcPr>
            <w:tcW w:type="dxa" w:w="320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Drift threshold alerting</w:t>
            </w:r>
          </w:p>
        </w:tc>
        <w:tc>
          <w:tcPr>
            <w:tcW w:type="dxa" w:w="616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Configurable alert when drift score exceeds threshold. Email + webhook notification to CTO.</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Trend reporting</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Weekly drift trend chart in dashboard. Month-over-month architectural health comparison.</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Technical Build</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Extend EngineIQ.ContextBuilder with full-repo traversal (not just PR-scoped diff).</w:t>
      </w:r>
    </w:p>
    <w:p>
      <w:pPr>
        <w:pStyle w:val="ListParagraph"/>
        <w:numPr>
          <w:ilvl w:val="0"/>
          <w:numId w:val="2"/>
        </w:numPr>
        <w:spacing w:after="80"/>
      </w:pPr>
      <w:r>
        <w:rPr>
          <w:rFonts w:ascii="Arial" w:cs="Arial" w:eastAsia="Arial" w:hAnsi="Arial"/>
          <w:color w:val="1A1A2E"/>
          <w:sz w:val="22"/>
          <w:szCs w:val="22"/>
        </w:rPr>
        <w:t xml:space="preserve">Build dependency graph analyser — maps namespace and type references across the solution.</w:t>
      </w:r>
    </w:p>
    <w:p>
      <w:pPr>
        <w:pStyle w:val="ListParagraph"/>
        <w:numPr>
          <w:ilvl w:val="0"/>
          <w:numId w:val="2"/>
        </w:numPr>
        <w:spacing w:after="80"/>
      </w:pPr>
      <w:r>
        <w:rPr>
          <w:rFonts w:ascii="Arial" w:cs="Arial" w:eastAsia="Arial" w:hAnsi="Arial"/>
          <w:color w:val="1A1A2E"/>
          <w:sz w:val="22"/>
          <w:szCs w:val="22"/>
        </w:rPr>
        <w:t xml:space="preserve">Implement coupling metrics: Afferent Coupling (Ca), Efferent Coupling (Ce), Instability (I = Ce / Ca + Ce).</w:t>
      </w:r>
    </w:p>
    <w:p>
      <w:pPr>
        <w:pStyle w:val="ListParagraph"/>
        <w:numPr>
          <w:ilvl w:val="0"/>
          <w:numId w:val="2"/>
        </w:numPr>
        <w:spacing w:after="80"/>
      </w:pPr>
      <w:r>
        <w:rPr>
          <w:rFonts w:ascii="Arial" w:cs="Arial" w:eastAsia="Arial" w:hAnsi="Arial"/>
          <w:color w:val="1A1A2E"/>
          <w:sz w:val="22"/>
          <w:szCs w:val="22"/>
        </w:rPr>
        <w:t xml:space="preserve">Add scheduled scan job to EngineIQ.Worker — runs nightly per active tenant.</w:t>
      </w:r>
    </w:p>
    <w:p>
      <w:pPr>
        <w:pStyle w:val="ListParagraph"/>
        <w:numPr>
          <w:ilvl w:val="0"/>
          <w:numId w:val="2"/>
        </w:numPr>
        <w:spacing w:after="80"/>
      </w:pPr>
      <w:r>
        <w:rPr>
          <w:rFonts w:ascii="Arial" w:cs="Arial" w:eastAsia="Arial" w:hAnsi="Arial"/>
          <w:color w:val="1A1A2E"/>
          <w:sz w:val="22"/>
          <w:szCs w:val="22"/>
        </w:rPr>
        <w:t xml:space="preserve">Extend EngineIQ.Dashboard with drift score timeline and drilldown views.</w:t>
      </w:r>
    </w:p>
    <w:p>
      <w:pPr>
        <w:pStyle w:val="ListParagraph"/>
        <w:numPr>
          <w:ilvl w:val="0"/>
          <w:numId w:val="2"/>
        </w:numPr>
        <w:spacing w:after="80"/>
      </w:pPr>
      <w:r>
        <w:rPr>
          <w:rFonts w:ascii="Arial" w:cs="Arial" w:eastAsia="Arial" w:hAnsi="Arial"/>
          <w:color w:val="1A1A2E"/>
          <w:sz w:val="22"/>
          <w:szCs w:val="22"/>
        </w:rPr>
        <w:t xml:space="preserve">Add alerting service — evaluates drift thresholds post-scan, dispatches notifications.</w:t>
      </w:r>
    </w:p>
    <w:p>
      <w:pPr>
        <w:spacing w:after="160"/>
      </w:pPr>
      <w:r>
        <w:t xml:space="preserve"/>
      </w:r>
    </w:p>
    <w:p>
      <w:pPr>
        <w:pStyle w:val="Heading2"/>
        <w:spacing w:before="300" w:after="100"/>
      </w:pPr>
      <w:r>
        <w:rPr>
          <w:rFonts w:ascii="Arial" w:cs="Arial" w:eastAsia="Arial" w:hAnsi="Arial"/>
          <w:b/>
          <w:bCs/>
          <w:color w:val="0F6E56"/>
          <w:sz w:val="30"/>
          <w:szCs w:val="30"/>
        </w:rPr>
        <w:t xml:space="preserve">Commercial Trigger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7F77DD" w:val="clear"/>
            <w:tcMar>
              <w:top w:type="dxa" w:w="140"/>
              <w:left w:type="dxa" w:w="120"/>
              <w:bottom w:type="dxa" w:w="140"/>
              <w:right w:type="dxa" w:w="120"/>
            </w:tcMar>
          </w:tcPr>
          <w:p>
            <w:pPr>
              <w:jc w:val="center"/>
            </w:pPr>
            <w:r>
              <w:rPr>
                <w:rFonts w:ascii="Arial" w:cs="Arial" w:eastAsia="Arial" w:hAnsi="Arial"/>
                <w:b/>
                <w:bCs/>
                <w:color w:val="FFFFFF"/>
                <w:sz w:val="18"/>
                <w:szCs w:val="18"/>
              </w:rPr>
              <w:t xml:space="preserve">GTM</w:t>
            </w:r>
          </w:p>
        </w:tc>
        <w:tc>
          <w:tcPr>
            <w:tcW w:type="dxa" w:w="89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r>
              <w:rPr>
                <w:rFonts w:ascii="Arial" w:cs="Arial" w:eastAsia="Arial" w:hAnsi="Arial"/>
                <w:color w:val="1A1A2E"/>
                <w:sz w:val="20"/>
                <w:szCs w:val="20"/>
              </w:rPr>
              <w:t xml:space="preserve">Run the full-codebase scan silently for Starter tier clients for 30 days. Surface the drift trend in a monthly email with a blurred detail section. The CTA is an upgrade to Growth to unlock the full Architecture Linter and drilldown. Conversion rate target: 30% of Starter clients within 90 days.</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Success Criteria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48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w:t>
            </w:r>
          </w:p>
        </w:tc>
      </w:tr>
      <w:tr>
        <w:tc>
          <w:tcPr>
            <w:tcW w:type="dxa" w:w="45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Drift score accuracy (validated against manual review)</w:t>
            </w:r>
          </w:p>
        </w:tc>
        <w:tc>
          <w:tcPr>
            <w:tcW w:type="dxa" w:w="4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80% agreement with senior engineer assessment</w:t>
            </w:r>
          </w:p>
        </w:tc>
      </w:tr>
      <w:tr>
        <w:tc>
          <w:tcPr>
            <w:tcW w:type="dxa" w:w="45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Starter → Growth upgrade rate</w:t>
            </w:r>
          </w:p>
        </w:tc>
        <w:tc>
          <w:tcPr>
            <w:tcW w:type="dxa" w:w="48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30% of Starter clients within 90 days of Phase 2 launch</w:t>
            </w:r>
          </w:p>
        </w:tc>
      </w:tr>
      <w:tr>
        <w:tc>
          <w:tcPr>
            <w:tcW w:type="dxa" w:w="45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Full-codebase scan runtime</w:t>
            </w:r>
          </w:p>
        </w:tc>
        <w:tc>
          <w:tcPr>
            <w:tcW w:type="dxa" w:w="4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10 minutes for repos up to 100K lines</w:t>
            </w:r>
          </w:p>
        </w:tc>
      </w:tr>
      <w:tr>
        <w:tc>
          <w:tcPr>
            <w:tcW w:type="dxa" w:w="45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CTO dashboard engagement (weekly active)</w:t>
            </w:r>
          </w:p>
        </w:tc>
        <w:tc>
          <w:tcPr>
            <w:tcW w:type="dxa" w:w="48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60% of Growth tier clients checking dashboard weekly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3  </w:t>
            </w:r>
            <w:r>
              <w:rPr>
                <w:rFonts w:ascii="Arial" w:cs="Arial" w:eastAsia="Arial" w:hAnsi="Arial"/>
                <w:b/>
                <w:bCs/>
                <w:color w:val="FFFFFF"/>
                <w:sz w:val="36"/>
                <w:szCs w:val="36"/>
              </w:rPr>
              <w:t xml:space="preserve">—  Requirements Intelligence</w:t>
            </w:r>
          </w:p>
          <w:p>
            <w:r>
              <w:rPr>
                <w:rFonts w:ascii="Arial" w:cs="Arial" w:eastAsia="Arial" w:hAnsi="Arial"/>
                <w:color w:val="FAEEDA"/>
                <w:sz w:val="22"/>
                <w:szCs w:val="22"/>
              </w:rPr>
              <w:t xml:space="preserve">Shift quality left — before a line is written · Month 9–15</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Most production defects start at requirements. Ambiguous acceptance criteria, missing edge cases, contradictory business rules — these are the upstream causes of the downstream bugs that EngineIQ catches in PRs. Phase 3 moves the intervention point earlier: before development begins.</w:t>
      </w:r>
    </w:p>
    <w:p>
      <w:pPr>
        <w:spacing w:after="80"/>
      </w:pPr>
      <w:r>
        <w:t xml:space="preserve"/>
      </w:r>
    </w:p>
    <w:p>
      <w:pPr>
        <w:spacing w:after="120"/>
      </w:pPr>
      <w:r>
        <w:rPr>
          <w:rFonts w:ascii="Arial" w:cs="Arial" w:eastAsia="Arial" w:hAnsi="Arial"/>
          <w:color w:val="1A1A2E"/>
          <w:sz w:val="22"/>
          <w:szCs w:val="22"/>
        </w:rPr>
        <w:t xml:space="preserve">Requirements Intelligence analyses tickets and user stories at the point they are written, scores their clarity and completeness, and — critically — links them back to the eventual PR to verify the implementation matches the original intent.</w:t>
      </w:r>
    </w:p>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Requirement clarity scoring</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 scores each ticket 0–100 on clarity, completeness, and testability before sprint planning.</w:t>
            </w:r>
          </w:p>
        </w:tc>
      </w:tr>
      <w:tr>
        <w:tc>
          <w:tcPr>
            <w:tcW w:type="dxa" w:w="3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Acceptance criteria checker</w:t>
            </w:r>
          </w:p>
        </w:tc>
        <w:tc>
          <w:tcPr>
            <w:tcW w:type="dxa" w:w="616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Flags missing given/when/then structure. Detects vague language ("should work", "as needed").</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Contradiction detection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Identifies conflicting requirements within a sprint or epic using cross-ticket semantic analysis.</w:t>
            </w:r>
          </w:p>
        </w:tc>
      </w:tr>
      <w:tr>
        <w:tc>
          <w:tcPr>
            <w:tcW w:type="dxa" w:w="3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Edge case suggestions</w:t>
            </w:r>
          </w:p>
        </w:tc>
        <w:tc>
          <w:tcPr>
            <w:tcW w:type="dxa" w:w="616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Proactively suggests missing edge cases: timezone handling, error states, performance constraints, security classification.</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Non-functional requirement prompts</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Flags when performance, security, or availability NFRs are missing from a feature ticket.</w:t>
            </w:r>
          </w:p>
        </w:tc>
      </w:tr>
      <w:tr>
        <w:tc>
          <w:tcPr>
            <w:tcW w:type="dxa" w:w="3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Intent-to-implementation linking</w:t>
            </w:r>
          </w:p>
        </w:tc>
        <w:tc>
          <w:tcPr>
            <w:tcW w:type="dxa" w:w="616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When PR is opened, compares code changes against the linked ticket. Flags divergence between intent and implementation.</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Integrations</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Jira, Linear, Azure DevOps. Webhooks for ticket creation and sprint planning events.</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Technical Build</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Build EngineIQ.RequirementsEngine — ticket ingestion, clarity scoring, edge case generation.</w:t>
      </w:r>
    </w:p>
    <w:p>
      <w:pPr>
        <w:pStyle w:val="ListParagraph"/>
        <w:numPr>
          <w:ilvl w:val="0"/>
          <w:numId w:val="2"/>
        </w:numPr>
        <w:spacing w:after="80"/>
      </w:pPr>
      <w:r>
        <w:rPr>
          <w:rFonts w:ascii="Arial" w:cs="Arial" w:eastAsia="Arial" w:hAnsi="Arial"/>
          <w:color w:val="1A1A2E"/>
          <w:sz w:val="22"/>
          <w:szCs w:val="22"/>
        </w:rPr>
        <w:t xml:space="preserve">Add Jira and Linear webhook listeners alongside the existing GitHub webhook listener.</w:t>
      </w:r>
    </w:p>
    <w:p>
      <w:pPr>
        <w:pStyle w:val="ListParagraph"/>
        <w:numPr>
          <w:ilvl w:val="0"/>
          <w:numId w:val="2"/>
        </w:numPr>
        <w:spacing w:after="80"/>
      </w:pPr>
      <w:r>
        <w:rPr>
          <w:rFonts w:ascii="Arial" w:cs="Arial" w:eastAsia="Arial" w:hAnsi="Arial"/>
          <w:color w:val="1A1A2E"/>
          <w:sz w:val="22"/>
          <w:szCs w:val="22"/>
        </w:rPr>
        <w:t xml:space="preserve">Build intent-to-implementation linker — extracts PR description, links to ticket ID, runs semantic similarity comparison.</w:t>
      </w:r>
    </w:p>
    <w:p>
      <w:pPr>
        <w:pStyle w:val="ListParagraph"/>
        <w:numPr>
          <w:ilvl w:val="0"/>
          <w:numId w:val="2"/>
        </w:numPr>
        <w:spacing w:after="80"/>
      </w:pPr>
      <w:r>
        <w:rPr>
          <w:rFonts w:ascii="Arial" w:cs="Arial" w:eastAsia="Arial" w:hAnsi="Arial"/>
          <w:color w:val="1A1A2E"/>
          <w:sz w:val="22"/>
          <w:szCs w:val="22"/>
        </w:rPr>
        <w:t xml:space="preserve">Extend PR comment with intent alignment section: "This PR implements X% of the linked ticket requirements."</w:t>
      </w:r>
    </w:p>
    <w:p>
      <w:pPr>
        <w:pStyle w:val="ListParagraph"/>
        <w:numPr>
          <w:ilvl w:val="0"/>
          <w:numId w:val="2"/>
        </w:numPr>
        <w:spacing w:after="80"/>
      </w:pPr>
      <w:r>
        <w:rPr>
          <w:rFonts w:ascii="Arial" w:cs="Arial" w:eastAsia="Arial" w:hAnsi="Arial"/>
          <w:color w:val="1A1A2E"/>
          <w:sz w:val="22"/>
          <w:szCs w:val="22"/>
        </w:rPr>
        <w:t xml:space="preserve">Add requirements health dashboard — clarity trends per sprint, team, and product area.</w:t>
      </w:r>
    </w:p>
    <w:p>
      <w:pPr>
        <w:spacing w:after="160"/>
      </w:pPr>
      <w:r>
        <w:t xml:space="preserve"/>
      </w:r>
    </w:p>
    <w:p>
      <w:pPr>
        <w:pStyle w:val="Heading2"/>
        <w:spacing w:before="300" w:after="100"/>
      </w:pPr>
      <w:r>
        <w:rPr>
          <w:rFonts w:ascii="Arial" w:cs="Arial" w:eastAsia="Arial" w:hAnsi="Arial"/>
          <w:b/>
          <w:bCs/>
          <w:color w:val="0F6E56"/>
          <w:sz w:val="30"/>
          <w:szCs w:val="30"/>
        </w:rPr>
        <w:t xml:space="preserve">Why This Phase Changes the Sales Conversation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F9F27" w:val="clear"/>
            <w:tcMar>
              <w:top w:type="dxa" w:w="140"/>
              <w:left w:type="dxa" w:w="120"/>
              <w:bottom w:type="dxa" w:w="140"/>
              <w:right w:type="dxa" w:w="120"/>
            </w:tcMar>
          </w:tcPr>
          <w:p>
            <w:pPr>
              <w:jc w:val="center"/>
            </w:pPr>
            <w:r>
              <w:rPr>
                <w:rFonts w:ascii="Arial" w:cs="Arial" w:eastAsia="Arial" w:hAnsi="Arial"/>
                <w:b/>
                <w:bCs/>
                <w:color w:val="FFFFFF"/>
                <w:sz w:val="18"/>
                <w:szCs w:val="18"/>
              </w:rPr>
              <w:t xml:space="preserve">INSIGHT</w:t>
            </w:r>
          </w:p>
        </w:tc>
        <w:tc>
          <w:tcPr>
            <w:tcW w:type="dxa" w:w="89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r>
              <w:rPr>
                <w:rFonts w:ascii="Arial" w:cs="Arial" w:eastAsia="Arial" w:hAnsi="Arial"/>
                <w:color w:val="1A1A2E"/>
                <w:sz w:val="20"/>
                <w:szCs w:val="20"/>
              </w:rPr>
              <w:t xml:space="preserve">Phase 1 and 2 sell to Engineering Managers and Tech Leads. Phase 3 sells to Product Managers and CTOs simultaneously. When EngineIQ starts evaluating tickets, it becomes relevant to the entire product delivery function — not just the engineering team. This broadens the buying coalition and increases switching cost significantly.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4  </w:t>
            </w:r>
            <w:r>
              <w:rPr>
                <w:rFonts w:ascii="Arial" w:cs="Arial" w:eastAsia="Arial" w:hAnsi="Arial"/>
                <w:b/>
                <w:bCs/>
                <w:color w:val="FFFFFF"/>
                <w:sz w:val="36"/>
                <w:szCs w:val="36"/>
              </w:rPr>
              <w:t xml:space="preserve">—  Test Intelligence</w:t>
            </w:r>
          </w:p>
          <w:p>
            <w:r>
              <w:rPr>
                <w:rFonts w:ascii="Arial" w:cs="Arial" w:eastAsia="Arial" w:hAnsi="Arial"/>
                <w:color w:val="E6F1FB"/>
                <w:sz w:val="22"/>
                <w:szCs w:val="22"/>
              </w:rPr>
              <w:t xml:space="preserve">Make testing semi-autonomous · Month 12–18</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Coverage percentage is a vanity metric. 80% coverage can still miss every critical path. Phase 4 replaces coverage counting with coverage reasoning — understanding what is actually tested and what matters.</w:t>
      </w:r>
    </w:p>
    <w:p>
      <w:pPr>
        <w:spacing w:after="80"/>
      </w:pPr>
      <w:r>
        <w:t xml:space="preserve"/>
      </w:r>
    </w:p>
    <w:p>
      <w:pPr>
        <w:spacing w:after="120"/>
      </w:pPr>
      <w:r>
        <w:rPr>
          <w:rFonts w:ascii="Arial" w:cs="Arial" w:eastAsia="Arial" w:hAnsi="Arial"/>
          <w:color w:val="1A1A2E"/>
          <w:sz w:val="22"/>
          <w:szCs w:val="22"/>
        </w:rPr>
        <w:t xml:space="preserve">The primary capability is AI-generated edge case tests from PR diffs: when a developer opens a PR adding a new feature, EngineIQ generates the tests they probably missed. Developers accept or reject them directly from the PR comment.</w:t>
      </w:r>
    </w:p>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Edge case test generation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Generates xUnit / NUnit tests for edge cases specific to the diff — null inputs, boundary values, error paths.</w:t>
            </w:r>
          </w:p>
        </w:tc>
      </w:tr>
      <w:tr>
        <w:tc>
          <w:tcPr>
            <w:tcW w:type="dxa" w:w="320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contract test generation</w:t>
            </w:r>
          </w:p>
        </w:tc>
        <w:tc>
          <w:tcPr>
            <w:tcW w:type="dxa" w:w="616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 controller changes, generates contract tests verifying the API surface has not regressed.</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quality scoring</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Scores existing tests on assertion density, mock overuse, test isolation. Not just coverage percentage.</w:t>
            </w:r>
          </w:p>
        </w:tc>
      </w:tr>
      <w:tr>
        <w:tc>
          <w:tcPr>
            <w:tcW w:type="dxa" w:w="320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Flaky test detection</w:t>
            </w:r>
          </w:p>
        </w:tc>
        <w:tc>
          <w:tcPr>
            <w:tcW w:type="dxa" w:w="616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Identifies non-deterministic tests from CI run history. Flags and suggests root cause.</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Untested critical path flagging</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Cross-references new code against existing test suite. Flags business-critical logic with no test coverage.</w:t>
            </w:r>
          </w:p>
        </w:tc>
      </w:tr>
      <w:tr>
        <w:tc>
          <w:tcPr>
            <w:tcW w:type="dxa" w:w="320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Regression detection</w:t>
            </w:r>
          </w:p>
        </w:tc>
        <w:tc>
          <w:tcPr>
            <w:tcW w:type="dxa" w:w="616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Compares test results between PR base and head. Surfaces newly failing tests before merge.</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Developer accept/reject flow</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Generated tests appear as suggestions in the PR comment. Developer can accept into a new test file with one click.</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Technical Build</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Build EngineIQ.TestEngine — test generation, quality scoring, flakiness detection.</w:t>
      </w:r>
    </w:p>
    <w:p>
      <w:pPr>
        <w:pStyle w:val="ListParagraph"/>
        <w:numPr>
          <w:ilvl w:val="0"/>
          <w:numId w:val="2"/>
        </w:numPr>
        <w:spacing w:after="80"/>
      </w:pPr>
      <w:r>
        <w:rPr>
          <w:rFonts w:ascii="Arial" w:cs="Arial" w:eastAsia="Arial" w:hAnsi="Arial"/>
          <w:color w:val="1A1A2E"/>
          <w:sz w:val="22"/>
          <w:szCs w:val="22"/>
        </w:rPr>
        <w:t xml:space="preserve">Integrate with CI/CD pipelines via GitHub Actions — read test results from workflow runs.</w:t>
      </w:r>
    </w:p>
    <w:p>
      <w:pPr>
        <w:pStyle w:val="ListParagraph"/>
        <w:numPr>
          <w:ilvl w:val="0"/>
          <w:numId w:val="2"/>
        </w:numPr>
        <w:spacing w:after="80"/>
      </w:pPr>
      <w:r>
        <w:rPr>
          <w:rFonts w:ascii="Arial" w:cs="Arial" w:eastAsia="Arial" w:hAnsi="Arial"/>
          <w:color w:val="1A1A2E"/>
          <w:sz w:val="22"/>
          <w:szCs w:val="22"/>
        </w:rPr>
        <w:t xml:space="preserve">Build test acceptance flow — generated tests posted as PR file suggestions, accepted via GitHub review API.</w:t>
      </w:r>
    </w:p>
    <w:p>
      <w:pPr>
        <w:pStyle w:val="ListParagraph"/>
        <w:numPr>
          <w:ilvl w:val="0"/>
          <w:numId w:val="2"/>
        </w:numPr>
        <w:spacing w:after="80"/>
      </w:pPr>
      <w:r>
        <w:rPr>
          <w:rFonts w:ascii="Arial" w:cs="Arial" w:eastAsia="Arial" w:hAnsi="Arial"/>
          <w:color w:val="1A1A2E"/>
          <w:sz w:val="22"/>
          <w:szCs w:val="22"/>
        </w:rPr>
        <w:t xml:space="preserve">Extend EngineIQ.Dashboard with test quality trends, flaky test registry, coverage reasoning view.</w:t>
      </w:r>
    </w:p>
    <w:p>
      <w:pPr>
        <w:spacing w:after="160"/>
      </w:pPr>
      <w:r>
        <w:t xml:space="preserve"/>
      </w:r>
    </w:p>
    <w:p>
      <w:pPr>
        <w:pStyle w:val="Heading2"/>
        <w:spacing w:before="300" w:after="100"/>
      </w:pPr>
      <w:r>
        <w:rPr>
          <w:rFonts w:ascii="Arial" w:cs="Arial" w:eastAsia="Arial" w:hAnsi="Arial"/>
          <w:b/>
          <w:bCs/>
          <w:color w:val="0F6E56"/>
          <w:sz w:val="30"/>
          <w:szCs w:val="30"/>
        </w:rPr>
        <w:t xml:space="preserve">Success Criteria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48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w:t>
            </w:r>
          </w:p>
        </w:tc>
      </w:tr>
      <w:tr>
        <w:tc>
          <w:tcPr>
            <w:tcW w:type="dxa" w:w="45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Generated test acceptance rate</w:t>
            </w:r>
          </w:p>
        </w:tc>
        <w:tc>
          <w:tcPr>
            <w:tcW w:type="dxa" w:w="4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35% of generated tests accepted by developers</w:t>
            </w:r>
          </w:p>
        </w:tc>
      </w:tr>
      <w:tr>
        <w:tc>
          <w:tcPr>
            <w:tcW w:type="dxa" w:w="45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Flaky test identification accuracy</w:t>
            </w:r>
          </w:p>
        </w:tc>
        <w:tc>
          <w:tcPr>
            <w:tcW w:type="dxa" w:w="48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85% of flagged tests confirmed flaky by team</w:t>
            </w:r>
          </w:p>
        </w:tc>
      </w:tr>
      <w:tr>
        <w:tc>
          <w:tcPr>
            <w:tcW w:type="dxa" w:w="45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Post-merge defect rate change</w:t>
            </w:r>
          </w:p>
        </w:tc>
        <w:tc>
          <w:tcPr>
            <w:tcW w:type="dxa" w:w="48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20% reduction in post-merge defects at 90 days</w:t>
            </w:r>
          </w:p>
        </w:tc>
      </w:tr>
      <w:tr>
        <w:tc>
          <w:tcPr>
            <w:tcW w:type="dxa" w:w="45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Scale tier conversion</w:t>
            </w:r>
          </w:p>
        </w:tc>
        <w:tc>
          <w:tcPr>
            <w:tcW w:type="dxa" w:w="48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25% of Growth clients upgrade to Scale for Test Intelligence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5  </w:t>
            </w:r>
            <w:r>
              <w:rPr>
                <w:rFonts w:ascii="Arial" w:cs="Arial" w:eastAsia="Arial" w:hAnsi="Arial"/>
                <w:b/>
                <w:bCs/>
                <w:color w:val="FFFFFF"/>
                <w:sz w:val="36"/>
                <w:szCs w:val="36"/>
              </w:rPr>
              <w:t xml:space="preserve">—  Delivery Risk Intelligence</w:t>
            </w:r>
          </w:p>
          <w:p>
            <w:r>
              <w:rPr>
                <w:rFonts w:ascii="Arial" w:cs="Arial" w:eastAsia="Arial" w:hAnsi="Arial"/>
                <w:color w:val="FAECE7"/>
                <w:sz w:val="22"/>
                <w:szCs w:val="22"/>
              </w:rPr>
              <w:t xml:space="preserve">Board-level engineering visibility · Month 15–24</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By Phase 5, EngineIQ has accumulated months of engineering data per client: PR review history, drift scores, test quality trends, and requirement clarity patterns. Delivery Risk Intelligence synthesises all of this into sprint-level and portfolio-level forecasting.</w:t>
      </w:r>
    </w:p>
    <w:p>
      <w:pPr>
        <w:spacing w:after="80"/>
      </w:pPr>
      <w:r>
        <w:t xml:space="preserve"/>
      </w:r>
    </w:p>
    <w:p>
      <w:pPr>
        <w:spacing w:after="120"/>
      </w:pPr>
      <w:r>
        <w:rPr>
          <w:rFonts w:ascii="Arial" w:cs="Arial" w:eastAsia="Arial" w:hAnsi="Arial"/>
          <w:color w:val="1A1A2E"/>
          <w:sz w:val="22"/>
          <w:szCs w:val="22"/>
        </w:rPr>
        <w:t xml:space="preserve">This is where EngineIQ stops being a developer tool and becomes an executive tool. The CTO can walk into a board meeting with a data-backed probability of sprint delivery, an architectural debt trajectory, and a change failure rate trend. No other SA-built tool is doing this.</w:t>
      </w:r>
    </w:p>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Sprint failure probability</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Using velocity trends, spillover history, story size distribution, and current sprint state to predict delivery risk.</w:t>
            </w:r>
          </w:p>
        </w:tc>
      </w:tr>
      <w:tr>
        <w:tc>
          <w:tcPr>
            <w:tcW w:type="dxa" w:w="3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Overcommitment detection</w:t>
            </w:r>
          </w:p>
        </w:tc>
        <w:tc>
          <w:tcPr>
            <w:tcW w:type="dxa" w:w="616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Flags sprints where team capacity vs committed story points creates statistically likely spillover.</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Architecture debt growth rate</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Projects the drift score trajectory at current merge rate. Estimates when technical debt becomes critical.</w:t>
            </w:r>
          </w:p>
        </w:tc>
      </w:tr>
      <w:tr>
        <w:tc>
          <w:tcPr>
            <w:tcW w:type="dxa" w:w="3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DORA metric tracking</w:t>
            </w:r>
          </w:p>
        </w:tc>
        <w:tc>
          <w:tcPr>
            <w:tcW w:type="dxa" w:w="616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Deployment frequency, lead time, change failure rate, MTTR — tracked and trended automatically.</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Engineering health score</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composite 0–100 score combining drift, test quality, review depth, velocity stability, and defect rate.</w:t>
            </w:r>
          </w:p>
        </w:tc>
      </w:tr>
      <w:tr>
        <w:tc>
          <w:tcPr>
            <w:tcW w:type="dxa" w:w="3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Board-level report</w:t>
            </w:r>
          </w:p>
        </w:tc>
        <w:tc>
          <w:tcPr>
            <w:tcW w:type="dxa" w:w="616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Auto-generated monthly PDF report. Executive summary + engineering health metrics. Branded for the client.</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Risk forecast API</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REST API for clients to integrate EngineIQ data into their own BI tooling or project management dashboards.</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Technical Build</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Build EngineIQ.DeliveryEngine — sprint data ingestion, forecasting model, DORA calculator.</w:t>
      </w:r>
    </w:p>
    <w:p>
      <w:pPr>
        <w:pStyle w:val="ListParagraph"/>
        <w:numPr>
          <w:ilvl w:val="0"/>
          <w:numId w:val="2"/>
        </w:numPr>
        <w:spacing w:after="80"/>
      </w:pPr>
      <w:r>
        <w:rPr>
          <w:rFonts w:ascii="Arial" w:cs="Arial" w:eastAsia="Arial" w:hAnsi="Arial"/>
          <w:color w:val="1A1A2E"/>
          <w:sz w:val="22"/>
          <w:szCs w:val="22"/>
        </w:rPr>
        <w:t xml:space="preserve">Integrate with Jira and Linear for sprint data (velocity, story points, spillover history).</w:t>
      </w:r>
    </w:p>
    <w:p>
      <w:pPr>
        <w:pStyle w:val="ListParagraph"/>
        <w:numPr>
          <w:ilvl w:val="0"/>
          <w:numId w:val="2"/>
        </w:numPr>
        <w:spacing w:after="80"/>
      </w:pPr>
      <w:r>
        <w:rPr>
          <w:rFonts w:ascii="Arial" w:cs="Arial" w:eastAsia="Arial" w:hAnsi="Arial"/>
          <w:color w:val="1A1A2E"/>
          <w:sz w:val="22"/>
          <w:szCs w:val="22"/>
        </w:rPr>
        <w:t xml:space="preserve">Build ML forecasting pipeline — train on accumulated client data to improve prediction accuracy.</w:t>
      </w:r>
    </w:p>
    <w:p>
      <w:pPr>
        <w:pStyle w:val="ListParagraph"/>
        <w:numPr>
          <w:ilvl w:val="0"/>
          <w:numId w:val="2"/>
        </w:numPr>
        <w:spacing w:after="80"/>
      </w:pPr>
      <w:r>
        <w:rPr>
          <w:rFonts w:ascii="Arial" w:cs="Arial" w:eastAsia="Arial" w:hAnsi="Arial"/>
          <w:color w:val="1A1A2E"/>
          <w:sz w:val="22"/>
          <w:szCs w:val="22"/>
        </w:rPr>
        <w:t xml:space="preserve">Build board-level PDF report generator — auto-scheduled, client-branded, emailed monthly.</w:t>
      </w:r>
    </w:p>
    <w:p>
      <w:pPr>
        <w:pStyle w:val="ListParagraph"/>
        <w:numPr>
          <w:ilvl w:val="0"/>
          <w:numId w:val="2"/>
        </w:numPr>
        <w:spacing w:after="80"/>
      </w:pPr>
      <w:r>
        <w:rPr>
          <w:rFonts w:ascii="Arial" w:cs="Arial" w:eastAsia="Arial" w:hAnsi="Arial"/>
          <w:color w:val="1A1A2E"/>
          <w:sz w:val="22"/>
          <w:szCs w:val="22"/>
        </w:rPr>
        <w:t xml:space="preserve">Expose EngineIQ metrics via REST API — enables client BI integrations.</w:t>
      </w:r>
    </w:p>
    <w:p>
      <w:pPr>
        <w:spacing w:after="160"/>
      </w:pPr>
      <w:r>
        <w:t xml:space="preserve"/>
      </w:r>
    </w:p>
    <w:p>
      <w:pPr>
        <w:pStyle w:val="Heading2"/>
        <w:spacing w:before="300" w:after="100"/>
      </w:pPr>
      <w:r>
        <w:rPr>
          <w:rFonts w:ascii="Arial" w:cs="Arial" w:eastAsia="Arial" w:hAnsi="Arial"/>
          <w:b/>
          <w:bCs/>
          <w:color w:val="0F6E56"/>
          <w:sz w:val="30"/>
          <w:szCs w:val="30"/>
        </w:rPr>
        <w:t xml:space="preserve">Why This Is the Stickiest Module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85A30" w:val="clear"/>
            <w:tcMar>
              <w:top w:type="dxa" w:w="140"/>
              <w:left w:type="dxa" w:w="120"/>
              <w:bottom w:type="dxa" w:w="140"/>
              <w:right w:type="dxa" w:w="120"/>
            </w:tcMar>
          </w:tcPr>
          <w:p>
            <w:pPr>
              <w:jc w:val="center"/>
            </w:pPr>
            <w:r>
              <w:rPr>
                <w:rFonts w:ascii="Arial" w:cs="Arial" w:eastAsia="Arial" w:hAnsi="Arial"/>
                <w:b/>
                <w:bCs/>
                <w:color w:val="FFFFFF"/>
                <w:sz w:val="18"/>
                <w:szCs w:val="18"/>
              </w:rPr>
              <w:t xml:space="preserve">RETENTION</w:t>
            </w:r>
          </w:p>
        </w:tc>
        <w:tc>
          <w:tcPr>
            <w:tcW w:type="dxa" w:w="89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r>
              <w:rPr>
                <w:rFonts w:ascii="Arial" w:cs="Arial" w:eastAsia="Arial" w:hAnsi="Arial"/>
                <w:color w:val="1A1A2E"/>
                <w:sz w:val="20"/>
                <w:szCs w:val="20"/>
              </w:rPr>
              <w:t xml:space="preserve">When a CTO presents EngineIQ data to their board, the tool becomes institutionalised. It is no longer a developer tool someone can cancel — it is a governance tool the organisation depends on. Churn risk drops dramatically at this point. Target: &lt; 5% annual churn for clients using Delivery Risk Intelligence.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556" w:val="clear"/>
            <w:tcMar>
              <w:top w:type="dxa" w:w="200"/>
              <w:left w:type="dxa" w:w="320"/>
              <w:bottom w:type="dxa" w:w="200"/>
              <w:right w:type="dxa" w:w="320"/>
            </w:tcMar>
          </w:tcPr>
          <w:p>
            <w:pPr>
              <w:spacing w:after="40"/>
            </w:pPr>
            <w:r>
              <w:rPr>
                <w:rFonts w:ascii="Arial" w:cs="Arial" w:eastAsia="Arial" w:hAnsi="Arial"/>
                <w:b/>
                <w:bCs/>
                <w:color w:val="FFFFFF"/>
                <w:sz w:val="36"/>
                <w:szCs w:val="36"/>
              </w:rPr>
              <w:t xml:space="preserve">Phase 6  </w:t>
            </w:r>
            <w:r>
              <w:rPr>
                <w:rFonts w:ascii="Arial" w:cs="Arial" w:eastAsia="Arial" w:hAnsi="Arial"/>
                <w:b/>
                <w:bCs/>
                <w:color w:val="FFFFFF"/>
                <w:sz w:val="36"/>
                <w:szCs w:val="36"/>
              </w:rPr>
              <w:t xml:space="preserve">—  Runtime &amp; Incident Intelligence</w:t>
            </w:r>
          </w:p>
          <w:p>
            <w:r>
              <w:rPr>
                <w:rFonts w:ascii="Arial" w:cs="Arial" w:eastAsia="Arial" w:hAnsi="Arial"/>
                <w:color w:val="FBEAF0"/>
                <w:sz w:val="22"/>
                <w:szCs w:val="22"/>
              </w:rPr>
              <w:t xml:space="preserve">Close the loop — production back to requirements · Month 18–30</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Overview</w:t>
      </w:r>
    </w:p>
    <w:p>
      <w:pPr>
        <w:spacing w:after="120"/>
      </w:pPr>
      <w:r>
        <w:rPr>
          <w:rFonts w:ascii="Arial" w:cs="Arial" w:eastAsia="Arial" w:hAnsi="Arial"/>
          <w:color w:val="1A1A2E"/>
          <w:sz w:val="22"/>
          <w:szCs w:val="22"/>
        </w:rPr>
        <w:t xml:space="preserve">Phase 6 closes the loop. EngineIQ now has data from requirements (Phase 3), through architecture (Phase 2), PRs (Phase 1), tests (Phase 4), and delivery (Phase 5). Phase 6 connects this to what actually happens in production — incidents, errors, and runtime behaviour.</w:t>
      </w:r>
    </w:p>
    <w:p>
      <w:pPr>
        <w:spacing w:after="80"/>
      </w:pPr>
      <w:r>
        <w:t xml:space="preserve"/>
      </w:r>
    </w:p>
    <w:p>
      <w:pPr>
        <w:spacing w:after="120"/>
      </w:pPr>
      <w:r>
        <w:rPr>
          <w:rFonts w:ascii="Arial" w:cs="Arial" w:eastAsia="Arial" w:hAnsi="Arial"/>
          <w:color w:val="1A1A2E"/>
          <w:sz w:val="22"/>
          <w:szCs w:val="22"/>
        </w:rPr>
        <w:t xml:space="preserve">When a production incident occurs, EngineIQ can correlate it back to the PR that introduced the change, the architectural violation that was flagged but overridden, and the test that was never written. That correlation is the ultimate proof of value — and it closes the intelligence loop back to requirements.</w:t>
      </w:r>
    </w:p>
    <w:p>
      <w:pPr>
        <w:spacing w:after="160"/>
      </w:pPr>
      <w:r>
        <w:t xml:space="preserve"/>
      </w:r>
    </w:p>
    <w:p>
      <w:pPr>
        <w:pStyle w:val="Heading2"/>
        <w:spacing w:before="300" w:after="100"/>
      </w:pPr>
      <w:r>
        <w:rPr>
          <w:rFonts w:ascii="Arial" w:cs="Arial" w:eastAsia="Arial" w:hAnsi="Arial"/>
          <w:b/>
          <w:bCs/>
          <w:color w:val="0F6E56"/>
          <w:sz w:val="30"/>
          <w:szCs w:val="30"/>
        </w:rPr>
        <w:t xml:space="preserve">Capabilities Delivered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Capability</w:t>
            </w:r>
          </w:p>
        </w:tc>
        <w:tc>
          <w:tcPr>
            <w:tcW w:type="dxa" w:w="61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 and trace ingestion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Reads structured logs, distributed traces, and metrics from Azure Monitor, Datadog, or custom endpoints.</w:t>
            </w:r>
          </w:p>
        </w:tc>
      </w:tr>
      <w:tr>
        <w:tc>
          <w:tcPr>
            <w:tcW w:type="dxa" w:w="320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Deployment diff correlation</w:t>
            </w:r>
          </w:p>
        </w:tc>
        <w:tc>
          <w:tcPr>
            <w:tcW w:type="dxa" w:w="616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Correlates incidents with the most recent deployment. Links to the PR, diff, and findings that shipped.</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Root cause hypothesis generation</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 analyses logs + deployment diff to generate ranked root cause hypotheses with supporting evidence.</w:t>
            </w:r>
          </w:p>
        </w:tc>
      </w:tr>
      <w:tr>
        <w:tc>
          <w:tcPr>
            <w:tcW w:type="dxa" w:w="320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Incident summarisation</w:t>
            </w:r>
          </w:p>
        </w:tc>
        <w:tc>
          <w:tcPr>
            <w:tcW w:type="dxa" w:w="616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Generates a human-readable incident summary from raw telemetry — severity, affected services, likely cause, blast radius.</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Auto-drafted post-mortems</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Produces a structured post-mortem draft from incident timeline, root cause, and remediation actions. Human reviews and publishes.</w:t>
            </w:r>
          </w:p>
        </w:tc>
      </w:tr>
      <w:tr>
        <w:tc>
          <w:tcPr>
            <w:tcW w:type="dxa" w:w="320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MTTR tracking</w:t>
            </w:r>
          </w:p>
        </w:tc>
        <w:tc>
          <w:tcPr>
            <w:tcW w:type="dxa" w:w="616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Tracks mean time to recovery per incident type, team, and service. Feeds into DORA metrics.</w:t>
            </w:r>
          </w:p>
        </w:tc>
      </w:tr>
      <w:tr>
        <w:tc>
          <w:tcPr>
            <w:tcW w:type="dxa" w:w="3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Findings-to-incident linkage</w:t>
            </w:r>
          </w:p>
        </w:tc>
        <w:tc>
          <w:tcPr>
            <w:tcW w:type="dxa" w:w="61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Retroactively links incidents to EngineIQ findings that were overridden or not actioned. Builds institutional learning.</w:t>
            </w:r>
          </w:p>
        </w:tc>
      </w:tr>
      <w:tr>
        <w:tc>
          <w:tcPr>
            <w:tcW w:type="dxa" w:w="320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Loop-close reporting</w:t>
            </w:r>
          </w:p>
        </w:tc>
        <w:tc>
          <w:tcPr>
            <w:tcW w:type="dxa" w:w="6160"/>
            <w:gridSpan w:val="1"/>
            <w:tcBorders>
              <w:top w:val="single" w:color="D3D1C7" w:sz="1"/>
              <w:left w:val="single" w:color="D3D1C7" w:sz="1"/>
              <w:bottom w:val="single" w:color="D3D1C7" w:sz="1"/>
              <w:right w:val="single" w:color="D3D1C7" w:sz="1"/>
            </w:tcBorders>
            <w:shd w:fill="FBEA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Monthly report showing the journey from requirement → PR finding → incident → fix. Quantifies the cost of ignored findings.</w:t>
            </w:r>
          </w:p>
        </w:tc>
      </w:tr>
    </w:tbl>
    <w:p>
      <w:pPr>
        <w:spacing w:after="160"/>
      </w:pPr>
      <w:r>
        <w:t xml:space="preserve"/>
      </w:r>
    </w:p>
    <w:p>
      <w:pPr>
        <w:pStyle w:val="Heading2"/>
        <w:spacing w:before="300" w:after="100"/>
      </w:pPr>
      <w:r>
        <w:rPr>
          <w:rFonts w:ascii="Arial" w:cs="Arial" w:eastAsia="Arial" w:hAnsi="Arial"/>
          <w:b/>
          <w:bCs/>
          <w:color w:val="0F6E56"/>
          <w:sz w:val="30"/>
          <w:szCs w:val="30"/>
        </w:rPr>
        <w:t xml:space="preserve">The Data Flywheel</w:t>
      </w:r>
    </w:p>
    <w:p>
      <w:pPr>
        <w:spacing w:after="80"/>
      </w:pPr>
      <w:r>
        <w:t xml:space="preserve"/>
      </w:r>
    </w:p>
    <w:p>
      <w:pPr>
        <w:spacing w:after="120"/>
      </w:pPr>
      <w:r>
        <w:rPr>
          <w:rFonts w:ascii="Arial" w:cs="Arial" w:eastAsia="Arial" w:hAnsi="Arial"/>
          <w:color w:val="1A1A2E"/>
          <w:sz w:val="22"/>
          <w:szCs w:val="22"/>
        </w:rPr>
        <w:t xml:space="preserve">By Phase 6, EngineIQ has accumulated something no global competitor can replicate for the SA market: months of engineering data across SA FinTech and HealthTech teams, including incident patterns, architectural drift trajectories, delivery velocity benchmarks, and defect root causes specific to the SA development ecosystem.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537E" w:val="clear"/>
            <w:tcMar>
              <w:top w:type="dxa" w:w="140"/>
              <w:left w:type="dxa" w:w="120"/>
              <w:bottom w:type="dxa" w:w="140"/>
              <w:right w:type="dxa" w:w="120"/>
            </w:tcMar>
          </w:tcPr>
          <w:p>
            <w:pPr>
              <w:jc w:val="center"/>
            </w:pPr>
            <w:r>
              <w:rPr>
                <w:rFonts w:ascii="Arial" w:cs="Arial" w:eastAsia="Arial" w:hAnsi="Arial"/>
                <w:b/>
                <w:bCs/>
                <w:color w:val="FFFFFF"/>
                <w:sz w:val="18"/>
                <w:szCs w:val="18"/>
              </w:rPr>
              <w:t xml:space="preserve">MOAT</w:t>
            </w:r>
          </w:p>
        </w:tc>
        <w:tc>
          <w:tcPr>
            <w:tcW w:type="dxa" w:w="8960"/>
            <w:tcBorders>
              <w:top w:val="none" w:color="FFFFFF" w:sz="0"/>
              <w:left w:val="none" w:color="FFFFFF" w:sz="0"/>
              <w:bottom w:val="none" w:color="FFFFFF" w:sz="0"/>
              <w:right w:val="none" w:color="FFFFFF" w:sz="0"/>
            </w:tcBorders>
            <w:shd w:fill="FBEAF0" w:val="clear"/>
            <w:tcMar>
              <w:top w:type="dxa" w:w="140"/>
              <w:left w:type="dxa" w:w="200"/>
              <w:bottom w:type="dxa" w:w="140"/>
              <w:right w:type="dxa" w:w="200"/>
            </w:tcMar>
          </w:tcPr>
          <w:p>
            <w:r>
              <w:rPr>
                <w:rFonts w:ascii="Arial" w:cs="Arial" w:eastAsia="Arial" w:hAnsi="Arial"/>
                <w:color w:val="1A1A2E"/>
                <w:sz w:val="20"/>
                <w:szCs w:val="20"/>
              </w:rPr>
              <w:t xml:space="preserve">This data becomes EngineIQ's proprietary benchmark set. Clients can be told: "Your change failure rate is 2.3x the SA FinTech average for a team your size. Here is what high-performing SA teams do differently." That benchmark intelligence is the long-term defensible asset — no overseas competitor will ever have it.</w:t>
            </w:r>
          </w:p>
        </w:tc>
      </w:tr>
    </w:tbl>
    <w:p>
      <w:pPr>
        <w:spacing w:after="120"/>
      </w:pPr>
      <w:r>
        <w:t xml:space="preserve"/>
      </w:r>
    </w:p>
    <w:p>
      <w:r>
        <w:br w:type="page"/>
      </w:r>
    </w:p>
    <w:p>
      <w:pPr>
        <w:pStyle w:val="Heading1"/>
        <w:pBdr>
          <w:bottom w:val="single" w:color="0F6E56" w:sz="6" w:space="4"/>
        </w:pBdr>
        <w:spacing w:before="400" w:after="140"/>
      </w:pPr>
      <w:r>
        <w:rPr>
          <w:rFonts w:ascii="Arial" w:cs="Arial" w:eastAsia="Arial" w:hAnsi="Arial"/>
          <w:b/>
          <w:bCs/>
          <w:color w:val="1A1A2E"/>
          <w:sz w:val="40"/>
          <w:szCs w:val="40"/>
        </w:rPr>
        <w:t xml:space="preserve">Master Timeline</w:t>
      </w:r>
    </w:p>
    <w:p>
      <w:pPr>
        <w:spacing w:after="120"/>
      </w:pPr>
      <w:r>
        <w:rPr>
          <w:rFonts w:ascii="Arial" w:cs="Arial" w:eastAsia="Arial" w:hAnsi="Arial"/>
          <w:color w:val="1A1A2E"/>
          <w:sz w:val="22"/>
          <w:szCs w:val="22"/>
        </w:rPr>
        <w:t xml:space="preserve">The following table maps every phase across a 30-month horizon. Phases overlap deliberately — Phase 2 begins building while Phase 1 is in production hardening. The overlap is where client feedback from Phase 1 informs Phase 2 priorities.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80"/>
        <w:gridCol w:w="1280"/>
        <w:gridCol w:w="1280"/>
        <w:gridCol w:w="1280"/>
        <w:gridCol w:w="1280"/>
        <w:gridCol w:w="960"/>
      </w:tblGrid>
      <w:tr>
        <w:tc>
          <w:tcPr>
            <w:tcW w:type="dxa" w:w="2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Q1 2026</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Q2 2026</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Q3 2026</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Q4 2026</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Q1–Q2 2027</w:t>
            </w:r>
          </w:p>
        </w:tc>
        <w:tc>
          <w:tcPr>
            <w:tcW w:type="dxa" w:w="9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2027+</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1 — PR Review</w:t>
            </w:r>
          </w:p>
        </w:tc>
        <w:tc>
          <w:tcPr>
            <w:tcW w:type="dxa" w:w="12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 ▶</w:t>
            </w:r>
          </w:p>
        </w:tc>
        <w:tc>
          <w:tcPr>
            <w:tcW w:type="dxa" w:w="1280"/>
            <w:gridSpan w:val="1"/>
            <w:tcBorders>
              <w:top w:val="single" w:color="D3D1C7" w:sz="1"/>
              <w:left w:val="single" w:color="D3D1C7" w:sz="1"/>
              <w:bottom w:val="single" w:color="D3D1C7" w:sz="1"/>
              <w:right w:val="single" w:color="D3D1C7" w:sz="1"/>
            </w:tcBorders>
            <w:shd w:fill="1D9E75"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LIVE</w:t>
            </w:r>
          </w:p>
        </w:tc>
        <w:tc>
          <w:tcPr>
            <w:tcW w:type="dxa" w:w="128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center"/>
            </w:pPr>
            <w:r>
              <w:rPr>
                <w:rFonts w:ascii="Arial" w:cs="Arial" w:eastAsia="Arial" w:hAnsi="Arial"/>
                <w:b/>
                <w:bCs/>
                <w:color w:val="0F6E56"/>
                <w:sz w:val="20"/>
                <w:szCs w:val="20"/>
              </w:rPr>
              <w:t xml:space="preserve">SCALE</w:t>
            </w:r>
          </w:p>
        </w:tc>
        <w:tc>
          <w:tcPr>
            <w:tcW w:type="dxa" w:w="1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c>
          <w:tcPr>
            <w:tcW w:type="dxa" w:w="1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c>
          <w:tcPr>
            <w:tcW w:type="dxa" w:w="9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2 — Architecture Intel</w:t>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 ▶</w:t>
            </w:r>
          </w:p>
        </w:tc>
        <w:tc>
          <w:tcPr>
            <w:tcW w:type="dxa" w:w="1280"/>
            <w:gridSpan w:val="1"/>
            <w:tcBorders>
              <w:top w:val="single" w:color="D3D1C7" w:sz="1"/>
              <w:left w:val="single" w:color="D3D1C7" w:sz="1"/>
              <w:bottom w:val="single" w:color="D3D1C7" w:sz="1"/>
              <w:right w:val="single" w:color="D3D1C7" w:sz="1"/>
            </w:tcBorders>
            <w:shd w:fill="7F77D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LIVE</w:t>
            </w:r>
          </w:p>
        </w:tc>
        <w:tc>
          <w:tcPr>
            <w:tcW w:type="dxa" w:w="1280"/>
            <w:gridSpan w:val="1"/>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vAlign w:val="center"/>
          </w:tcPr>
          <w:p>
            <w:pPr>
              <w:jc w:val="center"/>
            </w:pPr>
            <w:r>
              <w:rPr>
                <w:rFonts w:ascii="Arial" w:cs="Arial" w:eastAsia="Arial" w:hAnsi="Arial"/>
                <w:b/>
                <w:bCs/>
                <w:color w:val="534AB7"/>
                <w:sz w:val="20"/>
                <w:szCs w:val="20"/>
              </w:rPr>
              <w:t xml:space="preserve">SCALE</w:t>
            </w:r>
          </w:p>
        </w:tc>
        <w:tc>
          <w:tcPr>
            <w:tcW w:type="dxa" w:w="12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c>
          <w:tcPr>
            <w:tcW w:type="dxa" w:w="9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3 — Requirements Intel</w:t>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shd w:fill="BA7517"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 ▶</w:t>
            </w:r>
          </w:p>
        </w:tc>
        <w:tc>
          <w:tcPr>
            <w:tcW w:type="dxa" w:w="1280"/>
            <w:gridSpan w:val="1"/>
            <w:tcBorders>
              <w:top w:val="single" w:color="D3D1C7" w:sz="1"/>
              <w:left w:val="single" w:color="D3D1C7" w:sz="1"/>
              <w:bottom w:val="single" w:color="D3D1C7" w:sz="1"/>
              <w:right w:val="single" w:color="D3D1C7" w:sz="1"/>
            </w:tcBorders>
            <w:shd w:fill="EF9F27"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LIVE</w:t>
            </w:r>
          </w:p>
        </w:tc>
        <w:tc>
          <w:tcPr>
            <w:tcW w:type="dxa" w:w="128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center"/>
            </w:pPr>
            <w:r>
              <w:rPr>
                <w:rFonts w:ascii="Arial" w:cs="Arial" w:eastAsia="Arial" w:hAnsi="Arial"/>
                <w:b/>
                <w:bCs/>
                <w:color w:val="BA7517"/>
                <w:sz w:val="20"/>
                <w:szCs w:val="20"/>
              </w:rPr>
              <w:t xml:space="preserve">SCALE</w:t>
            </w:r>
          </w:p>
        </w:tc>
        <w:tc>
          <w:tcPr>
            <w:tcW w:type="dxa" w:w="9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5F5E5A"/>
                <w:sz w:val="20"/>
                <w:szCs w:val="20"/>
              </w:rPr>
              <w:t xml:space="preserv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4 — Test Intelligence</w:t>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shd w:fill="185FA5"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 ▶</w:t>
            </w:r>
          </w:p>
        </w:tc>
        <w:tc>
          <w:tcPr>
            <w:tcW w:type="dxa" w:w="1280"/>
            <w:gridSpan w:val="1"/>
            <w:tcBorders>
              <w:top w:val="single" w:color="D3D1C7" w:sz="1"/>
              <w:left w:val="single" w:color="D3D1C7" w:sz="1"/>
              <w:bottom w:val="single" w:color="D3D1C7" w:sz="1"/>
              <w:right w:val="single" w:color="D3D1C7" w:sz="1"/>
            </w:tcBorders>
            <w:shd w:fill="378AD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LIVE</w:t>
            </w:r>
          </w:p>
        </w:tc>
        <w:tc>
          <w:tcPr>
            <w:tcW w:type="dxa" w:w="960"/>
            <w:gridSpan w:val="1"/>
            <w:tcBorders>
              <w:top w:val="single" w:color="D3D1C7" w:sz="1"/>
              <w:left w:val="single" w:color="D3D1C7" w:sz="1"/>
              <w:bottom w:val="single" w:color="D3D1C7" w:sz="1"/>
              <w:right w:val="single" w:color="D3D1C7" w:sz="1"/>
            </w:tcBorders>
            <w:shd w:fill="E6F1FB" w:val="clear"/>
            <w:tcMar>
              <w:top w:type="dxa" w:w="80"/>
              <w:left w:type="dxa" w:w="140"/>
              <w:bottom w:type="dxa" w:w="80"/>
              <w:right w:type="dxa" w:w="140"/>
            </w:tcMar>
            <w:vAlign w:val="center"/>
          </w:tcPr>
          <w:p>
            <w:pPr>
              <w:jc w:val="center"/>
            </w:pPr>
            <w:r>
              <w:rPr>
                <w:rFonts w:ascii="Arial" w:cs="Arial" w:eastAsia="Arial" w:hAnsi="Arial"/>
                <w:b/>
                <w:bCs/>
                <w:color w:val="185FA5"/>
                <w:sz w:val="20"/>
                <w:szCs w:val="20"/>
              </w:rPr>
              <w:t xml:space="preserve">SCALE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5 — Delivery Risk</w:t>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shd w:fill="993C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 ▶</w:t>
            </w:r>
          </w:p>
        </w:tc>
        <w:tc>
          <w:tcPr>
            <w:tcW w:type="dxa" w:w="960"/>
            <w:gridSpan w:val="1"/>
            <w:tcBorders>
              <w:top w:val="single" w:color="D3D1C7" w:sz="1"/>
              <w:left w:val="single" w:color="D3D1C7" w:sz="1"/>
              <w:bottom w:val="single" w:color="D3D1C7" w:sz="1"/>
              <w:right w:val="single" w:color="D3D1C7" w:sz="1"/>
            </w:tcBorders>
            <w:shd w:fill="D85A3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LIVE</w:t>
            </w:r>
          </w:p>
        </w:tc>
      </w:tr>
      <w:tr>
        <w:tc>
          <w:tcPr>
            <w:tcW w:type="dxa" w:w="22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6 — Runtime Intel</w:t>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2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960"/>
            <w:gridSpan w:val="1"/>
            <w:tcBorders>
              <w:top w:val="single" w:color="D3D1C7" w:sz="1"/>
              <w:left w:val="single" w:color="D3D1C7" w:sz="1"/>
              <w:bottom w:val="single" w:color="D3D1C7" w:sz="1"/>
              <w:right w:val="single" w:color="D3D1C7" w:sz="1"/>
            </w:tcBorders>
            <w:shd w:fill="9935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BUILD</w:t>
            </w:r>
          </w:p>
        </w:tc>
      </w:tr>
    </w:tbl>
    <w:p>
      <w:pPr>
        <w:spacing w:after="200"/>
      </w:pPr>
      <w:r>
        <w:t xml:space="preserve"/>
      </w:r>
    </w:p>
    <w:p>
      <w:pPr>
        <w:pStyle w:val="Heading2"/>
        <w:spacing w:before="300" w:after="100"/>
      </w:pPr>
      <w:r>
        <w:rPr>
          <w:rFonts w:ascii="Arial" w:cs="Arial" w:eastAsia="Arial" w:hAnsi="Arial"/>
          <w:b/>
          <w:bCs/>
          <w:color w:val="0F6E56"/>
          <w:sz w:val="30"/>
          <w:szCs w:val="30"/>
        </w:rPr>
        <w:t xml:space="preserve">Revenue Progression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680"/>
      </w:tblGrid>
      <w:tr>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Period</w:t>
            </w:r>
          </w:p>
        </w:tc>
        <w:tc>
          <w:tcPr>
            <w:tcW w:type="dxa" w:w="17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Clients</w:t>
            </w:r>
          </w:p>
        </w:tc>
        <w:tc>
          <w:tcPr>
            <w:tcW w:type="dxa" w:w="17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ARPU / mo</w:t>
            </w:r>
          </w:p>
        </w:tc>
        <w:tc>
          <w:tcPr>
            <w:tcW w:type="dxa" w:w="17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MRR Target</w:t>
            </w:r>
          </w:p>
        </w:tc>
        <w:tc>
          <w:tcPr>
            <w:tcW w:type="dxa" w:w="168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 Active</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1–5 (Phase 1)</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1–5</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3,500</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17,500</w:t>
            </w:r>
          </w:p>
        </w:tc>
        <w:tc>
          <w:tcPr>
            <w:tcW w:type="dxa" w:w="16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Phase 1</w:t>
            </w:r>
          </w:p>
        </w:tc>
      </w:tr>
      <w:tr>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6–12 (Phase 2)</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5–15</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5,500</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82,500</w:t>
            </w:r>
          </w:p>
        </w:tc>
        <w:tc>
          <w:tcPr>
            <w:tcW w:type="dxa" w:w="16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Phase 1–2</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12–18 (Phase 3–4)</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15–30</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7,500</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225,000</w:t>
            </w:r>
          </w:p>
        </w:tc>
        <w:tc>
          <w:tcPr>
            <w:tcW w:type="dxa" w:w="16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Phase 1–4</w:t>
            </w:r>
          </w:p>
        </w:tc>
      </w:tr>
      <w:tr>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18–24 (Phase 5)</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30–60</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9,500</w:t>
            </w:r>
          </w:p>
        </w:tc>
        <w:tc>
          <w:tcPr>
            <w:tcW w:type="dxa" w:w="17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570,000</w:t>
            </w:r>
          </w:p>
        </w:tc>
        <w:tc>
          <w:tcPr>
            <w:tcW w:type="dxa" w:w="168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Phase 1–5</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 24–30 (Phase 6)</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60–100</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12,000</w:t>
            </w:r>
          </w:p>
        </w:tc>
        <w:tc>
          <w:tcPr>
            <w:tcW w:type="dxa" w:w="17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 1,200,000</w:t>
            </w:r>
          </w:p>
        </w:tc>
        <w:tc>
          <w:tcPr>
            <w:tcW w:type="dxa" w:w="168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Phase 1–6</w:t>
            </w:r>
          </w:p>
        </w:tc>
      </w:tr>
    </w:tbl>
    <w:p>
      <w:pPr>
        <w:spacing w:after="120"/>
      </w:pPr>
      <w:r>
        <w:t xml:space="preserve"/>
      </w:r>
    </w:p>
    <w:p>
      <w:r>
        <w:br w:type="page"/>
      </w:r>
    </w:p>
    <w:p>
      <w:pPr>
        <w:pStyle w:val="Heading1"/>
        <w:pBdr>
          <w:bottom w:val="single" w:color="0F6E56" w:sz="6" w:space="4"/>
        </w:pBdr>
        <w:spacing w:before="400" w:after="140"/>
      </w:pPr>
      <w:r>
        <w:rPr>
          <w:rFonts w:ascii="Arial" w:cs="Arial" w:eastAsia="Arial" w:hAnsi="Arial"/>
          <w:b/>
          <w:bCs/>
          <w:color w:val="1A1A2E"/>
          <w:sz w:val="40"/>
          <w:szCs w:val="40"/>
        </w:rPr>
        <w:t xml:space="preserve">Risk Register &amp; Governance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2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c>
          <w:tcPr>
            <w:tcW w:type="dxa" w:w="33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c>
          <w:tcPr>
            <w:tcW w:type="dxa" w:w="24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False positive rate erodes developer trust</w:t>
            </w:r>
          </w:p>
        </w:tc>
        <w:tc>
          <w:tcPr>
            <w:tcW w:type="dxa" w:w="1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center"/>
            </w:pPr>
            <w:r>
              <w:rPr>
                <w:rFonts w:ascii="Arial" w:cs="Arial" w:eastAsia="Arial" w:hAnsi="Arial"/>
                <w:b/>
                <w:bCs/>
                <w:color w:val="993C1D"/>
                <w:sz w:val="20"/>
                <w:szCs w:val="20"/>
              </w:rPr>
              <w:t xml:space="preserve">HIGH</w:t>
            </w:r>
          </w:p>
        </w:tc>
        <w:tc>
          <w:tcPr>
            <w:tcW w:type="dxa" w:w="3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Configurable rules + developer override mechanism. Target &lt; 15%. Monitored weekly.</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Product + Engineering</w:t>
            </w:r>
          </w:p>
        </w:tc>
      </w:tr>
      <w:tr>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Azure OpenAI latency spikes break 90s SLA</w:t>
            </w:r>
          </w:p>
        </w:tc>
        <w:tc>
          <w:tcPr>
            <w:tcW w:type="dxa" w:w="1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center"/>
            </w:pPr>
            <w:r>
              <w:rPr>
                <w:rFonts w:ascii="Arial" w:cs="Arial" w:eastAsia="Arial" w:hAnsi="Arial"/>
                <w:b/>
                <w:bCs/>
                <w:color w:val="BA7517"/>
                <w:sz w:val="20"/>
                <w:szCs w:val="20"/>
              </w:rPr>
              <w:t xml:space="preserve">MEDIUM</w:t>
            </w:r>
          </w:p>
        </w:tc>
        <w:tc>
          <w:tcPr>
            <w:tcW w:type="dxa" w:w="3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Async processing decouples webhook from review. Dead-letter queue for retries. Chunking for large PRs.</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Engineering</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IP sensitivity prevents trial adoption</w:t>
            </w:r>
          </w:p>
        </w:tc>
        <w:tc>
          <w:tcPr>
            <w:tcW w:type="dxa" w:w="1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center"/>
            </w:pPr>
            <w:r>
              <w:rPr>
                <w:rFonts w:ascii="Arial" w:cs="Arial" w:eastAsia="Arial" w:hAnsi="Arial"/>
                <w:b/>
                <w:bCs/>
                <w:color w:val="993C1D"/>
                <w:sz w:val="20"/>
                <w:szCs w:val="20"/>
              </w:rPr>
              <w:t xml:space="preserve">HIGH</w:t>
            </w:r>
          </w:p>
        </w:tc>
        <w:tc>
          <w:tcPr>
            <w:tcW w:type="dxa" w:w="3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POPIA compliance, ephemeral processing, DPA template, Azure SA North residency. Lead with these in sales.</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Sales + Legal</w:t>
            </w:r>
          </w:p>
        </w:tc>
      </w:tr>
      <w:tr>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Scope creep delays Phase 1 delivery</w:t>
            </w:r>
          </w:p>
        </w:tc>
        <w:tc>
          <w:tcPr>
            <w:tcW w:type="dxa" w:w="1200"/>
            <w:gridSpan w:val="1"/>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vAlign w:val="center"/>
          </w:tcPr>
          <w:p>
            <w:pPr>
              <w:jc w:val="center"/>
            </w:pPr>
            <w:r>
              <w:rPr>
                <w:rFonts w:ascii="Arial" w:cs="Arial" w:eastAsia="Arial" w:hAnsi="Arial"/>
                <w:b/>
                <w:bCs/>
                <w:color w:val="993C1D"/>
                <w:sz w:val="20"/>
                <w:szCs w:val="20"/>
              </w:rPr>
              <w:t xml:space="preserve">HIGH</w:t>
            </w:r>
          </w:p>
        </w:tc>
        <w:tc>
          <w:tcPr>
            <w:tcW w:type="dxa" w:w="3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Strict milestone gating. Phase 2 does not begin until Phase 1 has paying clients.</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Global competitor enters SA market</w:t>
            </w:r>
          </w:p>
        </w:tc>
        <w:tc>
          <w:tcPr>
            <w:tcW w:type="dxa" w:w="1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center"/>
            </w:pPr>
            <w:r>
              <w:rPr>
                <w:rFonts w:ascii="Arial" w:cs="Arial" w:eastAsia="Arial" w:hAnsi="Arial"/>
                <w:b/>
                <w:bCs/>
                <w:color w:val="BA7517"/>
                <w:sz w:val="20"/>
                <w:szCs w:val="20"/>
              </w:rPr>
              <w:t xml:space="preserve">MEDIUM</w:t>
            </w:r>
          </w:p>
        </w:tc>
        <w:tc>
          <w:tcPr>
            <w:tcW w:type="dxa" w:w="3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POPIA compliance and rand pricing are structural advantages. SA-specific benchmark data builds moat over time.</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Product</w:t>
            </w:r>
          </w:p>
        </w:tc>
      </w:tr>
      <w:tr>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Azure SA North capacity constraints</w:t>
            </w:r>
          </w:p>
        </w:tc>
        <w:tc>
          <w:tcPr>
            <w:tcW w:type="dxa" w:w="1200"/>
            <w:gridSpan w:val="1"/>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vAlign w:val="center"/>
          </w:tcPr>
          <w:p>
            <w:pPr>
              <w:jc w:val="center"/>
            </w:pPr>
            <w:r>
              <w:rPr>
                <w:rFonts w:ascii="Arial" w:cs="Arial" w:eastAsia="Arial" w:hAnsi="Arial"/>
                <w:b/>
                <w:bCs/>
                <w:color w:val="0F6E56"/>
                <w:sz w:val="20"/>
                <w:szCs w:val="20"/>
              </w:rPr>
              <w:t xml:space="preserve">LOW</w:t>
            </w:r>
          </w:p>
        </w:tc>
        <w:tc>
          <w:tcPr>
            <w:tcW w:type="dxa" w:w="3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Monitor capacity limits early. Container Apps scale horizontally. Service Bus absorbs spikes.</w:t>
            </w:r>
          </w:p>
        </w:tc>
        <w:tc>
          <w:tcPr>
            <w:tcW w:type="dxa" w:w="24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Engineering</w:t>
            </w:r>
          </w:p>
        </w:tc>
      </w:tr>
      <w:tr>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Over-reliance on Azure OpenAI pricing</w:t>
            </w:r>
          </w:p>
        </w:tc>
        <w:tc>
          <w:tcPr>
            <w:tcW w:type="dxa" w:w="1200"/>
            <w:gridSpan w:val="1"/>
            <w:tcBorders>
              <w:top w:val="single" w:color="D3D1C7" w:sz="1"/>
              <w:left w:val="single" w:color="D3D1C7" w:sz="1"/>
              <w:bottom w:val="single" w:color="D3D1C7" w:sz="1"/>
              <w:right w:val="single" w:color="D3D1C7" w:sz="1"/>
            </w:tcBorders>
            <w:shd w:fill="FAEEDA" w:val="clear"/>
            <w:tcMar>
              <w:top w:type="dxa" w:w="80"/>
              <w:left w:type="dxa" w:w="140"/>
              <w:bottom w:type="dxa" w:w="80"/>
              <w:right w:type="dxa" w:w="140"/>
            </w:tcMar>
            <w:vAlign w:val="center"/>
          </w:tcPr>
          <w:p>
            <w:pPr>
              <w:jc w:val="center"/>
            </w:pPr>
            <w:r>
              <w:rPr>
                <w:rFonts w:ascii="Arial" w:cs="Arial" w:eastAsia="Arial" w:hAnsi="Arial"/>
                <w:b/>
                <w:bCs/>
                <w:color w:val="BA7517"/>
                <w:sz w:val="20"/>
                <w:szCs w:val="20"/>
              </w:rPr>
              <w:t xml:space="preserve">MEDIUM</w:t>
            </w:r>
          </w:p>
        </w:tc>
        <w:tc>
          <w:tcPr>
            <w:tcW w:type="dxa" w:w="3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Deterministic rules handle high-volume low-cost checks. AI reserved for complex analysis. Token budget per PR enforced.</w:t>
            </w:r>
          </w:p>
        </w:tc>
        <w:tc>
          <w:tcPr>
            <w:tcW w:type="dxa" w:w="24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Engineering</w:t>
            </w:r>
          </w:p>
        </w:tc>
      </w:tr>
    </w:tbl>
    <w:p>
      <w:pPr>
        <w:spacing w:after="200"/>
      </w:pPr>
      <w:r>
        <w:t xml:space="preserve"/>
      </w:r>
    </w:p>
    <w:p>
      <w:pPr>
        <w:pStyle w:val="Heading2"/>
        <w:spacing w:before="300" w:after="100"/>
      </w:pPr>
      <w:r>
        <w:rPr>
          <w:rFonts w:ascii="Arial" w:cs="Arial" w:eastAsia="Arial" w:hAnsi="Arial"/>
          <w:b/>
          <w:bCs/>
          <w:color w:val="0F6E56"/>
          <w:sz w:val="30"/>
          <w:szCs w:val="30"/>
        </w:rPr>
        <w:t xml:space="preserve">Phase Gate Criteria</w:t>
      </w:r>
    </w:p>
    <w:p>
      <w:pPr>
        <w:spacing w:after="120"/>
      </w:pPr>
      <w:r>
        <w:rPr>
          <w:rFonts w:ascii="Arial" w:cs="Arial" w:eastAsia="Arial" w:hAnsi="Arial"/>
          <w:color w:val="1A1A2E"/>
          <w:sz w:val="22"/>
          <w:szCs w:val="22"/>
        </w:rPr>
        <w:t xml:space="preserve">No phase begins until the previous phase has met its gate criteria. This prevents building complexity on an unvalidated foundation.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Gate</w:t>
            </w:r>
          </w:p>
        </w:tc>
        <w:tc>
          <w:tcPr>
            <w:tcW w:type="dxa" w:w="7360"/>
            <w:gridSpan w:val="1"/>
            <w:tcBorders>
              <w:top w:val="single" w:color="D3D1C7" w:sz="1"/>
              <w:left w:val="single" w:color="D3D1C7" w:sz="1"/>
              <w:bottom w:val="single" w:color="D3D1C7" w:sz="1"/>
              <w:right w:val="single" w:color="D3D1C7" w:sz="1"/>
            </w:tcBorders>
            <w:shd w:fill="0F6E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Criteria to begin next phase</w:t>
            </w:r>
          </w:p>
        </w:tc>
      </w:tr>
      <w:tr>
        <w:tc>
          <w:tcPr>
            <w:tcW w:type="dxa" w:w="20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 1 → 2</w:t>
            </w:r>
          </w:p>
        </w:tc>
        <w:tc>
          <w:tcPr>
            <w:tcW w:type="dxa" w:w="7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 paying clients active. False positive rate &lt; 15% sustained for 30 days. PR review SLA met consistently.</w:t>
            </w:r>
          </w:p>
        </w:tc>
      </w:tr>
      <w:tr>
        <w:tc>
          <w:tcPr>
            <w:tcW w:type="dxa" w:w="20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 2 → 3</w:t>
            </w:r>
          </w:p>
        </w:tc>
        <w:tc>
          <w:tcPr>
            <w:tcW w:type="dxa" w:w="7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 least 1 client upgraded from Starter to Growth using architecture drift report as trigger. Drift score validated by client tech lead.</w:t>
            </w:r>
          </w:p>
        </w:tc>
      </w:tr>
      <w:tr>
        <w:tc>
          <w:tcPr>
            <w:tcW w:type="dxa" w:w="20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 3 → 4</w:t>
            </w:r>
          </w:p>
        </w:tc>
        <w:tc>
          <w:tcPr>
            <w:tcW w:type="dxa" w:w="7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Requirements Intelligence integrated with at least 2 clients on Jira or Linear. Intent-to-implementation accuracy &gt; 70%.</w:t>
            </w:r>
          </w:p>
        </w:tc>
      </w:tr>
      <w:tr>
        <w:tc>
          <w:tcPr>
            <w:tcW w:type="dxa" w:w="200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 4 → 5</w:t>
            </w:r>
          </w:p>
        </w:tc>
        <w:tc>
          <w:tcPr>
            <w:tcW w:type="dxa" w:w="7360"/>
            <w:gridSpan w:val="1"/>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Generated test acceptance rate &gt; 35% sustained. Scale tier has at least 2 paying clients. Post-merge defect rate measurably declining.</w:t>
            </w:r>
          </w:p>
        </w:tc>
      </w:tr>
      <w:tr>
        <w:tc>
          <w:tcPr>
            <w:tcW w:type="dxa" w:w="200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 5 → 6</w:t>
            </w:r>
          </w:p>
        </w:tc>
        <w:tc>
          <w:tcPr>
            <w:tcW w:type="dxa" w:w="7360"/>
            <w:gridSpan w:val="1"/>
            <w:tcBorders>
              <w:top w:val="single" w:color="D3D1C7" w:sz="1"/>
              <w:left w:val="single" w:color="D3D1C7" w:sz="1"/>
              <w:bottom w:val="single" w:color="D3D1C7" w:sz="1"/>
              <w:right w:val="single" w:color="D3D1C7"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Sprint failure prediction accuracy &gt; 70%. At least 1 client presenting EngineIQ data to their board. MRR &gt; R 500,000.</w:t>
            </w:r>
          </w:p>
        </w:tc>
      </w:tr>
    </w:tbl>
    <w:p>
      <w:pPr>
        <w:spacing w:after="120"/>
      </w:pPr>
      <w:r>
        <w:t xml:space="preserve"/>
      </w:r>
    </w:p>
    <w:p>
      <w:r>
        <w:br w:type="page"/>
      </w:r>
    </w:p>
    <w:p>
      <w:pPr>
        <w:pStyle w:val="Heading1"/>
        <w:pBdr>
          <w:bottom w:val="single" w:color="0F6E56" w:sz="6" w:space="4"/>
        </w:pBdr>
        <w:spacing w:before="400" w:after="140"/>
      </w:pPr>
      <w:r>
        <w:rPr>
          <w:rFonts w:ascii="Arial" w:cs="Arial" w:eastAsia="Arial" w:hAnsi="Arial"/>
          <w:b/>
          <w:bCs/>
          <w:color w:val="1A1A2E"/>
          <w:sz w:val="40"/>
          <w:szCs w:val="40"/>
        </w:rPr>
        <w:t xml:space="preserve">The Endgame</w:t>
      </w:r>
    </w:p>
    <w:p>
      <w:pPr>
        <w:spacing w:after="120"/>
      </w:pPr>
      <w:r>
        <w:rPr>
          <w:rFonts w:ascii="Arial" w:cs="Arial" w:eastAsia="Arial" w:hAnsi="Arial"/>
          <w:color w:val="1A1A2E"/>
          <w:sz w:val="22"/>
          <w:szCs w:val="22"/>
        </w:rPr>
        <w:t xml:space="preserve">By the end of Phase 6, EngineIQ is the engineering nervous system for the companies it serves. It knows their requirements, their architecture, their tests, their delivery patterns, and their production incidents — and it connects all of those together into a continuous intelligence loop that makes every engineering decision better informed.</w:t>
      </w:r>
    </w:p>
    <w:p>
      <w:pPr>
        <w:spacing w:after="80"/>
      </w:pPr>
      <w:r>
        <w:t xml:space="preserve"/>
      </w:r>
    </w:p>
    <w:p>
      <w:pPr>
        <w:spacing w:after="120"/>
      </w:pPr>
      <w:r>
        <w:rPr>
          <w:rFonts w:ascii="Arial" w:cs="Arial" w:eastAsia="Arial" w:hAnsi="Arial"/>
          <w:color w:val="1A1A2E"/>
          <w:sz w:val="22"/>
          <w:szCs w:val="22"/>
        </w:rPr>
        <w:t xml:space="preserve">The platform has built something no global competitor can quickly replicate: a rich dataset of SA engineering patterns, benchmarks, and incident histories specific to FinTech, HealthTech, and SaaS teams operating in the South African context. That dataset is the long-term moat.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280"/>
              <w:left w:type="dxa" w:w="400"/>
              <w:bottom w:type="dxa" w:w="280"/>
              <w:right w:type="dxa" w:w="400"/>
            </w:tcMar>
          </w:tcPr>
          <w:p>
            <w:pPr>
              <w:spacing w:after="80"/>
              <w:jc w:val="center"/>
            </w:pPr>
            <w:r>
              <w:rPr>
                <w:rFonts w:ascii="Arial" w:cs="Arial" w:eastAsia="Arial" w:hAnsi="Arial"/>
                <w:b/>
                <w:bCs/>
                <w:color w:val="FFFFFF"/>
                <w:sz w:val="26"/>
                <w:szCs w:val="26"/>
              </w:rPr>
              <w:t xml:space="preserve">"AI-Augmented Engineering is not about replacing developers.</w:t>
            </w:r>
          </w:p>
          <w:p>
            <w:pPr>
              <w:spacing w:after="80"/>
              <w:jc w:val="center"/>
            </w:pPr>
            <w:r>
              <w:rPr>
                <w:rFonts w:ascii="Arial" w:cs="Arial" w:eastAsia="Arial" w:hAnsi="Arial"/>
                <w:b/>
                <w:bCs/>
                <w:color w:val="E1F5EE"/>
                <w:sz w:val="26"/>
                <w:szCs w:val="26"/>
              </w:rPr>
              <w:t xml:space="preserve">It is about reducing entropy in complex systems.</w:t>
            </w:r>
          </w:p>
          <w:p>
            <w:pPr>
              <w:jc w:val="center"/>
            </w:pPr>
            <w:r>
              <w:rPr>
                <w:rFonts w:ascii="Arial" w:cs="Arial" w:eastAsia="Arial" w:hAnsi="Arial"/>
                <w:color w:val="E1F5EE"/>
                <w:sz w:val="22"/>
                <w:szCs w:val="22"/>
              </w:rPr>
              <w:t xml:space="preserve">That's an architect-level conversation."</w:t>
            </w:r>
          </w:p>
        </w:tc>
      </w:tr>
    </w:tbl>
    <w:p>
      <w:pPr>
        <w:spacing w:after="200"/>
      </w:pPr>
      <w:r>
        <w:t xml:space="preserve"/>
      </w:r>
    </w:p>
    <w:p>
      <w:pPr>
        <w:spacing w:after="120"/>
      </w:pPr>
      <w:r>
        <w:rPr>
          <w:rFonts w:ascii="Arial" w:cs="Arial" w:eastAsia="Arial" w:hAnsi="Arial"/>
          <w:color w:val="5F5E5A"/>
          <w:sz w:val="22"/>
          <w:szCs w:val="22"/>
        </w:rPr>
        <w:t xml:space="preserve">EngineIQ starts that conversation with every CTO it meets. The roadmap above is how it earns the right to keep having it.</w:t>
      </w:r>
    </w:p>
    <w:p>
      <w:pPr>
        <w:spacing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pPr>
    <w:r>
      <w:rPr>
        <w:rFonts w:ascii="Arial" w:cs="Arial" w:eastAsia="Arial" w:hAnsi="Arial"/>
        <w:color w:val="5F5E5A"/>
        <w:sz w:val="18"/>
        <w:szCs w:val="18"/>
      </w:rPr>
      <w:t xml:space="preserve">Confidential  ·  March 2026</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pPr>
    <w:r>
      <w:rPr>
        <w:rFonts w:ascii="Arial" w:cs="Arial" w:eastAsia="Arial" w:hAnsi="Arial"/>
        <w:b/>
        <w:bCs/>
        <w:color w:val="0F6E56"/>
        <w:sz w:val="20"/>
        <w:szCs w:val="20"/>
      </w:rPr>
      <w:t xml:space="preserve">EngineIQ </w:t>
    </w:r>
    <w:r>
      <w:rPr>
        <w:rFonts w:ascii="Arial" w:cs="Arial" w:eastAsia="Arial" w:hAnsi="Arial"/>
        <w:color w:val="5F5E5A"/>
        <w:sz w:val="20"/>
        <w:szCs w:val="20"/>
      </w:rPr>
      <w:t xml:space="preserve">· Product Roadmap  ·  All Phases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0F6E5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2026-03-17T18:33:32.447Z</dcterms:created>
  <dcterms:modified xsi:type="dcterms:W3CDTF">2026-03-17T18:33:32.447Z</dcterms:modified>
</cp:coreProperties>
</file>

<file path=docProps/custom.xml><?xml version="1.0" encoding="utf-8"?>
<Properties xmlns="http://schemas.openxmlformats.org/officeDocument/2006/custom-properties" xmlns:vt="http://schemas.openxmlformats.org/officeDocument/2006/docPropsVTypes"/>
</file>