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120"/>
        <w:jc w:val="center"/>
      </w:pPr>
      <w:r>
        <w:rPr>
          <w:rFonts w:ascii="Arial" w:cs="Arial" w:eastAsia="Arial" w:hAnsi="Arial"/>
          <w:b/>
          <w:bCs/>
          <w:sz w:val="52"/>
          <w:szCs w:val="52"/>
        </w:rPr>
        <w:t xml:space="preserve">VETTDRE</w:t>
      </w:r>
    </w:p>
    <w:p>
      <w:pPr>
        <w:spacing w:after="200"/>
        <w:jc w:val="center"/>
      </w:pPr>
      <w:r>
        <w:rPr>
          <w:rFonts w:ascii="Arial" w:cs="Arial" w:eastAsia="Arial" w:hAnsi="Arial"/>
          <w:b/>
          <w:bCs/>
          <w:color w:val="0A84FF"/>
          <w:sz w:val="52"/>
          <w:szCs w:val="52"/>
        </w:rPr>
        <w:t xml:space="preserve">TERMINAL</w:t>
      </w:r>
    </w:p>
    <w:p>
      <w:pPr>
        <w:spacing w:after="80"/>
      </w:pPr>
    </w:p>
    <w:p>
      <w:pPr>
        <w:spacing w:after="80"/>
        <w:jc w:val="center"/>
      </w:pPr>
      <w:r>
        <w:rPr>
          <w:color w:val="555555"/>
          <w:sz w:val="28"/>
          <w:szCs w:val="28"/>
        </w:rPr>
        <w:t xml:space="preserve">Product Specification &amp; Build Document</w:t>
      </w:r>
    </w:p>
    <w:p>
      <w:pPr>
        <w:spacing w:after="80"/>
        <w:jc w:val="center"/>
      </w:pPr>
      <w:r>
        <w:rPr>
          <w:i/>
          <w:iCs/>
          <w:color w:val="777777"/>
          <w:sz w:val="22"/>
          <w:szCs w:val="22"/>
        </w:rPr>
        <w:t xml:space="preserve">Institutional-Grade NYC Real Estate Intelligence for the Masses</w:t>
      </w:r>
    </w:p>
    <w:p>
      <w:pPr>
        <w:spacing w:after="80"/>
      </w:pPr>
    </w:p>
    <w:p>
      <w:pPr>
        <w:spacing w:after="80"/>
        <w:jc w:val="center"/>
      </w:pPr>
      <w:r>
        <w:rPr>
          <w:color w:val="999999"/>
          <w:sz w:val="20"/>
          <w:szCs w:val="20"/>
        </w:rPr>
        <w:t xml:space="preserve">Version 1.1 (Corrected)  |  April 2026</w:t>
      </w:r>
    </w:p>
    <w:p>
      <w:pPr>
        <w:jc w:val="center"/>
      </w:pPr>
      <w:r>
        <w:rPr>
          <w:color w:val="999999"/>
          <w:sz w:val="20"/>
          <w:szCs w:val="20"/>
        </w:rPr>
        <w:t xml:space="preserve">VettdRE  |  Confidential</w:t>
      </w:r>
    </w:p>
    <w:p>
      <w:r>
        <w:br w:type="page"/>
      </w:r>
    </w:p>
    <w:p>
      <w:pPr>
        <w:pStyle w:val="Heading1"/>
      </w:pPr>
      <w:r>
        <w:rPr>
          <w:b/>
          <w:bCs/>
        </w:rPr>
        <w:t xml:space="preserve">1. Executive Summary</w:t>
      </w:r>
    </w:p>
    <w:p>
      <w:pPr>
        <w:spacing w:after="120"/>
      </w:pPr>
      <w:r>
        <w:rPr>
          <w:sz w:val="22"/>
          <w:szCs w:val="22"/>
        </w:rPr>
        <w:t xml:space="preserve">The VettdRE Terminal is a real-time NYC real estate intelligence feed embedded within the VettdRE platform. It monitors 90+ NYC Open Data sources to detect property events (sales, loans, permits, violations, zoning actions, liens) as they occur, enriches each event with contextual data from a BBL-keyed data warehouse, and outputs structured intelligence briefs in a Bloomberg Terminal-inspired interface.</w:t>
      </w:r>
    </w:p>
    <w:p>
      <w:pPr>
        <w:spacing w:after="120"/>
      </w:pPr>
      <w:r>
        <w:rPr>
          <w:sz w:val="22"/>
          <w:szCs w:val="22"/>
        </w:rPr>
        <w:t xml:space="preserve">The product is positioned as institutional-grade intelligence made accessible to the masses: brokers, individual owners, and developers who have never had access to this level of systematic market surveillance. The Terminal ships as a core module within VettdRE’s monthly membership, serving as the daily-use engagement layer that drives platform retention.</w:t>
      </w:r>
    </w:p>
    <w:p>
      <w:pPr>
        <w:pStyle w:val="Heading2"/>
      </w:pPr>
      <w:r>
        <w:rPr>
          <w:b/>
          <w:bCs/>
        </w:rPr>
        <w:t xml:space="preserve">1.1 Core Value Proposition</w:t>
      </w:r>
    </w:p>
    <w:p>
      <w:pPr>
        <w:pStyle w:val="ListParagraph"/>
        <w:numPr>
          <w:ilvl w:val="0"/>
          <w:numId w:val="2"/>
        </w:numPr>
        <w:spacing w:after="60"/>
      </w:pPr>
      <w:r>
        <w:rPr>
          <w:b/>
          <w:bCs/>
          <w:sz w:val="22"/>
          <w:szCs w:val="22"/>
        </w:rPr>
        <w:t xml:space="preserve">For Brokers: </w:t>
      </w:r>
      <w:r>
        <w:rPr>
          <w:sz w:val="22"/>
          <w:szCs w:val="22"/>
        </w:rPr>
        <w:t xml:space="preserve">Instant awareness of every sale, permit, and ownership change in their territory. Owner identification including LLC piercing. Competitive intelligence on buyer/seller portfolios.</w:t>
      </w:r>
    </w:p>
    <w:p>
      <w:pPr>
        <w:pStyle w:val="ListParagraph"/>
        <w:numPr>
          <w:ilvl w:val="0"/>
          <w:numId w:val="2"/>
        </w:numPr>
        <w:spacing w:after="60"/>
      </w:pPr>
      <w:r>
        <w:rPr>
          <w:b/>
          <w:bCs/>
          <w:sz w:val="22"/>
          <w:szCs w:val="22"/>
        </w:rPr>
        <w:t xml:space="preserve">For Owners: </w:t>
      </w:r>
      <w:r>
        <w:rPr>
          <w:sz w:val="22"/>
          <w:szCs w:val="22"/>
        </w:rPr>
        <w:t xml:space="preserve">Real-time visibility into what’s happening on their block, in their portfolio, and across their submarket. Valuation context through automated comps. Violation and lien monitoring.</w:t>
      </w:r>
    </w:p>
    <w:p>
      <w:pPr>
        <w:pStyle w:val="ListParagraph"/>
        <w:numPr>
          <w:ilvl w:val="0"/>
          <w:numId w:val="2"/>
        </w:numPr>
        <w:spacing w:after="60"/>
      </w:pPr>
      <w:r>
        <w:rPr>
          <w:b/>
          <w:bCs/>
          <w:sz w:val="22"/>
          <w:szCs w:val="22"/>
        </w:rPr>
        <w:t xml:space="preserve">For Developers: </w:t>
      </w:r>
      <w:r>
        <w:rPr>
          <w:sz w:val="22"/>
          <w:szCs w:val="22"/>
        </w:rPr>
        <w:t xml:space="preserve">Permit pipeline tracking, zoning variance alerts, unused FAR identification, distress signal aggregation, and site acquisition intelligence.</w:t>
      </w:r>
    </w:p>
    <w:p>
      <w:pPr>
        <w:pStyle w:val="Heading2"/>
      </w:pPr>
      <w:r>
        <w:rPr>
          <w:b/>
          <w:bCs/>
        </w:rPr>
        <w:t xml:space="preserve">1.2 Competitive Positioning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2360"/>
      </w:tblGrid>
      <w:tr>
        <w:tc>
          <w:tcPr>
            <w:tcW w:type="dxa" w:w="18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Attribute</w:t>
            </w:r>
          </w:p>
        </w:tc>
        <w:tc>
          <w:tcPr>
            <w:tcW w:type="dxa" w:w="20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CoStar / Reonomy</w:t>
            </w:r>
          </w:p>
        </w:tc>
        <w:tc>
          <w:tcPr>
            <w:tcW w:type="dxa" w:w="22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PropertyShark / TRD</w:t>
            </w:r>
          </w:p>
        </w:tc>
        <w:tc>
          <w:tcPr>
            <w:tcW w:type="dxa" w:w="236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VettdRE Terminal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Point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$300-500+/mo enterprise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$30-80/mo consumer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Included in VettdRE membership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Depth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 but proprietary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NYC-focused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datasets, full BBL enrichment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Detection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search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email digests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15-min polling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Intelligence Layer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data, no synthesis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Editorial/tabloid voice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AI-generated structured briefs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SaaS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Consumer web</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Bloomberg Terminal aesthetic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Institutions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Brokers, consumers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Brokers, owners, developers</w:t>
            </w:r>
          </w:p>
        </w:tc>
      </w:tr>
    </w:tbl>
    <w:p>
      <w:r>
        <w:br w:type="page"/>
      </w:r>
    </w:p>
    <w:p>
      <w:pPr>
        <w:pStyle w:val="Heading1"/>
      </w:pPr>
      <w:r>
        <w:rPr>
          <w:b/>
          <w:bCs/>
        </w:rPr>
        <w:t xml:space="preserve">2. System Architecture</w:t>
      </w:r>
    </w:p>
    <w:p>
      <w:pPr>
        <w:spacing w:after="120"/>
      </w:pPr>
      <w:r>
        <w:rPr>
          <w:sz w:val="22"/>
          <w:szCs w:val="22"/>
        </w:rPr>
        <w:t xml:space="preserve">The Terminal operates as a three-layer pipeline: Data Ingestion, Event Enrichment, and Intelligence Delivery. Each layer is independently scalable and failure-isolated.</w:t>
      </w:r>
    </w:p>
    <w:p>
      <w:pPr>
        <w:pStyle w:val="Heading2"/>
      </w:pPr>
      <w:r>
        <w:rPr>
          <w:b/>
          <w:bCs/>
        </w:rPr>
        <w:t xml:space="preserve">2.1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Layer</w:t>
            </w:r>
          </w:p>
        </w:tc>
        <w:tc>
          <w:tcPr>
            <w:tcW w:type="dxa" w:w="25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Technology</w:t>
            </w:r>
          </w:p>
        </w:tc>
        <w:tc>
          <w:tcPr>
            <w:tcW w:type="dxa" w:w="506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Function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Ingestion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Run cron + Supabase (via Prisma)</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Polls 90+ NYC Open Data SODA APIs on tiered schedules. Detects new/changed records via metadata check + incremental fetch. Writes raw events to staging tables.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Enrichment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API Routes + data-fusion-engine.ts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BBL-keyed joins across all mirrored datasets. Assembles structured data package per event: ownership chain, valuations, comps, violations, permits, zoning, exemptions. Reuses existing 3-tier cache.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Synthesis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API (Claude Sonnet 4.5)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Receives structured data package. Generates bullet-point intelligence brief. Zero hallucination risk because AI only synthesizes verified data from the enrichment layer.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 React + Supabase Realtime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Bloomberg-style terminal UI. Real-time feed with category toggles, borough/neighborhood filters, and saved watchlists. Push notifications via Supabase Realtime subscriptions.</w:t>
            </w:r>
          </w:p>
        </w:tc>
      </w:tr>
    </w:tbl>
    <w:p>
      <w:pPr>
        <w:pStyle w:val="Heading2"/>
      </w:pPr>
      <w:r>
        <w:rPr>
          <w:b/>
          <w:bCs/>
        </w:rPr>
        <w:t xml:space="preserve">2.2 Tech Stack (Aligned with Existing VettdRE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Component</w:t>
            </w:r>
          </w:p>
        </w:tc>
        <w:tc>
          <w:tcPr>
            <w:tcW w:type="dxa" w:w="28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Technology</w:t>
            </w:r>
          </w:p>
        </w:tc>
        <w:tc>
          <w:tcPr>
            <w:tcW w:type="dxa" w:w="476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16.1.6 / React 19 / TypeScript 5.9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Router. Turbopack. Standalone output mode for Docker.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 CSS 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dark theme with Bloomberg-inspired design tokens. Uses tailwind-merge.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via Supabase + Prisma 5.22 ORM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Terminal tables defined in schema.prisma. BBL as join key across models. Supabase used for auth only; data via Prisma.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Layer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API Routes + Server Actions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Supabase Edge Functions. Enrichment pipeline runs in API routes. Server actions for UI mutations.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API (claude-sonnet-4-5-20250514)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brief generation from enrichment data packages. ~2,500 tokens per call.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Ingestion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Cloud Run (cron jobs via API routes)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ingestion logic in Next.js API routes, triggered by Cloud Scheduler or CRON_SECRET-authed GET requests.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Realtime (new infrastructure)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subscriptions for live feed updates and push alerts. Not currently used elsewhere in VettdRE.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Auth + SSR middleware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Integrated with existing VettdRE auth, approval gate, and UserPlan system.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Cloud Run (Docker, standalone)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infrastructure as existing VettdRE app. 1Gi memory, 0-10 instances, 300s timeout.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Leaflet + OpenStreetMap (existing)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Uses existing map infrastructure with circleMarker for performance. CSP already whitelists tile sources.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3-tier LRU cache (existing cache-manager.ts)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1: In-memory LRU (500 entries, 30m). Tier 2: Per-source LRU (2000 entries). Tier 3: Supabase BuildingCache via Prisma.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Gating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feature-gate.ts (existing)</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Terminal features gated by UserPlan tier. New flags: nav_terminal, terminal_access, terminal_ai_brief.</w:t>
            </w:r>
          </w:p>
        </w:tc>
      </w:tr>
    </w:tbl>
    <w:p>
      <w:r>
        <w:br w:type="page"/>
      </w:r>
    </w:p>
    <w:p>
      <w:pPr>
        <w:pStyle w:val="Heading1"/>
      </w:pPr>
      <w:r>
        <w:rPr>
          <w:b/>
          <w:bCs/>
        </w:rPr>
        <w:t xml:space="preserve">3. Data Ingestion Layer</w:t>
      </w:r>
    </w:p>
    <w:p>
      <w:pPr>
        <w:spacing w:after="120"/>
      </w:pPr>
      <w:r>
        <w:rPr>
          <w:sz w:val="22"/>
          <w:szCs w:val="22"/>
        </w:rPr>
        <w:t xml:space="preserve">The ingestion layer polls NYC Open Data via the Socrata SODA API (v2.1 and v3) using a two-phase approach that minimizes API calls while maximizing detection speed.</w:t>
      </w:r>
    </w:p>
    <w:p>
      <w:pPr>
        <w:pStyle w:val="Heading2"/>
      </w:pPr>
      <w:r>
        <w:rPr>
          <w:b/>
          <w:bCs/>
        </w:rPr>
        <w:t xml:space="preserve">3.1 Two-Phase Polling Architecture</w:t>
      </w:r>
    </w:p>
    <w:p>
      <w:pPr>
        <w:spacing w:after="120"/>
      </w:pPr>
      <w:r>
        <w:rPr>
          <w:b/>
          <w:bCs/>
          <w:sz w:val="22"/>
          <w:szCs w:val="22"/>
        </w:rPr>
        <w:t xml:space="preserve">Phase 1 - Metadata Check (every cycle): </w:t>
      </w:r>
      <w:r>
        <w:rPr>
          <w:sz w:val="22"/>
          <w:szCs w:val="22"/>
        </w:rPr>
        <w:t xml:space="preserve">A lightweight GET request to /api/views/{dataset-id} returns the rowsUpdatedAt timestamp. If unchanged since last check, skip to next dataset. Cost: near zero. This prevents unnecessary data fetches on datasets that haven’t refreshed.</w:t>
      </w:r>
    </w:p>
    <w:p>
      <w:pPr>
        <w:spacing w:after="120"/>
      </w:pPr>
      <w:r>
        <w:rPr>
          <w:b/>
          <w:bCs/>
          <w:sz w:val="22"/>
          <w:szCs w:val="22"/>
        </w:rPr>
        <w:t xml:space="preserve">Phase 2 - Incremental Data Fetch (only if metadata changed): </w:t>
      </w:r>
      <w:r>
        <w:rPr>
          <w:sz w:val="22"/>
          <w:szCs w:val="22"/>
        </w:rPr>
        <w:t xml:space="preserve">Query the dataset with $where=:updated_at &gt; '{last_poll_timestamp}' to retrieve only new/changed records. For full-replace datasets, diff against local Supabase mirror. Write new records to event staging table with source_dataset, detected_at, and raw_payload columns.</w:t>
      </w:r>
    </w:p>
    <w:p>
      <w:pPr>
        <w:pStyle w:val="Heading2"/>
      </w:pPr>
      <w:r>
        <w:rPr>
          <w:b/>
          <w:bCs/>
        </w:rPr>
        <w:t xml:space="preserve">3.2 Polling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4660"/>
      </w:tblGrid>
      <w:tr>
        <w:tc>
          <w:tcPr>
            <w:tcW w:type="dxa" w:w="15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Tier</w:t>
            </w:r>
          </w:p>
        </w:tc>
        <w:tc>
          <w:tcPr>
            <w:tcW w:type="dxa" w:w="16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Poll Frequency</w:t>
            </w:r>
          </w:p>
        </w:tc>
        <w:tc>
          <w:tcPr>
            <w:tcW w:type="dxa" w:w="16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Dataset Count</w:t>
            </w:r>
          </w:p>
        </w:tc>
        <w:tc>
          <w:tcPr>
            <w:tcW w:type="dxa" w:w="466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Examples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A: Hot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15 minutes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datasets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NOW permits, HPD violations, DOB violations, OATH hearings, DOB complaints, DOB stalled sites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B: Warm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60 minutes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datasets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ACRIS (all tables), HPD registrations, BSA applications, ZAP/ULURP, CEQR, evictions, affordable housing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C: Cold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24 hours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datasets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PLUTO, DOF assessments, exemptions, LIHTC, LPC landmarks, SCA projects, flood maps, DDC projects</w:t>
            </w:r>
          </w:p>
        </w:tc>
      </w:tr>
    </w:tbl>
    <w:p>
      <w:pPr>
        <w:pStyle w:val="Heading2"/>
      </w:pPr>
      <w:r>
        <w:rPr>
          <w:b/>
          <w:bCs/>
        </w:rPr>
        <w:t xml:space="preserve">3.3 Integration with Existing Infrastructure</w:t>
      </w:r>
    </w:p>
    <w:p>
      <w:pPr>
        <w:spacing w:after="120"/>
      </w:pPr>
      <w:r>
        <w:rPr>
          <w:sz w:val="22"/>
          <w:szCs w:val="22"/>
        </w:rPr>
        <w:t xml:space="preserve">The VettdRE codebase already integrates 13+ NYC Open Data datasets through nyc-opendata.ts, data-fusion-engine.ts, and market-intel/actions.ts. The Terminal ingestion layer MUST reuse these existing query patterns and dataset constants rather than duplicating them.</w:t>
      </w:r>
    </w:p>
    <w:p>
      <w:pPr>
        <w:spacing w:after="120"/>
      </w:pPr>
      <w:r>
        <w:rPr>
          <w:b/>
          <w:bCs/>
          <w:sz w:val="22"/>
          <w:szCs w:val="22"/>
        </w:rPr>
        <w:t xml:space="preserve">Existing SODA query pattern (from cache-warming.ts): </w:t>
      </w:r>
      <w:r>
        <w:rPr>
          <w:sz w:val="22"/>
          <w:szCs w:val="22"/>
        </w:rPr>
        <w:t xml:space="preserve">Batch processing of 5 BBLs at a time with 200ms staggered delays, skip-if-cached logic, fire-and-forget DB writes. The Terminal polling loop should extend this pattern.</w:t>
      </w:r>
    </w:p>
    <w:p>
      <w:pPr>
        <w:spacing w:after="120"/>
      </w:pPr>
      <w:r>
        <w:rPr>
          <w:b/>
          <w:bCs/>
          <w:sz w:val="22"/>
          <w:szCs w:val="22"/>
        </w:rPr>
        <w:t xml:space="preserve">Existing dataset constants (from data-fusion-engine.ts): </w:t>
      </w:r>
      <w:r>
        <w:rPr>
          <w:sz w:val="22"/>
          <w:szCs w:val="22"/>
        </w:rPr>
        <w:t xml:space="preserve">PLUTO (64uk-42ks), HPD Violations (wvxf-dwi5), HPD Complaints (uwyv-629c), HPD Registrations (tesw-yqqr), HPD Contacts (feu5-w2e2), DOB Permits (ic3t-wcy2, 83x8-shf7), DOB Violations (3h2n-5cm9), DOB ECB (6bgk-3dad), DOB NOW (w9ak-ipjd), HPD Litigation (59kj-x8nc), Rolling Sales (usep-8jbt), ACRIS Master/Legals/Parties (bnx9-e6tj, 8h5j-fqxa, 636b-3b5g).</w:t>
      </w:r>
    </w:p>
    <w:p>
      <w:pPr>
        <w:pStyle w:val="Heading2"/>
      </w:pPr>
      <w:r>
        <w:rPr>
          <w:b/>
          <w:bCs/>
        </w:rPr>
        <w:t xml:space="preserve">3.3.1 Sales &amp; Transactions (ACRIS)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Dataset</w:t>
            </w:r>
          </w:p>
        </w:tc>
        <w:tc>
          <w:tcPr>
            <w:tcW w:type="dxa" w:w="12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4x4 ID</w:t>
            </w:r>
          </w:p>
        </w:tc>
        <w:tc>
          <w:tcPr>
            <w:tcW w:type="dxa" w:w="12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Update</w:t>
            </w:r>
          </w:p>
        </w:tc>
        <w:tc>
          <w:tcPr>
            <w:tcW w:type="dxa" w:w="416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Key 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ACRIS Real Property 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bnx9-e6tj</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document_id, doc_type, document_amt, recorded_datetime, crfn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ACRIS Real Property Legals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8h5j-fqxa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document_id, borough, block, lot, property_type, street_name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ACRIS Real Property Parties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636b-3b5g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document_id, party_type, name, address_1, city, state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ACRIS Personal Property Master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sv7x-dduq</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 filings and federal tax liens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ACRIS Document Control Codes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7isb-wh4c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doc_type to description lookup (~200 codes)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DOF Rolling Sales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usep-8jbt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borough, block, lot, sale_price, sale_date, gross_sq_ft</w:t>
            </w:r>
          </w:p>
        </w:tc>
      </w:tr>
    </w:tbl>
    <w:p>
      <w:pPr>
        <w:pStyle w:val="Heading2"/>
      </w:pPr>
      <w:r>
        <w:rPr>
          <w:b/>
          <w:bCs/>
        </w:rPr>
        <w:t xml:space="preserve">3.3.2 Permits &amp; Construction (DOB)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4360"/>
      </w:tblGrid>
      <w:tr>
        <w:tc>
          <w:tcPr>
            <w:tcW w:type="dxa" w:w="28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Dataset</w:t>
            </w:r>
          </w:p>
        </w:tc>
        <w:tc>
          <w:tcPr>
            <w:tcW w:type="dxa" w:w="12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4x4 ID</w:t>
            </w:r>
          </w:p>
        </w:tc>
        <w:tc>
          <w:tcPr>
            <w:tcW w:type="dxa" w:w="10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Update</w:t>
            </w:r>
          </w:p>
        </w:tc>
        <w:tc>
          <w:tcPr>
            <w:tcW w:type="dxa" w:w="436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Key 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NOW: Approved Permits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rbx6-tga4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 Filing Number, Work Type, Estimated Job Costs, BBL, BIN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NOW: Job Application Filings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w9ak-ipjd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Filing Status, Job Type, Estimated Cost, Filing 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Permit Issuance (Legacy BIS)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ipu4-2q9a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~6-7M records, all BIS-era permits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Job Application Filings (Legacy)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ic3t-wcy2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 columns incl. zoning, proposed stories/units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NOW: Certificate of Occupancy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pkdm-hqz6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 status, issuance 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Stalled Construction Sites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i296-73x5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Construction halts - distress signal</w:t>
            </w:r>
          </w:p>
        </w:tc>
      </w:tr>
    </w:tbl>
    <w:p>
      <w:pPr>
        <w:pStyle w:val="Heading2"/>
      </w:pPr>
      <w:r>
        <w:rPr>
          <w:b/>
          <w:bCs/>
        </w:rPr>
        <w:t xml:space="preserve">3.3.3 Violations &amp;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4360"/>
      </w:tblGrid>
      <w:tr>
        <w:tc>
          <w:tcPr>
            <w:tcW w:type="dxa" w:w="28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Dataset</w:t>
            </w:r>
          </w:p>
        </w:tc>
        <w:tc>
          <w:tcPr>
            <w:tcW w:type="dxa" w:w="12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4x4 ID</w:t>
            </w:r>
          </w:p>
        </w:tc>
        <w:tc>
          <w:tcPr>
            <w:tcW w:type="dxa" w:w="10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Update</w:t>
            </w:r>
          </w:p>
        </w:tc>
        <w:tc>
          <w:tcPr>
            <w:tcW w:type="dxa" w:w="436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Records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HPD Violations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wvxf-dwi5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~8-9M housing code violations (Class A/B/C/I)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HPD Complaints &amp; Problems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uwyv-629c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~10M+ complaint-problem pairs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HPD Housing Litigations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59kj-x8nc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~500K housing court enforcement actions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ECB Violations (OATH)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6bgk-3dad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~2M ECB summonses with financial penalties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Violations (Legacy)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3h2n-5cm9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 commissioner’s orders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OATH Hearings Case 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jz4z-kudi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~6-8M cross-agency ECB summonses (master dataset)</w:t>
            </w:r>
          </w:p>
        </w:tc>
      </w:tr>
    </w:tbl>
    <w:p>
      <w:pPr>
        <w:pStyle w:val="Heading2"/>
      </w:pPr>
      <w:r>
        <w:rPr>
          <w:b/>
          <w:bCs/>
        </w:rPr>
        <w:t xml:space="preserve">3.3.4 Property Characteristics &amp; Zoning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Dataset</w:t>
            </w:r>
          </w:p>
        </w:tc>
        <w:tc>
          <w:tcPr>
            <w:tcW w:type="dxa" w:w="12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4x4 ID</w:t>
            </w:r>
          </w:p>
        </w:tc>
        <w:tc>
          <w:tcPr>
            <w:tcW w:type="dxa" w:w="12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Update</w:t>
            </w:r>
          </w:p>
        </w:tc>
        <w:tc>
          <w:tcPr>
            <w:tcW w:type="dxa" w:w="416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Key 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PLUTO (all lots)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64uk-42ks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fields: zoning, FAR, bldg class, units, area, owner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MapPLUTO (with geometries)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f888-ni5f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PLUTO + GIS polygon per lot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ZAP Project Data (ULURP)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hgx4-8ukb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 use applications, zoning amendments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BSA Applications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yvxd-uipr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Variances, special permits, appeals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LPC Landmarks Database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7mgd-s57w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Semi-annual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~36K designated buildings/sites</w:t>
            </w:r>
          </w:p>
        </w:tc>
      </w:tr>
    </w:tbl>
    <w:p>
      <w:pPr>
        <w:pStyle w:val="Heading2"/>
      </w:pPr>
      <w:r>
        <w:rPr>
          <w:b/>
          <w:bCs/>
        </w:rPr>
        <w:t xml:space="preserve">3.3.5 Finance, Tax &amp; Liens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Dataset</w:t>
            </w:r>
          </w:p>
        </w:tc>
        <w:tc>
          <w:tcPr>
            <w:tcW w:type="dxa" w:w="12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4x4 ID</w:t>
            </w:r>
          </w:p>
        </w:tc>
        <w:tc>
          <w:tcPr>
            <w:tcW w:type="dxa" w:w="12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Update</w:t>
            </w:r>
          </w:p>
        </w:tc>
        <w:tc>
          <w:tcPr>
            <w:tcW w:type="dxa" w:w="416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Key 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 Valuation &amp; Assessment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8y4t-faws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value, assessed value, tax class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 Exemption Detail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muvi-b6kx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 cols: 421-a, J-51, ICAP, STAR, benefit periods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Coop Comparable Rental Income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myei-c3fa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Gross income, NOI, market value per sqft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Condo Comparable Rental Income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9ck6-2jew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income/expense 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 Lien Sale Lists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9rz4-mjek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Properties eligible for/sold in tax lien sale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Evictions (Marshal)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6z8x-wfk4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~100K+ records: address, date, res/comm flag, BBL</w:t>
            </w:r>
          </w:p>
        </w:tc>
      </w:tr>
    </w:tbl>
    <w:p>
      <w:pPr>
        <w:pStyle w:val="Heading2"/>
      </w:pPr>
      <w:r>
        <w:rPr>
          <w:b/>
          <w:bCs/>
        </w:rPr>
        <w:t xml:space="preserve">3.3.6 Housing &amp; Affordable Housing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Dataset</w:t>
            </w:r>
          </w:p>
        </w:tc>
        <w:tc>
          <w:tcPr>
            <w:tcW w:type="dxa" w:w="12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4x4 ID</w:t>
            </w:r>
          </w:p>
        </w:tc>
        <w:tc>
          <w:tcPr>
            <w:tcW w:type="dxa" w:w="12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Update</w:t>
            </w:r>
          </w:p>
        </w:tc>
        <w:tc>
          <w:tcPr>
            <w:tcW w:type="dxa" w:w="416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Key Fields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HPD Multiple Dwelling Registrations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tesw-yqqr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Building ID, BBL, units, floors, registration 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HPD Registration Contacts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feu5-w2e2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Owner/agent/manager names + addresses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Affordable Housing by Building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hg8x-zxpr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Units by income level, construction 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HPD AEP (Distressed Buildings)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hcir-3275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Periodic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Severely distressed buildings list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Certification of No Harassment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bzxi-2tsw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Periodic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CONH pilot program buildings</w:t>
            </w:r>
          </w:p>
        </w:tc>
      </w:tr>
    </w:tbl>
    <w:p>
      <w:r>
        <w:br w:type="page"/>
      </w:r>
    </w:p>
    <w:p>
      <w:pPr>
        <w:pStyle w:val="Heading1"/>
      </w:pPr>
      <w:r>
        <w:rPr>
          <w:b/>
          <w:bCs/>
        </w:rPr>
        <w:t xml:space="preserve">4. Event Enrichment Engine</w:t>
      </w:r>
    </w:p>
    <w:p>
      <w:pPr>
        <w:spacing w:after="120"/>
      </w:pPr>
      <w:r>
        <w:rPr>
          <w:sz w:val="22"/>
          <w:szCs w:val="22"/>
        </w:rPr>
        <w:t xml:space="preserve">When the ingestion layer detects a new event, it triggers the enrichment pipeline. The pipeline assembles a structured data package by performing BBL-keyed joins across all mirrored datasets. The AI engine never performs its own research; it only synthesizes the pre-assembled package.</w:t>
      </w:r>
    </w:p>
    <w:p>
      <w:pPr>
        <w:pStyle w:val="Heading2"/>
      </w:pPr>
      <w:r>
        <w:rPr>
          <w:b/>
          <w:bCs/>
        </w:rPr>
        <w:t xml:space="preserve">4.1 Reusing Existing VettdRE Infrastructure</w:t>
      </w:r>
    </w:p>
    <w:p>
      <w:pPr>
        <w:spacing w:after="120"/>
      </w:pPr>
      <w:r>
        <w:rPr>
          <w:sz w:val="22"/>
          <w:szCs w:val="22"/>
        </w:rPr>
        <w:t xml:space="preserve">The enrichment engine MUST leverage the existing data-fusion-engine.ts rather than building from scratch. The following existing exports provide the foundation:</w:t>
      </w:r>
    </w:p>
    <w:p>
      <w:pPr>
        <w:pStyle w:val="ListParagraph"/>
        <w:numPr>
          <w:ilvl w:val="0"/>
          <w:numId w:val="2"/>
        </w:numPr>
        <w:spacing w:after="60"/>
      </w:pPr>
      <w:r>
        <w:rPr>
          <w:b/>
          <w:bCs/>
          <w:sz w:val="22"/>
          <w:szCs w:val="22"/>
        </w:rPr>
        <w:t xml:space="preserve">fetchBuildingIntelligence(bbl) </w:t>
      </w:r>
      <w:r>
        <w:rPr>
          <w:sz w:val="22"/>
          <w:szCs w:val="22"/>
        </w:rPr>
        <w:t xml:space="preserve">— Full data fetch + fusion across 13+ sources with 3-phase progressive rendering</w:t>
      </w:r>
    </w:p>
    <w:p>
      <w:pPr>
        <w:pStyle w:val="ListParagraph"/>
        <w:numPr>
          <w:ilvl w:val="0"/>
          <w:numId w:val="2"/>
        </w:numPr>
        <w:spacing w:after="60"/>
      </w:pPr>
      <w:r>
        <w:rPr>
          <w:b/>
          <w:bCs/>
          <w:sz w:val="22"/>
          <w:szCs w:val="22"/>
        </w:rPr>
        <w:t xml:space="preserve">fetchBuildingCritical(bbl) </w:t>
      </w:r>
      <w:r>
        <w:rPr>
          <w:sz w:val="22"/>
          <w:szCs w:val="22"/>
        </w:rPr>
        <w:t xml:space="preserve">— Phase 1: PLUTO + HPD only (fast path)</w:t>
      </w:r>
    </w:p>
    <w:p>
      <w:pPr>
        <w:pStyle w:val="ListParagraph"/>
        <w:numPr>
          <w:ilvl w:val="0"/>
          <w:numId w:val="2"/>
        </w:numPr>
        <w:spacing w:after="60"/>
      </w:pPr>
      <w:r>
        <w:rPr>
          <w:b/>
          <w:bCs/>
          <w:sz w:val="22"/>
          <w:szCs w:val="22"/>
        </w:rPr>
        <w:t xml:space="preserve">fetchBuildingStandard(bbl) </w:t>
      </w:r>
      <w:r>
        <w:rPr>
          <w:sz w:val="22"/>
          <w:szCs w:val="22"/>
        </w:rPr>
        <w:t xml:space="preserve">— Phase 2: DOB + Compliance data</w:t>
      </w:r>
    </w:p>
    <w:p>
      <w:pPr>
        <w:pStyle w:val="ListParagraph"/>
        <w:numPr>
          <w:ilvl w:val="0"/>
          <w:numId w:val="2"/>
        </w:numPr>
        <w:spacing w:after="60"/>
      </w:pPr>
      <w:r>
        <w:rPr>
          <w:b/>
          <w:bCs/>
          <w:sz w:val="22"/>
          <w:szCs w:val="22"/>
        </w:rPr>
        <w:t xml:space="preserve">fetchBuildingBackground(bbl) </w:t>
      </w:r>
      <w:r>
        <w:rPr>
          <w:sz w:val="22"/>
          <w:szCs w:val="22"/>
        </w:rPr>
        <w:t xml:space="preserve">— Phase 3: Ownership chains, ACRIS</w:t>
      </w:r>
    </w:p>
    <w:p>
      <w:pPr>
        <w:pStyle w:val="ListParagraph"/>
        <w:numPr>
          <w:ilvl w:val="0"/>
          <w:numId w:val="2"/>
        </w:numPr>
        <w:spacing w:after="60"/>
      </w:pPr>
      <w:r>
        <w:rPr>
          <w:b/>
          <w:bCs/>
          <w:sz w:val="22"/>
          <w:szCs w:val="22"/>
        </w:rPr>
        <w:t xml:space="preserve">getPlutoBasics(bbl) </w:t>
      </w:r>
      <w:r>
        <w:rPr>
          <w:sz w:val="22"/>
          <w:szCs w:val="22"/>
        </w:rPr>
        <w:t xml:space="preserve">— Lightweight tooltip preview</w:t>
      </w:r>
    </w:p>
    <w:p>
      <w:pPr>
        <w:spacing w:after="80"/>
      </w:pPr>
    </w:p>
    <w:p>
      <w:pPr>
        <w:spacing w:after="120"/>
      </w:pPr>
      <w:r>
        <w:rPr>
          <w:sz w:val="22"/>
          <w:szCs w:val="22"/>
        </w:rPr>
        <w:t xml:space="preserve">The existing 3-tier cache (cache-manager.ts) handles deduplication and TTL management. Terminal extends this by adding new sources to SOURCE_CONFIG and using the same cachedQueryNYC() function for all new dataset queries.</w:t>
      </w:r>
    </w:p>
    <w:p>
      <w:pPr>
        <w:pStyle w:val="Heading2"/>
      </w:pPr>
      <w:r>
        <w:rPr>
          <w:b/>
          <w:bCs/>
        </w:rPr>
        <w:t xml:space="preserve">4.2 BBL: The Universal Key</w:t>
      </w:r>
    </w:p>
    <w:p>
      <w:pPr>
        <w:spacing w:after="120"/>
      </w:pPr>
      <w:r>
        <w:rPr>
          <w:sz w:val="22"/>
          <w:szCs w:val="22"/>
        </w:rPr>
        <w:t xml:space="preserve">Borough-Block-Lot (BBL) is the 10-digit identifier that links every NYC property across all city datasets. Every detected event carries a BBL (directly or via BIN/address geocoding). The enrichment engine uses this BBL to pull context from every relevant table in the data warehouse.</w:t>
      </w:r>
    </w:p>
    <w:p>
      <w:pPr>
        <w:spacing w:after="120"/>
      </w:pPr>
      <w:r>
        <w:rPr>
          <w:sz w:val="22"/>
          <w:szCs w:val="22"/>
        </w:rPr>
        <w:t xml:space="preserve">The existing entity-resolver.ts provides address normalization (normalizeAddress), entity fuzzy matching (isSameEntity with Levenshtein + Jaro-Winkler), and owner resolution (resolveOwner) across PLUTO/ACRIS/HPD/DOF sources.</w:t>
      </w:r>
    </w:p>
    <w:p>
      <w:pPr>
        <w:pStyle w:val="Heading2"/>
      </w:pPr>
      <w:r>
        <w:rPr>
          <w:b/>
          <w:bCs/>
        </w:rPr>
        <w:t xml:space="preserve">4.3 Enrichment Data Package Schema</w:t>
      </w:r>
    </w:p>
    <w:p>
      <w:pPr>
        <w:spacing w:after="120"/>
      </w:pPr>
      <w:r>
        <w:rPr>
          <w:sz w:val="22"/>
          <w:szCs w:val="22"/>
        </w:rPr>
        <w:t xml:space="preserve">For each detected event, the pipeline assembles the following JSON structure and passes it to the AI synthesis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Field Group</w:t>
            </w:r>
          </w:p>
        </w:tc>
        <w:tc>
          <w:tcPr>
            <w:tcW w:type="dxa" w:w="28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Source Dataset(s)</w:t>
            </w:r>
          </w:p>
        </w:tc>
        <w:tc>
          <w:tcPr>
            <w:tcW w:type="dxa" w:w="476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Data Points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event_core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Triggering dataset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type, timestamp, raw fields (price, parties, filing type, violation class, etc.)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property_profile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PLUTO (64uk-42ks)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 zoning districts (1-4), building class, land use, lot area, building area, residential/commercial units, floors, year built, owner name, built FAR, max FAR, unused FAR calculation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ownership_chain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ACRIS Master + Parties + Legals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deed chain by BBL: every prior sale date, price, buyer/seller names, document type. LLC names cross-referenced against NY DOS entity filings for registered agent/officer identification.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valuation_context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DOF Assessments + Rolling Sales + Coop/Condo Income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market value (DOF), assessed value, tax class, effective tax rate. For coops/condos: gross income, NOI, market value per sqft. Trailing 12-month comps.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tax_exemptions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Exemption Detail (muvi-b6kx)</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exemptions (421-a, J-51, ICAP, STAR, veterans), benefit start/end dates, exemption amounts. Expiration flags.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violation_profile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HPD Violations + DOB Violations + OATH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violation count by class (A/B/C/I), most recent violation descriptions, DOB stop work orders, ECB penalty balances, litigation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permit_history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NOW + Legacy BIS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permits by work type, estimated job costs, filing status, applicant info. Recent CO issuances.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lien_distress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ACRIS (lis pendens, mech. liens) + Tax Liens + Evictions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lis pendens count, mechanic’s lien filings, UCC filings, tax lien sale eligibility, recent eviction executions.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zoning_actions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ZAP + BSA + CEQR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 ULURP applications affecting this lot or adjacent lots, BSA variance/special permit applications.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neighborhood_comps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DOF Rolling Sales + PLUTO</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Trailing 12-month sales in NTA: median price/unit, median price/sqft, transaction volume, trend direction.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portfolio_intel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ACRIS Parties cross-reference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Other properties in NYC associated with the same buyer/seller entity name. Recent transaction 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landmark_status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LPC Database (7mgd-s57w)</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property is individually designated, in a historic district, or calendared for hearing.</w:t>
            </w:r>
          </w:p>
        </w:tc>
      </w:tr>
    </w:tbl>
    <w:p>
      <w:r>
        <w:br w:type="page"/>
      </w:r>
    </w:p>
    <w:p>
      <w:pPr>
        <w:pStyle w:val="Heading1"/>
      </w:pPr>
      <w:r>
        <w:rPr>
          <w:b/>
          <w:bCs/>
        </w:rPr>
        <w:t xml:space="preserve">5. Event Taxonomy &amp; Output Tiering</w:t>
      </w:r>
    </w:p>
    <w:p>
      <w:pPr>
        <w:spacing w:after="120"/>
      </w:pPr>
      <w:r>
        <w:rPr>
          <w:sz w:val="22"/>
          <w:szCs w:val="22"/>
        </w:rPr>
        <w:t xml:space="preserve">Not every detected event warrants the same level of treatment. Events are classified into three tiers based on intelligence value and user interest. Users can toggle each event category on/off independently.</w:t>
      </w:r>
    </w:p>
    <w:p>
      <w:pPr>
        <w:pStyle w:val="Heading2"/>
      </w:pPr>
      <w:r>
        <w:rPr>
          <w:b/>
          <w:bCs/>
        </w:rPr>
        <w:t xml:space="preserve">5.1 Tier 1: Full Intelligence Briefs</w:t>
      </w:r>
    </w:p>
    <w:p>
      <w:pPr>
        <w:spacing w:after="120"/>
      </w:pPr>
      <w:r>
        <w:rPr>
          <w:sz w:val="22"/>
          <w:szCs w:val="22"/>
        </w:rPr>
        <w:t xml:space="preserve">Deep enrichment, full data package, AI-synthesized bullet-point brief. These are the headline events that users open the Terminal to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Event Category</w:t>
            </w:r>
          </w:p>
        </w:tc>
        <w:tc>
          <w:tcPr>
            <w:tcW w:type="dxa" w:w="45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Trigger Source</w:t>
            </w:r>
          </w:p>
        </w:tc>
        <w:tc>
          <w:tcPr>
            <w:tcW w:type="dxa" w:w="266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Toggle Label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 &amp; Transfers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ACRIS deed recordings (doc_type: DEED, DEEDO, etc.)</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Significant Loans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ACRIS mortgages above threshold (doc_type: MTGE, AGMT, etc.)</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Building Permits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NOW job applications (Job Type: NB)</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Construction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 Alteration Permits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NOW (Job Type: A1 with est. cost &gt; $500K)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 Alterations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Certificate of Occupancy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NOW CO issuances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Certificates of Occupancy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Zoning Actions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ZAP ULURP certifications, BSA approvals/denials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Foreclosure Filings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ACRIS lis pendens recordings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Foreclosures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 Lien Sales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 lien sale list additions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 Liens</w:t>
            </w:r>
          </w:p>
        </w:tc>
      </w:tr>
    </w:tbl>
    <w:p>
      <w:pPr>
        <w:pStyle w:val="Heading2"/>
      </w:pPr>
      <w:r>
        <w:rPr>
          <w:b/>
          <w:bCs/>
        </w:rPr>
        <w:t xml:space="preserve">5.2 Tier 2: Structured Alerts</w:t>
      </w:r>
    </w:p>
    <w:p>
      <w:pPr>
        <w:spacing w:after="120"/>
      </w:pPr>
      <w:r>
        <w:rPr>
          <w:sz w:val="22"/>
          <w:szCs w:val="22"/>
        </w:rPr>
        <w:t xml:space="preserve">Lighter enrichment, condensed format (3-5 bullets). High volume but important operational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Event Category</w:t>
            </w:r>
          </w:p>
        </w:tc>
        <w:tc>
          <w:tcPr>
            <w:tcW w:type="dxa" w:w="45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Trigger Source</w:t>
            </w:r>
          </w:p>
        </w:tc>
        <w:tc>
          <w:tcPr>
            <w:tcW w:type="dxa" w:w="266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Toggle Label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HPD Violations (Class C/I)</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HPD Violations (immediately hazardous only)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Violations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Stop Work Orders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Violations with SWO disposition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Stop Work Orders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Complaints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Complaints Received (filtered by severity)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Complaints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ECB Summonses (high penalty)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OATH hearings with penalty &gt; $10K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ECB Penalties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Eviction Executions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Marshal eviction dataset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Stalled Construction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Stalled Sites additions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Stalled Sites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Litigation Filed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HPD Litigation (new case filings)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HPD Litigation</w:t>
            </w:r>
          </w:p>
        </w:tc>
      </w:tr>
    </w:tbl>
    <w:p>
      <w:pPr>
        <w:pStyle w:val="Heading2"/>
      </w:pPr>
      <w:r>
        <w:rPr>
          <w:b/>
          <w:bCs/>
        </w:rPr>
        <w:t xml:space="preserve">5.3 Tier 3: Background Profile Updates</w:t>
      </w:r>
    </w:p>
    <w:p>
      <w:pPr>
        <w:spacing w:after="120"/>
      </w:pPr>
      <w:r>
        <w:rPr>
          <w:sz w:val="22"/>
          <w:szCs w:val="22"/>
        </w:rPr>
        <w:t xml:space="preserve">No standalone brief generated. Data is ingested and updates the property profile silently. Relevant context surfaces when a Tier 1 or Tier 2 event occurs on the same BBL.</w:t>
      </w:r>
    </w:p>
    <w:p>
      <w:pPr>
        <w:pStyle w:val="ListParagraph"/>
        <w:numPr>
          <w:ilvl w:val="0"/>
          <w:numId w:val="2"/>
        </w:numPr>
        <w:spacing w:after="60"/>
      </w:pPr>
      <w:r>
        <w:rPr>
          <w:sz w:val="22"/>
          <w:szCs w:val="22"/>
        </w:rPr>
        <w:t xml:space="preserve">Assessment value changes (annual DOF roll)</w:t>
      </w:r>
    </w:p>
    <w:p>
      <w:pPr>
        <w:pStyle w:val="ListParagraph"/>
        <w:numPr>
          <w:ilvl w:val="0"/>
          <w:numId w:val="2"/>
        </w:numPr>
        <w:spacing w:after="60"/>
      </w:pPr>
      <w:r>
        <w:rPr>
          <w:sz w:val="22"/>
          <w:szCs w:val="22"/>
        </w:rPr>
        <w:t xml:space="preserve">Tax exemption updates (new/expiring 421-a, J-51, ICAP)</w:t>
      </w:r>
    </w:p>
    <w:p>
      <w:pPr>
        <w:pStyle w:val="ListParagraph"/>
        <w:numPr>
          <w:ilvl w:val="0"/>
          <w:numId w:val="2"/>
        </w:numPr>
        <w:spacing w:after="60"/>
      </w:pPr>
      <w:r>
        <w:rPr>
          <w:sz w:val="22"/>
          <w:szCs w:val="22"/>
        </w:rPr>
        <w:t xml:space="preserve">HPD registration renewals</w:t>
      </w:r>
    </w:p>
    <w:p>
      <w:pPr>
        <w:pStyle w:val="ListParagraph"/>
        <w:numPr>
          <w:ilvl w:val="0"/>
          <w:numId w:val="2"/>
        </w:numPr>
        <w:spacing w:after="60"/>
      </w:pPr>
      <w:r>
        <w:rPr>
          <w:sz w:val="22"/>
          <w:szCs w:val="22"/>
        </w:rPr>
        <w:t xml:space="preserve">Minor DOB permits (plumbing, electrical, fire suppression)</w:t>
      </w:r>
    </w:p>
    <w:p>
      <w:pPr>
        <w:pStyle w:val="ListParagraph"/>
        <w:numPr>
          <w:ilvl w:val="0"/>
          <w:numId w:val="2"/>
        </w:numPr>
        <w:spacing w:after="60"/>
      </w:pPr>
      <w:r>
        <w:rPr>
          <w:sz w:val="22"/>
          <w:szCs w:val="22"/>
        </w:rPr>
        <w:t xml:space="preserve">PLUTO updates (zoning changes, FAR recalculations)</w:t>
      </w:r>
    </w:p>
    <w:p>
      <w:pPr>
        <w:pStyle w:val="ListParagraph"/>
        <w:numPr>
          <w:ilvl w:val="0"/>
          <w:numId w:val="2"/>
        </w:numPr>
        <w:spacing w:after="60"/>
      </w:pPr>
      <w:r>
        <w:rPr>
          <w:sz w:val="22"/>
          <w:szCs w:val="22"/>
        </w:rPr>
        <w:t xml:space="preserve">LPC designation changes</w:t>
      </w:r>
    </w:p>
    <w:p>
      <w:pPr>
        <w:pStyle w:val="ListParagraph"/>
        <w:numPr>
          <w:ilvl w:val="0"/>
          <w:numId w:val="2"/>
        </w:numPr>
        <w:spacing w:after="60"/>
      </w:pPr>
      <w:r>
        <w:rPr>
          <w:sz w:val="22"/>
          <w:szCs w:val="22"/>
        </w:rPr>
        <w:t xml:space="preserve">Affordable housing production tracking</w:t>
      </w:r>
    </w:p>
    <w:p>
      <w:r>
        <w:br w:type="page"/>
      </w:r>
    </w:p>
    <w:p>
      <w:pPr>
        <w:pStyle w:val="Heading1"/>
      </w:pPr>
      <w:r>
        <w:rPr>
          <w:b/>
          <w:bCs/>
        </w:rPr>
        <w:t xml:space="preserve">6. AI Synthesis Engine</w:t>
      </w:r>
    </w:p>
    <w:p>
      <w:pPr>
        <w:spacing w:after="120"/>
      </w:pPr>
      <w:r>
        <w:rPr>
          <w:sz w:val="22"/>
          <w:szCs w:val="22"/>
        </w:rPr>
        <w:t xml:space="preserve">The AI engine receives the structured enrichment data package and outputs a bullet-point intelligence brief. It does not research, speculate, or editorialize. It synthesizes verified data into an actionable format.</w:t>
      </w:r>
    </w:p>
    <w:p>
      <w:pPr>
        <w:pStyle w:val="Heading2"/>
      </w:pPr>
      <w:r>
        <w:rPr>
          <w:b/>
          <w:bCs/>
        </w:rPr>
        <w:t xml:space="preserve">6.1 Output Format Specification</w:t>
      </w:r>
    </w:p>
    <w:p>
      <w:pPr>
        <w:spacing w:after="120"/>
      </w:pPr>
      <w:r>
        <w:rPr>
          <w:sz w:val="22"/>
          <w:szCs w:val="22"/>
        </w:rPr>
        <w:t xml:space="preserve">Every brief follows a rigid structure. The format is designed for 10-second scanning on both desktop (terminal view) and mobile. Example Tier 1 brief for a sale event:</w:t>
      </w:r>
    </w:p>
    <w:p>
      <w:pPr>
        <w:spacing w:after="80"/>
      </w:pPr>
    </w:p>
    <w:p>
      <w:pPr>
        <w:shd w:fill="0D1117" w:val="clear"/>
        <w:spacing w:after="40"/>
      </w:pPr>
      <w:r>
        <w:rPr>
          <w:rFonts w:ascii="Courier New" w:cs="Courier New" w:eastAsia="Courier New" w:hAnsi="Courier New"/>
          <w:color w:val="30D158"/>
          <w:sz w:val="20"/>
          <w:szCs w:val="20"/>
        </w:rPr>
        <w:t xml:space="preserve">■ SALE RECORDED  |  1847 Flatbush Ave, Brooklyn  |  BK-07265-0001</w:t>
      </w:r>
    </w:p>
    <w:p>
      <w:pPr>
        <w:shd w:fill="0D1117" w:val="clear"/>
        <w:spacing w:after="40"/>
      </w:pPr>
      <w:r>
        <w:rPr>
          <w:rFonts w:ascii="Courier New" w:cs="Courier New" w:eastAsia="Courier New" w:hAnsi="Courier New"/>
          <w:color w:val="E6EDF3"/>
          <w:sz w:val="20"/>
          <w:szCs w:val="20"/>
        </w:rPr>
        <w:t xml:space="preserve">  $3,400,000  |  12 Units  |  $283K/unit  |  4,800 GBA  |  $708/sf</w:t>
      </w:r>
    </w:p>
    <w:p>
      <w:pPr>
        <w:shd w:fill="0D1117" w:val="clear"/>
        <w:spacing w:after="40"/>
      </w:pPr>
      <w:r>
        <w:rPr>
          <w:rFonts w:ascii="Courier New" w:cs="Courier New" w:eastAsia="Courier New" w:hAnsi="Courier New"/>
          <w:color w:val="E6EDF3"/>
          <w:sz w:val="20"/>
          <w:szCs w:val="20"/>
        </w:rPr>
        <w:t xml:space="preserve">  Buyer: 1847 Flatbush Holdings LLC (reg. agent: M. Chen via DOS)</w:t>
      </w:r>
    </w:p>
    <w:p>
      <w:pPr>
        <w:shd w:fill="0D1117" w:val="clear"/>
        <w:spacing w:after="40"/>
      </w:pPr>
      <w:r>
        <w:rPr>
          <w:rFonts w:ascii="Courier New" w:cs="Courier New" w:eastAsia="Courier New" w:hAnsi="Courier New"/>
          <w:color w:val="E6EDF3"/>
          <w:sz w:val="20"/>
          <w:szCs w:val="20"/>
        </w:rPr>
        <w:t xml:space="preserve">  Seller: Dorset Realty Corp  |  Held 7.2 yrs  |  Acquired $2.1M (2018)</w:t>
      </w:r>
    </w:p>
    <w:p>
      <w:pPr>
        <w:shd w:fill="0D1117" w:val="clear"/>
        <w:spacing w:after="40"/>
      </w:pPr>
      <w:r>
        <w:rPr>
          <w:rFonts w:ascii="Courier New" w:cs="Courier New" w:eastAsia="Courier New" w:hAnsi="Courier New"/>
          <w:color w:val="8B949E"/>
          <w:sz w:val="20"/>
          <w:szCs w:val="20"/>
        </w:rPr>
        <w:t xml:space="preserve">  · Per-unit 9% below NTA trailing 12mo avg ($310K/unit, n=23)</w:t>
      </w:r>
    </w:p>
    <w:p>
      <w:pPr>
        <w:shd w:fill="0D1117" w:val="clear"/>
        <w:spacing w:after="40"/>
      </w:pPr>
      <w:r>
        <w:rPr>
          <w:rFonts w:ascii="Courier New" w:cs="Courier New" w:eastAsia="Courier New" w:hAnsi="Courier New"/>
          <w:color w:val="8B949E"/>
          <w:sz w:val="20"/>
          <w:szCs w:val="20"/>
        </w:rPr>
        <w:t xml:space="preserve">  · Buyer portfolio: 1823 Flatbush (acq. 2024), 1901 Flatbush (acq. 2025)</w:t>
      </w:r>
    </w:p>
    <w:p>
      <w:pPr>
        <w:shd w:fill="0D1117" w:val="clear"/>
        <w:spacing w:after="40"/>
      </w:pPr>
      <w:r>
        <w:rPr>
          <w:rFonts w:ascii="Courier New" w:cs="Courier New" w:eastAsia="Courier New" w:hAnsi="Courier New"/>
          <w:color w:val="FF6B6B"/>
          <w:sz w:val="20"/>
          <w:szCs w:val="20"/>
        </w:rPr>
        <w:t xml:space="preserve">  · 3 open Class C HPD violations (lead, mold, heat)</w:t>
      </w:r>
    </w:p>
    <w:p>
      <w:pPr>
        <w:shd w:fill="0D1117" w:val="clear"/>
        <w:spacing w:after="40"/>
      </w:pPr>
      <w:r>
        <w:rPr>
          <w:rFonts w:ascii="Courier New" w:cs="Courier New" w:eastAsia="Courier New" w:hAnsi="Courier New"/>
          <w:color w:val="FF6B6B"/>
          <w:sz w:val="20"/>
          <w:szCs w:val="20"/>
        </w:rPr>
        <w:t xml:space="preserve">  · DOB stop work order active since 11/2024</w:t>
      </w:r>
    </w:p>
    <w:p>
      <w:pPr>
        <w:shd w:fill="0D1117" w:val="clear"/>
        <w:spacing w:after="40"/>
      </w:pPr>
      <w:r>
        <w:rPr>
          <w:rFonts w:ascii="Courier New" w:cs="Courier New" w:eastAsia="Courier New" w:hAnsi="Courier New"/>
          <w:color w:val="8B949E"/>
          <w:sz w:val="20"/>
          <w:szCs w:val="20"/>
        </w:rPr>
        <w:t xml:space="preserve">  · Zoning R7A  |  Built FAR 2.8  |  Max FAR 4.0  |  ~2,800 sf unused</w:t>
      </w:r>
    </w:p>
    <w:p>
      <w:pPr>
        <w:shd w:fill="0D1117" w:val="clear"/>
        <w:spacing w:after="120"/>
      </w:pPr>
      <w:r>
        <w:rPr>
          <w:rFonts w:ascii="Courier New" w:cs="Courier New" w:eastAsia="Courier New" w:hAnsi="Courier New"/>
          <w:color w:val="FFD93D"/>
          <w:sz w:val="20"/>
          <w:szCs w:val="20"/>
        </w:rPr>
        <w:t xml:space="preserve">  · 421-a exemption expires 2028  |  Current assessed: $1.9M</w:t>
      </w:r>
    </w:p>
    <w:p>
      <w:pPr>
        <w:pStyle w:val="Heading2"/>
      </w:pPr>
      <w:r>
        <w:rPr>
          <w:b/>
          <w:bCs/>
        </w:rPr>
        <w:t xml:space="preserve">6.2 AI System Prompt Architecture</w:t>
      </w:r>
    </w:p>
    <w:p>
      <w:pPr>
        <w:spacing w:after="120"/>
      </w:pPr>
      <w:r>
        <w:rPr>
          <w:sz w:val="22"/>
          <w:szCs w:val="22"/>
        </w:rPr>
        <w:t xml:space="preserve">The AI engine uses a fixed system prompt that enforces the Bloomberg voice and bullet-point format. The enrichment data package is injected as structured JSON in the user message. Key directives:</w:t>
      </w:r>
    </w:p>
    <w:p>
      <w:pPr>
        <w:pStyle w:val="ListParagraph"/>
        <w:numPr>
          <w:ilvl w:val="0"/>
          <w:numId w:val="2"/>
        </w:numPr>
        <w:spacing w:after="60"/>
      </w:pPr>
      <w:r>
        <w:rPr>
          <w:b/>
          <w:bCs/>
          <w:sz w:val="22"/>
          <w:szCs w:val="22"/>
        </w:rPr>
        <w:t xml:space="preserve">Voice: </w:t>
      </w:r>
      <w:r>
        <w:rPr>
          <w:sz w:val="22"/>
          <w:szCs w:val="22"/>
        </w:rPr>
        <w:t xml:space="preserve">Institutional, data-dense, zero editorial commentary. Never use phrases like ‘notably,’ ‘interestingly,’ ‘it’s worth noting,’ or ‘in a significant move.’ State facts. No throat-clearing.</w:t>
      </w:r>
    </w:p>
    <w:p>
      <w:pPr>
        <w:pStyle w:val="ListParagraph"/>
        <w:numPr>
          <w:ilvl w:val="0"/>
          <w:numId w:val="2"/>
        </w:numPr>
        <w:spacing w:after="60"/>
      </w:pPr>
      <w:r>
        <w:rPr>
          <w:b/>
          <w:bCs/>
          <w:sz w:val="22"/>
          <w:szCs w:val="22"/>
        </w:rPr>
        <w:t xml:space="preserve">Format: </w:t>
      </w:r>
      <w:r>
        <w:rPr>
          <w:sz w:val="22"/>
          <w:szCs w:val="22"/>
        </w:rPr>
        <w:t xml:space="preserve">Always output as structured bullet points using the established template per event type. Header line with event type, address, BBL. Core metrics line. Parties line. Separator. Context bullets.</w:t>
      </w:r>
    </w:p>
    <w:p>
      <w:pPr>
        <w:pStyle w:val="ListParagraph"/>
        <w:numPr>
          <w:ilvl w:val="0"/>
          <w:numId w:val="2"/>
        </w:numPr>
        <w:spacing w:after="60"/>
      </w:pPr>
      <w:r>
        <w:rPr>
          <w:b/>
          <w:bCs/>
          <w:sz w:val="22"/>
          <w:szCs w:val="22"/>
        </w:rPr>
        <w:t xml:space="preserve">Data integrity: </w:t>
      </w:r>
      <w:r>
        <w:rPr>
          <w:sz w:val="22"/>
          <w:szCs w:val="22"/>
        </w:rPr>
        <w:t xml:space="preserve">Only reference data present in the enrichment package. Never speculate, infer motivation, or predict outcomes. If a data point is missing, omit it silently.</w:t>
      </w:r>
    </w:p>
    <w:p>
      <w:pPr>
        <w:pStyle w:val="ListParagraph"/>
        <w:numPr>
          <w:ilvl w:val="0"/>
          <w:numId w:val="2"/>
        </w:numPr>
        <w:spacing w:after="60"/>
      </w:pPr>
      <w:r>
        <w:rPr>
          <w:b/>
          <w:bCs/>
          <w:sz w:val="22"/>
          <w:szCs w:val="22"/>
        </w:rPr>
        <w:t xml:space="preserve">Terminology: </w:t>
      </w:r>
      <w:r>
        <w:rPr>
          <w:sz w:val="22"/>
          <w:szCs w:val="22"/>
        </w:rPr>
        <w:t xml:space="preserve">Use professional real estate terminology without explanation. Cap rate, GBA, FAR, NTA, basis per unit, debt yield, Class C violation, lis pendens, UCC-1.</w:t>
      </w:r>
    </w:p>
    <w:p>
      <w:pPr>
        <w:pStyle w:val="ListParagraph"/>
        <w:numPr>
          <w:ilvl w:val="0"/>
          <w:numId w:val="2"/>
        </w:numPr>
        <w:spacing w:after="60"/>
      </w:pPr>
      <w:r>
        <w:rPr>
          <w:b/>
          <w:bCs/>
          <w:sz w:val="22"/>
          <w:szCs w:val="22"/>
        </w:rPr>
        <w:t xml:space="preserve">Calculations: </w:t>
      </w:r>
      <w:r>
        <w:rPr>
          <w:sz w:val="22"/>
          <w:szCs w:val="22"/>
        </w:rPr>
        <w:t xml:space="preserve">Perform and display key calculations: price per unit, price per square foot, hold period, implied gain/loss, comp differential, unused FAR in square feet.</w:t>
      </w:r>
    </w:p>
    <w:p>
      <w:pPr>
        <w:pStyle w:val="ListParagraph"/>
        <w:numPr>
          <w:ilvl w:val="0"/>
          <w:numId w:val="2"/>
        </w:numPr>
        <w:spacing w:after="60"/>
      </w:pPr>
      <w:r>
        <w:rPr>
          <w:b/>
          <w:bCs/>
          <w:sz w:val="22"/>
          <w:szCs w:val="22"/>
        </w:rPr>
        <w:t xml:space="preserve">Color coding: </w:t>
      </w:r>
      <w:r>
        <w:rPr>
          <w:sz w:val="22"/>
          <w:szCs w:val="22"/>
        </w:rPr>
        <w:t xml:space="preserve">Tag output elements with severity/type metadata so the frontend can apply color: green for new events, red for distress signals, amber for expiring benefits, neutral for context.</w:t>
      </w:r>
    </w:p>
    <w:p>
      <w:pPr>
        <w:pStyle w:val="Heading2"/>
      </w:pPr>
      <w:r>
        <w:rPr>
          <w:b/>
          <w:bCs/>
        </w:rPr>
        <w:t xml:space="preserve">6.3 AI Model Selection &amp; Integration</w:t>
      </w:r>
    </w:p>
    <w:p>
      <w:pPr>
        <w:spacing w:after="120"/>
      </w:pPr>
      <w:r>
        <w:rPr>
          <w:b/>
          <w:bCs/>
          <w:sz w:val="22"/>
          <w:szCs w:val="22"/>
        </w:rPr>
        <w:t xml:space="preserve">Model: </w:t>
      </w:r>
      <w:r>
        <w:rPr>
          <w:sz w:val="22"/>
          <w:szCs w:val="22"/>
        </w:rPr>
        <w:t xml:space="preserve">claude-sonnet-4-5-20250514 (same model string used by leasing-engine.ts). Sonnet provides the optimal balance of speed, cost, and quality for structured data synthesis. Opus is unnecessary because the AI is synthesizing, not reasoning. Haiku is insufficient for the contextual calculations required.</w:t>
      </w:r>
    </w:p>
    <w:p>
      <w:pPr>
        <w:spacing w:after="120"/>
      </w:pPr>
      <w:r>
        <w:rPr>
          <w:b/>
          <w:bCs/>
          <w:sz w:val="22"/>
          <w:szCs w:val="22"/>
        </w:rPr>
        <w:t xml:space="preserve">Integration pattern: </w:t>
      </w:r>
      <w:r>
        <w:rPr>
          <w:sz w:val="22"/>
          <w:szCs w:val="22"/>
        </w:rPr>
        <w:t xml:space="preserve">Follow the existing Anthropic API singleton pattern from leasing-engine.ts. Use the @anthropic-ai/sdk package already installed. System prompt as inline string (like email-parser.ts), not dynamic template.</w:t>
      </w:r>
    </w:p>
    <w:p>
      <w:pPr>
        <w:spacing w:after="120"/>
      </w:pPr>
      <w:r>
        <w:rPr>
          <w:sz w:val="22"/>
          <w:szCs w:val="22"/>
        </w:rPr>
        <w:t xml:space="preserve">Estimated token usage per Tier 1 brief: ~2,000 input tokens (enrichment package) + ~500 output tokens (brief) = ~2,500 tokens total. Set max_tokens: 2000.</w:t>
      </w:r>
    </w:p>
    <w:p>
      <w:r>
        <w:br w:type="page"/>
      </w:r>
    </w:p>
    <w:p>
      <w:pPr>
        <w:pStyle w:val="Heading1"/>
      </w:pPr>
      <w:r>
        <w:rPr>
          <w:b/>
          <w:bCs/>
        </w:rPr>
        <w:t xml:space="preserve">7. User Interface Specification</w:t>
      </w:r>
    </w:p>
    <w:p>
      <w:pPr>
        <w:spacing w:after="120"/>
      </w:pPr>
      <w:r>
        <w:rPr>
          <w:sz w:val="22"/>
          <w:szCs w:val="22"/>
        </w:rPr>
        <w:t xml:space="preserve">The Terminal UI draws directly from the Bloomberg Terminal design language: dark background, high information density, monospace-influenced typography, and color used exclusively to encode meaning. No decorative elements.</w:t>
      </w:r>
    </w:p>
    <w:p>
      <w:pPr>
        <w:pStyle w:val="Heading2"/>
      </w:pPr>
      <w:r>
        <w:rPr>
          <w:b/>
          <w:bCs/>
        </w:rPr>
        <w:t xml:space="preserve">7.1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Token</w:t>
            </w:r>
          </w:p>
        </w:tc>
        <w:tc>
          <w:tcPr>
            <w:tcW w:type="dxa" w:w="32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Value</w:t>
            </w:r>
          </w:p>
        </w:tc>
        <w:tc>
          <w:tcPr>
            <w:tcW w:type="dxa" w:w="416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bg-primary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#0D1117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terminal background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bg-secondary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#161B22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Card/panel backgrounds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bg-tertiary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#1C2333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Hover states, active filters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text-primary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#E6EDF3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text (brief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text-secondary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#8B949E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 timestamps, labels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accent-green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#30D158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event indicators, positive metrics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accent-red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#FF6B6B</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Distress signals (violations, liens, SWOs)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accent-amber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#FFD93D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Warnings (expiring exemptions, deadlines)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accent-blue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#0A84FF</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elements, links, selected filters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border-subtle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#21262D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 dividers, card borders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font-primary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SF Mono / Fira Code / Courier New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terminal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font-ui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 / SF Pro / Arial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chrome, filter labels, navigation</w:t>
            </w:r>
          </w:p>
        </w:tc>
      </w:tr>
    </w:tbl>
    <w:p>
      <w:pPr>
        <w:pStyle w:val="Heading2"/>
      </w:pPr>
      <w:r>
        <w:rPr>
          <w:b/>
          <w:bCs/>
        </w:rPr>
        <w:t xml:space="preserve">7.2 Layout Structure</w:t>
      </w:r>
    </w:p>
    <w:p>
      <w:pPr>
        <w:spacing w:after="120"/>
      </w:pPr>
      <w:r>
        <w:rPr>
          <w:sz w:val="22"/>
          <w:szCs w:val="22"/>
        </w:rPr>
        <w:t xml:space="preserve">The terminal uses a three-panel layout on desktop, collapsing to a single-panel feed on mobile:</w:t>
      </w:r>
    </w:p>
    <w:p>
      <w:pPr>
        <w:pStyle w:val="ListParagraph"/>
        <w:numPr>
          <w:ilvl w:val="0"/>
          <w:numId w:val="2"/>
        </w:numPr>
        <w:spacing w:after="60"/>
      </w:pPr>
      <w:r>
        <w:rPr>
          <w:b/>
          <w:bCs/>
          <w:sz w:val="22"/>
          <w:szCs w:val="22"/>
        </w:rPr>
        <w:t xml:space="preserve">Top Bar (persistent): </w:t>
      </w:r>
      <w:r>
        <w:rPr>
          <w:sz w:val="22"/>
          <w:szCs w:val="22"/>
        </w:rPr>
        <w:t xml:space="preserve">VettdRE Terminal branding (left). Borough filter toggles: MN | BK | QN | BX | SI with active state highlighting (center). User settings, notification bell, search (right). Connection status indicator (green dot = live, amber = delayed).</w:t>
      </w:r>
    </w:p>
    <w:p>
      <w:pPr>
        <w:pStyle w:val="ListParagraph"/>
        <w:numPr>
          <w:ilvl w:val="0"/>
          <w:numId w:val="2"/>
        </w:numPr>
        <w:spacing w:after="60"/>
      </w:pPr>
      <w:r>
        <w:rPr>
          <w:b/>
          <w:bCs/>
          <w:sz w:val="22"/>
          <w:szCs w:val="22"/>
        </w:rPr>
        <w:t xml:space="preserve">Left Sidebar (desktop only, collapsible): </w:t>
      </w:r>
      <w:r>
        <w:rPr>
          <w:sz w:val="22"/>
          <w:szCs w:val="22"/>
        </w:rPr>
        <w:t xml:space="preserve">Neighborhood filter dropdown (cascades from selected boroughs). Event category toggles with on/off switches and event counts. Saved watchlists (My Buildings, My Blocks, My Owners). Recently viewed properties.</w:t>
      </w:r>
    </w:p>
    <w:p>
      <w:pPr>
        <w:pStyle w:val="ListParagraph"/>
        <w:numPr>
          <w:ilvl w:val="0"/>
          <w:numId w:val="2"/>
        </w:numPr>
        <w:spacing w:after="60"/>
      </w:pPr>
      <w:r>
        <w:rPr>
          <w:b/>
          <w:bCs/>
          <w:sz w:val="22"/>
          <w:szCs w:val="22"/>
        </w:rPr>
        <w:t xml:space="preserve">Main Feed (center): </w:t>
      </w:r>
      <w:r>
        <w:rPr>
          <w:sz w:val="22"/>
          <w:szCs w:val="22"/>
        </w:rPr>
        <w:t xml:space="preserve">Reverse-chronological event stream. Each event is a self-contained card with the structured brief. Cards are color-coded by event type via a left border accent. Infinite scroll with virtualized rendering for performance. Timestamp shows relative time (2m ago, 1h ago) and absolute on hover.</w:t>
      </w:r>
    </w:p>
    <w:p>
      <w:pPr>
        <w:pStyle w:val="ListParagraph"/>
        <w:numPr>
          <w:ilvl w:val="0"/>
          <w:numId w:val="2"/>
        </w:numPr>
        <w:spacing w:after="60"/>
      </w:pPr>
      <w:r>
        <w:rPr>
          <w:b/>
          <w:bCs/>
          <w:sz w:val="22"/>
          <w:szCs w:val="22"/>
        </w:rPr>
        <w:t xml:space="preserve">Right Panel (desktop only, optional): </w:t>
      </w:r>
      <w:r>
        <w:rPr>
          <w:sz w:val="22"/>
          <w:szCs w:val="22"/>
        </w:rPr>
        <w:t xml:space="preserve">Property deep-dive panel. Clicking a BBL in any brief opens the full property profile with all enrichment data in tabbed sections (Overview, Ownership, Financials, Violations, Permits, Zoning). This integrates with VettdRE’s existing building-profile.tsx component.</w:t>
      </w:r>
    </w:p>
    <w:p>
      <w:pPr>
        <w:pStyle w:val="Heading2"/>
      </w:pPr>
      <w:r>
        <w:rPr>
          <w:b/>
          <w:bCs/>
        </w:rPr>
        <w:t xml:space="preserve">7.3 App Shell Integration</w:t>
      </w:r>
    </w:p>
    <w:p>
      <w:pPr>
        <w:spacing w:after="120"/>
      </w:pPr>
      <w:r>
        <w:rPr>
          <w:sz w:val="22"/>
          <w:szCs w:val="22"/>
        </w:rPr>
        <w:t xml:space="preserve">The Terminal integrates into the existing VettdRE app shell as a new route under (dashboard)/terminal/:</w:t>
      </w:r>
    </w:p>
    <w:p>
      <w:pPr>
        <w:pStyle w:val="ListParagraph"/>
        <w:numPr>
          <w:ilvl w:val="0"/>
          <w:numId w:val="2"/>
        </w:numPr>
        <w:spacing w:after="60"/>
      </w:pPr>
      <w:r>
        <w:rPr>
          <w:b/>
          <w:bCs/>
          <w:sz w:val="22"/>
          <w:szCs w:val="22"/>
        </w:rPr>
        <w:t xml:space="preserve">Sidebar entry: </w:t>
      </w:r>
      <w:r>
        <w:rPr>
          <w:sz w:val="22"/>
          <w:szCs w:val="22"/>
        </w:rPr>
        <w:t xml:space="preserve">Add to the Research section alongside Market Intel. Icon: keyboard emoji or terminal icon. Feature-gated via nav_terminal flag.</w:t>
      </w:r>
    </w:p>
    <w:p>
      <w:pPr>
        <w:pStyle w:val="ListParagraph"/>
        <w:numPr>
          <w:ilvl w:val="0"/>
          <w:numId w:val="2"/>
        </w:numPr>
        <w:spacing w:after="60"/>
      </w:pPr>
      <w:r>
        <w:rPr>
          <w:b/>
          <w:bCs/>
          <w:sz w:val="22"/>
          <w:szCs w:val="22"/>
        </w:rPr>
        <w:t xml:space="preserve">Mobile nav: </w:t>
      </w:r>
      <w:r>
        <w:rPr>
          <w:sz w:val="22"/>
          <w:szCs w:val="22"/>
        </w:rPr>
        <w:t xml:space="preserve">Add to the ‘More’ sheet in mobile-nav.tsx, same feature gate.</w:t>
      </w:r>
    </w:p>
    <w:p>
      <w:pPr>
        <w:pStyle w:val="ListParagraph"/>
        <w:numPr>
          <w:ilvl w:val="0"/>
          <w:numId w:val="2"/>
        </w:numPr>
        <w:spacing w:after="60"/>
      </w:pPr>
      <w:r>
        <w:rPr>
          <w:b/>
          <w:bCs/>
          <w:sz w:val="22"/>
          <w:szCs w:val="22"/>
        </w:rPr>
        <w:t xml:space="preserve">Route structure: </w:t>
      </w:r>
      <w:r>
        <w:rPr>
          <w:sz w:val="22"/>
          <w:szCs w:val="22"/>
        </w:rPr>
        <w:t xml:space="preserve">src/app/(dashboard)/terminal/page.tsx (main), terminal/actions.ts (server actions), terminal/components/ (UI components).</w:t>
      </w:r>
    </w:p>
    <w:p>
      <w:pPr>
        <w:pStyle w:val="ListParagraph"/>
        <w:numPr>
          <w:ilvl w:val="0"/>
          <w:numId w:val="2"/>
        </w:numPr>
        <w:spacing w:after="60"/>
      </w:pPr>
      <w:r>
        <w:rPr>
          <w:b/>
          <w:bCs/>
          <w:sz w:val="22"/>
          <w:szCs w:val="22"/>
        </w:rPr>
        <w:t xml:space="preserve">Auth: </w:t>
      </w:r>
      <w:r>
        <w:rPr>
          <w:sz w:val="22"/>
          <w:szCs w:val="22"/>
        </w:rPr>
        <w:t xml:space="preserve">Protected by existing (dashboard)/layout.tsx auth check + UserPlanProvider. No additional auth needed.</w:t>
      </w:r>
    </w:p>
    <w:p>
      <w:pPr>
        <w:pStyle w:val="Heading2"/>
      </w:pPr>
      <w:r>
        <w:rPr>
          <w:b/>
          <w:bCs/>
        </w:rPr>
        <w:t xml:space="preserve">7.4 Category Toggle System</w:t>
      </w:r>
    </w:p>
    <w:p>
      <w:pPr>
        <w:spacing w:after="120"/>
      </w:pPr>
      <w:r>
        <w:rPr>
          <w:sz w:val="22"/>
          <w:szCs w:val="22"/>
        </w:rPr>
        <w:t xml:space="preserve">Users can independently toggle each event category on/off. Toggle state persists in UserTerminalPreferences Prisma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Category</w:t>
            </w:r>
          </w:p>
        </w:tc>
        <w:tc>
          <w:tcPr>
            <w:tcW w:type="dxa" w:w="10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Default</w:t>
            </w:r>
          </w:p>
        </w:tc>
        <w:tc>
          <w:tcPr>
            <w:tcW w:type="dxa" w:w="616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Includes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Deed recordings, transfers, conveyances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Mortgages, assignments, satisfactions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Construction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building permit applications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 Alterations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 alterations above cost 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Certificates of Occupancy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CO issuances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ULURP, BSA variances, special permits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Foreclosures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 pendens filings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 Liens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 lien sale list additions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Violations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 C/I HPD, DOB SWOs, high-penalty ECB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Complaints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complaints received (high volume)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Evictions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Marshal eviction executions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Stalled Sites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stalled construction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HPD Litigation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Housing court case filings</w:t>
            </w:r>
          </w:p>
        </w:tc>
      </w:tr>
    </w:tbl>
    <w:p>
      <w:pPr>
        <w:pStyle w:val="Heading2"/>
      </w:pPr>
      <w:r>
        <w:rPr>
          <w:b/>
          <w:bCs/>
        </w:rPr>
        <w:t xml:space="preserve">7.5 Filter &amp; Watchlist System</w:t>
      </w:r>
    </w:p>
    <w:p>
      <w:pPr>
        <w:pStyle w:val="Heading3"/>
      </w:pPr>
      <w:r>
        <w:rPr>
          <w:b/>
          <w:bCs/>
        </w:rPr>
        <w:t xml:space="preserve">7.5.1 Geographic Filters</w:t>
      </w:r>
    </w:p>
    <w:p>
      <w:pPr>
        <w:pStyle w:val="ListParagraph"/>
        <w:numPr>
          <w:ilvl w:val="0"/>
          <w:numId w:val="2"/>
        </w:numPr>
        <w:spacing w:after="60"/>
      </w:pPr>
      <w:r>
        <w:rPr>
          <w:b/>
          <w:bCs/>
          <w:sz w:val="22"/>
          <w:szCs w:val="22"/>
        </w:rPr>
        <w:t xml:space="preserve">Borough: </w:t>
      </w:r>
      <w:r>
        <w:rPr>
          <w:sz w:val="22"/>
          <w:szCs w:val="22"/>
        </w:rPr>
        <w:t xml:space="preserve">Toggle buttons for MN, BK, QN, BX, SI. Multiple boroughs can be active simultaneously. All on by default.</w:t>
      </w:r>
    </w:p>
    <w:p>
      <w:pPr>
        <w:pStyle w:val="ListParagraph"/>
        <w:numPr>
          <w:ilvl w:val="0"/>
          <w:numId w:val="2"/>
        </w:numPr>
        <w:spacing w:after="60"/>
      </w:pPr>
      <w:r>
        <w:rPr>
          <w:b/>
          <w:bCs/>
          <w:sz w:val="22"/>
          <w:szCs w:val="22"/>
        </w:rPr>
        <w:t xml:space="preserve">Neighborhood: </w:t>
      </w:r>
      <w:r>
        <w:rPr>
          <w:sz w:val="22"/>
          <w:szCs w:val="22"/>
        </w:rPr>
        <w:t xml:space="preserve">Dropdown populated from neighborhoods.ts (179 NYC neighborhoods with NTA codes). Cascades based on active borough selection. Multiple neighborhoods can be selected.</w:t>
      </w:r>
    </w:p>
    <w:p>
      <w:pPr>
        <w:pStyle w:val="ListParagraph"/>
        <w:numPr>
          <w:ilvl w:val="0"/>
          <w:numId w:val="2"/>
        </w:numPr>
        <w:spacing w:after="60"/>
      </w:pPr>
      <w:r>
        <w:rPr>
          <w:b/>
          <w:bCs/>
          <w:sz w:val="22"/>
          <w:szCs w:val="22"/>
        </w:rPr>
        <w:t xml:space="preserve">Custom geography (v2): </w:t>
      </w:r>
      <w:r>
        <w:rPr>
          <w:sz w:val="22"/>
          <w:szCs w:val="22"/>
        </w:rPr>
        <w:t xml:space="preserve">User-drawn polygon on map to define custom watch zones.</w:t>
      </w:r>
    </w:p>
    <w:p>
      <w:pPr>
        <w:pStyle w:val="Heading3"/>
      </w:pPr>
      <w:r>
        <w:rPr>
          <w:b/>
          <w:bCs/>
        </w:rPr>
        <w:t xml:space="preserve">7.5.2 Watchlists</w:t>
      </w:r>
    </w:p>
    <w:p>
      <w:pPr>
        <w:pStyle w:val="ListParagraph"/>
        <w:numPr>
          <w:ilvl w:val="0"/>
          <w:numId w:val="2"/>
        </w:numPr>
        <w:spacing w:after="60"/>
      </w:pPr>
      <w:r>
        <w:rPr>
          <w:b/>
          <w:bCs/>
          <w:sz w:val="22"/>
          <w:szCs w:val="22"/>
        </w:rPr>
        <w:t xml:space="preserve">Watch a BBL: </w:t>
      </w:r>
      <w:r>
        <w:rPr>
          <w:sz w:val="22"/>
          <w:szCs w:val="22"/>
        </w:rPr>
        <w:t xml:space="preserve">Monitor a specific property. Any event on that BBL triggers an alert.</w:t>
      </w:r>
    </w:p>
    <w:p>
      <w:pPr>
        <w:pStyle w:val="ListParagraph"/>
        <w:numPr>
          <w:ilvl w:val="0"/>
          <w:numId w:val="2"/>
        </w:numPr>
        <w:spacing w:after="60"/>
      </w:pPr>
      <w:r>
        <w:rPr>
          <w:b/>
          <w:bCs/>
          <w:sz w:val="22"/>
          <w:szCs w:val="22"/>
        </w:rPr>
        <w:t xml:space="preserve">Watch a Block: </w:t>
      </w:r>
      <w:r>
        <w:rPr>
          <w:sz w:val="22"/>
          <w:szCs w:val="22"/>
        </w:rPr>
        <w:t xml:space="preserve">Monitor an entire block (borough + block number). All events on any lot within that block trigger alerts.</w:t>
      </w:r>
    </w:p>
    <w:p>
      <w:pPr>
        <w:pStyle w:val="ListParagraph"/>
        <w:numPr>
          <w:ilvl w:val="0"/>
          <w:numId w:val="2"/>
        </w:numPr>
        <w:spacing w:after="60"/>
      </w:pPr>
      <w:r>
        <w:rPr>
          <w:b/>
          <w:bCs/>
          <w:sz w:val="22"/>
          <w:szCs w:val="22"/>
        </w:rPr>
        <w:t xml:space="preserve">Watch an Owner: </w:t>
      </w:r>
      <w:r>
        <w:rPr>
          <w:sz w:val="22"/>
          <w:szCs w:val="22"/>
        </w:rPr>
        <w:t xml:space="preserve">Monitor an entity name across all boroughs. Any ACRIS recording where that entity appears as buyer or seller triggers an alert.</w:t>
      </w:r>
    </w:p>
    <w:p>
      <w:pPr>
        <w:pStyle w:val="ListParagraph"/>
        <w:numPr>
          <w:ilvl w:val="0"/>
          <w:numId w:val="2"/>
        </w:numPr>
        <w:spacing w:after="60"/>
      </w:pPr>
      <w:r>
        <w:rPr>
          <w:b/>
          <w:bCs/>
          <w:sz w:val="22"/>
          <w:szCs w:val="22"/>
        </w:rPr>
        <w:t xml:space="preserve">Watch a Neighborhood: </w:t>
      </w:r>
      <w:r>
        <w:rPr>
          <w:sz w:val="22"/>
          <w:szCs w:val="22"/>
        </w:rPr>
        <w:t xml:space="preserve">Monitor an entire NTA. All Tier 1 events within that NTA trigger alerts (Tier 2 excluded to prevent notification overload).</w:t>
      </w:r>
    </w:p>
    <w:p>
      <w:pPr>
        <w:pStyle w:val="Heading3"/>
      </w:pPr>
      <w:r>
        <w:rPr>
          <w:b/>
          <w:bCs/>
        </w:rPr>
        <w:t xml:space="preserve">7.5.3 Notifications</w:t>
      </w:r>
    </w:p>
    <w:p>
      <w:pPr>
        <w:spacing w:after="120"/>
      </w:pPr>
      <w:r>
        <w:rPr>
          <w:sz w:val="22"/>
          <w:szCs w:val="22"/>
        </w:rPr>
        <w:t xml:space="preserve">Watchlist alerts are delivered via Supabase Realtime (in-app push) in v1. This is new infrastructure for VettdRE — Supabase Realtime is not currently used elsewhere. Email digest and SMS alerts (via existing Twilio integration) are v2 features.</w:t>
      </w:r>
    </w:p>
    <w:p>
      <w:r>
        <w:br w:type="page"/>
      </w:r>
    </w:p>
    <w:p>
      <w:pPr>
        <w:pStyle w:val="Heading1"/>
      </w:pPr>
      <w:r>
        <w:rPr>
          <w:b/>
          <w:bCs/>
        </w:rPr>
        <w:t xml:space="preserve">8. Database Schema (Prisma Models)</w:t>
      </w:r>
    </w:p>
    <w:p>
      <w:pPr>
        <w:spacing w:after="120"/>
      </w:pPr>
      <w:r>
        <w:rPr>
          <w:sz w:val="22"/>
          <w:szCs w:val="22"/>
        </w:rPr>
        <w:t xml:space="preserve">The Terminal extends the existing VettdRE Prisma schema (schema.prisma). All new models follow existing conventions: uuid primary keys, orgId for multi-tenancy, timestamptz columns, JSON for flexible payloads.</w:t>
      </w:r>
    </w:p>
    <w:p>
      <w:pPr>
        <w:pStyle w:val="Heading2"/>
      </w:pPr>
      <w:r>
        <w:rPr>
          <w:b/>
          <w:bCs/>
        </w:rPr>
        <w:t xml:space="preserve">8.1 Core Terminal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Model</w:t>
            </w:r>
          </w:p>
        </w:tc>
        <w:tc>
          <w:tcPr>
            <w:tcW w:type="dxa" w:w="22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Purpose</w:t>
            </w:r>
          </w:p>
        </w:tc>
        <w:tc>
          <w:tcPr>
            <w:tcW w:type="dxa" w:w="496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Key Fields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TerminalEvent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event feed. One row per detected event.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(uuid), eventType (String), bbl (String), borough (Int), ntaCode (String), detectedAt (DateTime), sourceDataset (String), sourceRecordId (String), enrichmentPackage (Json), aiBrief (String), tier (Int), metadata (Json), orgId (FK)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TerminalEventCategory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classification lookup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eventType (String), category (String), tier (Int), defaultEnabled (Boolean), displayLabel (String), sortOrder (Int)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UserTerminalPreferences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Per-user filter and toggle state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userId (FK), orgId (FK), enabledCategories (String[]), enabledBoroughs (Int[]), selectedNtas (String[]), preferences (Json)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TerminalWatchlist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Watchlist definitions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(uuid), userId (FK), orgId (FK), watchType (Enum: bbl/block/owner/nta), watchValue (String), label (String), notifyTiers (Int[])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TerminalWatchlistAlert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Triggered watchlist notifications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(uuid), watchlistId (FK), eventId (FK), read (Boolean), notifiedAt (DateTime)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IngestionState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Tracks last poll state per dataset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datasetId (String PK), lastCheckedAt (DateTime), lastRowsUpdatedAt (BigInt), lastRecordTimestamp (DateTime), recordCount (Int), status (String)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DatasetRegistry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Configuration for all monitored datasets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datasetId (String PK), displayName (String), pollTier (Enum: A/B/C), pollIntervalMinutes (Int), sodaEndpoint (String), timestampField (String), bblFields (Json), enabled (Boolean)</w:t>
            </w:r>
          </w:p>
        </w:tc>
      </w:tr>
    </w:tbl>
    <w:p>
      <w:pPr>
        <w:pStyle w:val="Heading2"/>
      </w:pPr>
      <w:r>
        <w:rPr>
          <w:b/>
          <w:bCs/>
        </w:rPr>
        <w:t xml:space="preserve">8.2 Data Mirror Tables</w:t>
      </w:r>
    </w:p>
    <w:p>
      <w:pPr>
        <w:spacing w:after="120"/>
      </w:pPr>
      <w:r>
        <w:rPr>
          <w:sz w:val="22"/>
          <w:szCs w:val="22"/>
        </w:rPr>
        <w:t xml:space="preserve">Each NYC Open Data source has a corresponding mirror table in the database that stores the latest snapshot. These tables are the source for enrichment joins. Key mirror tables for v1:</w:t>
      </w:r>
    </w:p>
    <w:p>
      <w:pPr>
        <w:pStyle w:val="ListParagraph"/>
        <w:numPr>
          <w:ilvl w:val="0"/>
          <w:numId w:val="2"/>
        </w:numPr>
        <w:spacing w:after="60"/>
      </w:pPr>
      <w:r>
        <w:rPr>
          <w:sz w:val="22"/>
          <w:szCs w:val="22"/>
        </w:rPr>
        <w:t xml:space="preserve">mirror_acris_master — Full ACRIS Real Property Master (filtered to last 10 years for performance)</w:t>
      </w:r>
    </w:p>
    <w:p>
      <w:pPr>
        <w:pStyle w:val="ListParagraph"/>
        <w:numPr>
          <w:ilvl w:val="0"/>
          <w:numId w:val="2"/>
        </w:numPr>
        <w:spacing w:after="60"/>
      </w:pPr>
      <w:r>
        <w:rPr>
          <w:sz w:val="22"/>
          <w:szCs w:val="22"/>
        </w:rPr>
        <w:t xml:space="preserve">mirror_acris_legals — ACRIS Legals joined to Master</w:t>
      </w:r>
    </w:p>
    <w:p>
      <w:pPr>
        <w:pStyle w:val="ListParagraph"/>
        <w:numPr>
          <w:ilvl w:val="0"/>
          <w:numId w:val="2"/>
        </w:numPr>
        <w:spacing w:after="60"/>
      </w:pPr>
      <w:r>
        <w:rPr>
          <w:sz w:val="22"/>
          <w:szCs w:val="22"/>
        </w:rPr>
        <w:t xml:space="preserve">mirror_acris_parties — ACRIS Parties joined to Master</w:t>
      </w:r>
    </w:p>
    <w:p>
      <w:pPr>
        <w:pStyle w:val="ListParagraph"/>
        <w:numPr>
          <w:ilvl w:val="0"/>
          <w:numId w:val="2"/>
        </w:numPr>
        <w:spacing w:after="60"/>
      </w:pPr>
      <w:r>
        <w:rPr>
          <w:sz w:val="22"/>
          <w:szCs w:val="22"/>
        </w:rPr>
        <w:t xml:space="preserve">mirror_pluto — Full PLUTO dataset (860K lots)</w:t>
      </w:r>
    </w:p>
    <w:p>
      <w:pPr>
        <w:pStyle w:val="ListParagraph"/>
        <w:numPr>
          <w:ilvl w:val="0"/>
          <w:numId w:val="2"/>
        </w:numPr>
        <w:spacing w:after="60"/>
      </w:pPr>
      <w:r>
        <w:rPr>
          <w:sz w:val="22"/>
          <w:szCs w:val="22"/>
        </w:rPr>
        <w:t xml:space="preserve">mirror_dob_permits — DOB NOW + Legacy BIS permits</w:t>
      </w:r>
    </w:p>
    <w:p>
      <w:pPr>
        <w:pStyle w:val="ListParagraph"/>
        <w:numPr>
          <w:ilvl w:val="0"/>
          <w:numId w:val="2"/>
        </w:numPr>
        <w:spacing w:after="60"/>
      </w:pPr>
      <w:r>
        <w:rPr>
          <w:sz w:val="22"/>
          <w:szCs w:val="22"/>
        </w:rPr>
        <w:t xml:space="preserve">mirror_dob_jobs — DOB job application filings</w:t>
      </w:r>
    </w:p>
    <w:p>
      <w:pPr>
        <w:pStyle w:val="ListParagraph"/>
        <w:numPr>
          <w:ilvl w:val="0"/>
          <w:numId w:val="2"/>
        </w:numPr>
        <w:spacing w:after="60"/>
      </w:pPr>
      <w:r>
        <w:rPr>
          <w:sz w:val="22"/>
          <w:szCs w:val="22"/>
        </w:rPr>
        <w:t xml:space="preserve">mirror_hpd_violations — HPD violations (last 5 years)</w:t>
      </w:r>
    </w:p>
    <w:p>
      <w:pPr>
        <w:pStyle w:val="ListParagraph"/>
        <w:numPr>
          <w:ilvl w:val="0"/>
          <w:numId w:val="2"/>
        </w:numPr>
        <w:spacing w:after="60"/>
      </w:pPr>
      <w:r>
        <w:rPr>
          <w:sz w:val="22"/>
          <w:szCs w:val="22"/>
        </w:rPr>
        <w:t xml:space="preserve">mirror_dof_assessments — Latest assessment roll</w:t>
      </w:r>
    </w:p>
    <w:p>
      <w:pPr>
        <w:pStyle w:val="ListParagraph"/>
        <w:numPr>
          <w:ilvl w:val="0"/>
          <w:numId w:val="2"/>
        </w:numPr>
        <w:spacing w:after="60"/>
      </w:pPr>
      <w:r>
        <w:rPr>
          <w:sz w:val="22"/>
          <w:szCs w:val="22"/>
        </w:rPr>
        <w:t xml:space="preserve">mirror_dof_exemptions — Active tax exemptions</w:t>
      </w:r>
    </w:p>
    <w:p>
      <w:pPr>
        <w:pStyle w:val="ListParagraph"/>
        <w:numPr>
          <w:ilvl w:val="0"/>
          <w:numId w:val="2"/>
        </w:numPr>
        <w:spacing w:after="60"/>
      </w:pPr>
      <w:r>
        <w:rPr>
          <w:sz w:val="22"/>
          <w:szCs w:val="22"/>
        </w:rPr>
        <w:t xml:space="preserve">mirror_dof_sales — DOF rolling sales</w:t>
      </w:r>
    </w:p>
    <w:p>
      <w:pPr>
        <w:pStyle w:val="ListParagraph"/>
        <w:numPr>
          <w:ilvl w:val="0"/>
          <w:numId w:val="2"/>
        </w:numPr>
        <w:spacing w:after="60"/>
      </w:pPr>
      <w:r>
        <w:rPr>
          <w:sz w:val="22"/>
          <w:szCs w:val="22"/>
        </w:rPr>
        <w:t xml:space="preserve">mirror_hpd_registrations — HPD building registrations + contacts</w:t>
      </w:r>
    </w:p>
    <w:p>
      <w:pPr>
        <w:pStyle w:val="ListParagraph"/>
        <w:numPr>
          <w:ilvl w:val="0"/>
          <w:numId w:val="2"/>
        </w:numPr>
        <w:spacing w:after="60"/>
      </w:pPr>
      <w:r>
        <w:rPr>
          <w:sz w:val="22"/>
          <w:szCs w:val="22"/>
        </w:rPr>
        <w:t xml:space="preserve">mirror_evictions — Marshal eviction data</w:t>
      </w:r>
    </w:p>
    <w:p>
      <w:pPr>
        <w:spacing w:after="80"/>
      </w:pPr>
    </w:p>
    <w:p>
      <w:pPr>
        <w:spacing w:after="120"/>
      </w:pPr>
      <w:r>
        <w:rPr>
          <w:b/>
          <w:bCs/>
          <w:sz w:val="22"/>
          <w:szCs w:val="22"/>
        </w:rPr>
        <w:t xml:space="preserve">Implementation note: </w:t>
      </w:r>
      <w:r>
        <w:rPr>
          <w:sz w:val="22"/>
          <w:szCs w:val="22"/>
        </w:rPr>
        <w:t xml:space="preserve">Mirror tables should be defined as Prisma models with a _syncedAt DateTime column. For very large mirrors (PLUTO 860K rows, ACRIS millions), consider whether Prisma models or raw SQL via prisma.$queryRaw is more appropriate for bulk operations. The existing BuildingCache model (bbl + source + data Json + expiresAt) can serve as a pattern.</w:t>
      </w:r>
    </w:p>
    <w:p>
      <w:r>
        <w:br w:type="page"/>
      </w:r>
    </w:p>
    <w:p>
      <w:pPr>
        <w:pStyle w:val="Heading1"/>
      </w:pPr>
      <w:r>
        <w:rPr>
          <w:b/>
          <w:bCs/>
        </w:rPr>
        <w:t xml:space="preserve">9. Self-Built Enrichment Layer</w:t>
      </w:r>
    </w:p>
    <w:p>
      <w:pPr>
        <w:spacing w:after="120"/>
      </w:pPr>
      <w:r>
        <w:rPr>
          <w:sz w:val="22"/>
          <w:szCs w:val="22"/>
        </w:rPr>
        <w:t xml:space="preserve">This section documents the free-data enrichment layer that replicates institutional-grade data providers like ATTOM using exclusively NYC Open Data and state public records.</w:t>
      </w:r>
    </w:p>
    <w:p>
      <w:pPr>
        <w:pStyle w:val="Heading2"/>
      </w:pPr>
      <w:r>
        <w:rPr>
          <w:b/>
          <w:bCs/>
        </w:rPr>
        <w:t xml:space="preserve">9.1 Enrichment Capabilities vs. ATTOM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Capability</w:t>
            </w:r>
          </w:p>
        </w:tc>
        <w:tc>
          <w:tcPr>
            <w:tcW w:type="dxa" w:w="20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ATTOM</w:t>
            </w:r>
          </w:p>
        </w:tc>
        <w:tc>
          <w:tcPr>
            <w:tcW w:type="dxa" w:w="28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VettdRE Terminal (Free Data)</w:t>
            </w:r>
          </w:p>
        </w:tc>
        <w:tc>
          <w:tcPr>
            <w:tcW w:type="dxa" w:w="276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Source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Ownership Intelligence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owner, mailing address, history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deed chain since 1966, LLC piercing via NY DOS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ACRIS + data.ny.gov DOS filings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AVM / Valuation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Proprietary regression model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DOF assessed value + comp engine (same NTA, building class, +/-20% area, trailing 12mo)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DOF Assessments + Rolling Sales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 Characteristics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fields per property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fields via PLUTO (same underlying source)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PLUTO / MapPLUTO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 &amp; Exemptions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 amounts, basic exemption flags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70-column exemption detail with benefit periods, expiration dates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DOF Exemption Detail (deeper)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Mortgage / Lien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Lender, amount, recording date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mortgage chain + UCC + mechanic’s liens + lis pendens via ACRIS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ACRIS (equivalent depth)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Foreclosure / Distress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 foreclosure flag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Multi-signal distress score: lis pendens + HPD litigation + tax liens + AEP + stalled sites + SWOs + evictions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datasets combined (deeper)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Permit History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permit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DOB NOW + BIS permit history with applicant, cost, status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DOB datasets (equivalent+)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Violation Profile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available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HPD + DOB + OATH violation history with severity, penalties, status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ATTOM equivalent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Zoning Actions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available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ULURP, BSA, CEQR applications on or near the property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ATTOM equivalent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Neighborhood Context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Schools, crime, demographics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DOF sales comps, Census ACS, school capacity, NYPD data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free sources</w:t>
            </w:r>
          </w:p>
        </w:tc>
      </w:tr>
    </w:tbl>
    <w:p>
      <w:pPr>
        <w:spacing w:after="120"/>
      </w:pPr>
      <w:r>
        <w:rPr>
          <w:sz w:val="22"/>
          <w:szCs w:val="22"/>
        </w:rPr>
        <w:t xml:space="preserve">Key takeaway: For NYC specifically, the free data approach matches or exceeds ATTOM’s depth in 8 of 10 categories, and provides two entire categories (violations, zoning actions) that ATTOM does not offer.</w:t>
      </w:r>
    </w:p>
    <w:p>
      <w:r>
        <w:br w:type="page"/>
      </w:r>
    </w:p>
    <w:p>
      <w:pPr>
        <w:pStyle w:val="Heading1"/>
      </w:pPr>
      <w:r>
        <w:rPr>
          <w:b/>
          <w:bCs/>
        </w:rPr>
        <w:t xml:space="preserve">10. Build Phases &amp; MVP Scope</w:t>
      </w:r>
    </w:p>
    <w:p>
      <w:pPr>
        <w:pStyle w:val="Heading2"/>
      </w:pPr>
      <w:r>
        <w:rPr>
          <w:b/>
          <w:bCs/>
        </w:rPr>
        <w:t xml:space="preserve">10.1 Phase 1: MVP (Ship to Production)</w:t>
      </w:r>
    </w:p>
    <w:p>
      <w:pPr>
        <w:spacing w:after="120"/>
      </w:pPr>
      <w:r>
        <w:rPr>
          <w:sz w:val="22"/>
          <w:szCs w:val="22"/>
        </w:rPr>
        <w:t xml:space="preserve">Target: 3-4 weeks to production. Goal: Working terminal feed with core event types, basic enrichment, and the Bloomberg UI.</w:t>
      </w:r>
    </w:p>
    <w:p>
      <w:pPr>
        <w:pStyle w:val="Heading3"/>
      </w:pPr>
      <w:r>
        <w:rPr>
          <w:b/>
          <w:bCs/>
        </w:rPr>
        <w:t xml:space="preserve">Infrastructure</w:t>
      </w:r>
    </w:p>
    <w:p>
      <w:pPr>
        <w:pStyle w:val="ListParagraph"/>
        <w:numPr>
          <w:ilvl w:val="0"/>
          <w:numId w:val="2"/>
        </w:numPr>
        <w:spacing w:after="60"/>
      </w:pPr>
      <w:r>
        <w:rPr>
          <w:sz w:val="22"/>
          <w:szCs w:val="22"/>
        </w:rPr>
        <w:t xml:space="preserve">Prisma schema: TerminalEvent, DatasetRegistry, IngestionState, UserTerminalPreferences models added to existing schema.prisma</w:t>
      </w:r>
    </w:p>
    <w:p>
      <w:pPr>
        <w:pStyle w:val="ListParagraph"/>
        <w:numPr>
          <w:ilvl w:val="0"/>
          <w:numId w:val="2"/>
        </w:numPr>
        <w:spacing w:after="60"/>
      </w:pPr>
      <w:r>
        <w:rPr>
          <w:sz w:val="22"/>
          <w:szCs w:val="22"/>
        </w:rPr>
        <w:t xml:space="preserve">Cron-triggered API route for Tier A dataset ingestion (DOB permits, HPD violations, DOB violations), using CRON_SECRET auth pattern from existing /api/automations/cron</w:t>
      </w:r>
    </w:p>
    <w:p>
      <w:pPr>
        <w:pStyle w:val="ListParagraph"/>
        <w:numPr>
          <w:ilvl w:val="0"/>
          <w:numId w:val="2"/>
        </w:numPr>
        <w:spacing w:after="60"/>
      </w:pPr>
      <w:r>
        <w:rPr>
          <w:sz w:val="22"/>
          <w:szCs w:val="22"/>
        </w:rPr>
        <w:t xml:space="preserve">Extend existing cache-manager.ts SOURCE_CONFIG with new Terminal-specific sources</w:t>
      </w:r>
    </w:p>
    <w:p>
      <w:pPr>
        <w:pStyle w:val="ListParagraph"/>
        <w:numPr>
          <w:ilvl w:val="0"/>
          <w:numId w:val="2"/>
        </w:numPr>
        <w:spacing w:after="60"/>
      </w:pPr>
      <w:r>
        <w:rPr>
          <w:sz w:val="22"/>
          <w:szCs w:val="22"/>
        </w:rPr>
        <w:t xml:space="preserve">PLUTO mirror in database (full 860K lot dataset for enrichment joins)</w:t>
      </w:r>
    </w:p>
    <w:p>
      <w:pPr>
        <w:pStyle w:val="ListParagraph"/>
        <w:numPr>
          <w:ilvl w:val="0"/>
          <w:numId w:val="2"/>
        </w:numPr>
        <w:spacing w:after="60"/>
      </w:pPr>
      <w:r>
        <w:rPr>
          <w:sz w:val="22"/>
          <w:szCs w:val="22"/>
        </w:rPr>
        <w:t xml:space="preserve">ACRIS mirror (Master + Legals + Parties, last 3 years minimum)</w:t>
      </w:r>
    </w:p>
    <w:p>
      <w:pPr>
        <w:pStyle w:val="ListParagraph"/>
        <w:numPr>
          <w:ilvl w:val="0"/>
          <w:numId w:val="2"/>
        </w:numPr>
        <w:spacing w:after="60"/>
      </w:pPr>
      <w:r>
        <w:rPr>
          <w:sz w:val="22"/>
          <w:szCs w:val="22"/>
        </w:rPr>
        <w:t xml:space="preserve">DOF assessments and sales mirrors</w:t>
      </w:r>
    </w:p>
    <w:p>
      <w:pPr>
        <w:pStyle w:val="Heading3"/>
      </w:pPr>
      <w:r>
        <w:rPr>
          <w:b/>
          <w:bCs/>
        </w:rPr>
        <w:t xml:space="preserve">Event Detection</w:t>
      </w:r>
    </w:p>
    <w:p>
      <w:pPr>
        <w:pStyle w:val="ListParagraph"/>
        <w:numPr>
          <w:ilvl w:val="0"/>
          <w:numId w:val="2"/>
        </w:numPr>
        <w:spacing w:after="60"/>
      </w:pPr>
      <w:r>
        <w:rPr>
          <w:sz w:val="22"/>
          <w:szCs w:val="22"/>
        </w:rPr>
        <w:t xml:space="preserve">SODA API polling: Phase 1 metadata check + Phase 2 incremental fetch</w:t>
      </w:r>
    </w:p>
    <w:p>
      <w:pPr>
        <w:pStyle w:val="ListParagraph"/>
        <w:numPr>
          <w:ilvl w:val="0"/>
          <w:numId w:val="2"/>
        </w:numPr>
        <w:spacing w:after="60"/>
      </w:pPr>
      <w:r>
        <w:rPr>
          <w:sz w:val="22"/>
          <w:szCs w:val="22"/>
        </w:rPr>
        <w:t xml:space="preserve">Initial event types: DOB new building permits, DOB major alteration permits, HPD Class C/I violations, DOB stop work orders</w:t>
      </w:r>
    </w:p>
    <w:p>
      <w:pPr>
        <w:pStyle w:val="ListParagraph"/>
        <w:numPr>
          <w:ilvl w:val="0"/>
          <w:numId w:val="2"/>
        </w:numPr>
        <w:spacing w:after="60"/>
      </w:pPr>
      <w:r>
        <w:rPr>
          <w:sz w:val="22"/>
          <w:szCs w:val="22"/>
        </w:rPr>
        <w:t xml:space="preserve">ACRIS sales detection (limited by monthly refresh — flag for acceleration in Phase 2)</w:t>
      </w:r>
    </w:p>
    <w:p>
      <w:pPr>
        <w:pStyle w:val="ListParagraph"/>
        <w:numPr>
          <w:ilvl w:val="0"/>
          <w:numId w:val="2"/>
        </w:numPr>
        <w:spacing w:after="60"/>
      </w:pPr>
      <w:r>
        <w:rPr>
          <w:sz w:val="22"/>
          <w:szCs w:val="22"/>
        </w:rPr>
        <w:t xml:space="preserve">Reuse cachedQueryNYC() pattern from data-fusion-engine.ts for all dataset queries</w:t>
      </w:r>
    </w:p>
    <w:p>
      <w:pPr>
        <w:pStyle w:val="Heading3"/>
      </w:pPr>
      <w:r>
        <w:rPr>
          <w:b/>
          <w:bCs/>
        </w:rPr>
        <w:t xml:space="preserve">Enrichment (MVP)</w:t>
      </w:r>
    </w:p>
    <w:p>
      <w:pPr>
        <w:pStyle w:val="ListParagraph"/>
        <w:numPr>
          <w:ilvl w:val="0"/>
          <w:numId w:val="2"/>
        </w:numPr>
        <w:spacing w:after="60"/>
      </w:pPr>
      <w:r>
        <w:rPr>
          <w:sz w:val="22"/>
          <w:szCs w:val="22"/>
        </w:rPr>
        <w:t xml:space="preserve">BBL lookup against PLUTO via existing fetchBuildingCritical()</w:t>
      </w:r>
    </w:p>
    <w:p>
      <w:pPr>
        <w:pStyle w:val="ListParagraph"/>
        <w:numPr>
          <w:ilvl w:val="0"/>
          <w:numId w:val="2"/>
        </w:numPr>
        <w:spacing w:after="60"/>
      </w:pPr>
      <w:r>
        <w:rPr>
          <w:sz w:val="22"/>
          <w:szCs w:val="22"/>
        </w:rPr>
        <w:t xml:space="preserve">BBL lookup against DOF for current assessed value</w:t>
      </w:r>
    </w:p>
    <w:p>
      <w:pPr>
        <w:pStyle w:val="ListParagraph"/>
        <w:numPr>
          <w:ilvl w:val="0"/>
          <w:numId w:val="2"/>
        </w:numPr>
        <w:spacing w:after="60"/>
      </w:pPr>
      <w:r>
        <w:rPr>
          <w:sz w:val="22"/>
          <w:szCs w:val="22"/>
        </w:rPr>
        <w:t xml:space="preserve">Basic comp pull: 5 most recent same-class sales in NTA (reuse comps-engine.ts)</w:t>
      </w:r>
    </w:p>
    <w:p>
      <w:pPr>
        <w:pStyle w:val="ListParagraph"/>
        <w:numPr>
          <w:ilvl w:val="0"/>
          <w:numId w:val="2"/>
        </w:numPr>
        <w:spacing w:after="60"/>
      </w:pPr>
      <w:r>
        <w:rPr>
          <w:sz w:val="22"/>
          <w:szCs w:val="22"/>
        </w:rPr>
        <w:t xml:space="preserve">Open violation count from HPD + DOB mirrors</w:t>
      </w:r>
    </w:p>
    <w:p>
      <w:pPr>
        <w:pStyle w:val="Heading3"/>
      </w:pPr>
      <w:r>
        <w:rPr>
          <w:b/>
          <w:bCs/>
        </w:rPr>
        <w:t xml:space="preserve">AI Brief Generation</w:t>
      </w:r>
    </w:p>
    <w:p>
      <w:pPr>
        <w:pStyle w:val="ListParagraph"/>
        <w:numPr>
          <w:ilvl w:val="0"/>
          <w:numId w:val="2"/>
        </w:numPr>
        <w:spacing w:after="60"/>
      </w:pPr>
      <w:r>
        <w:rPr>
          <w:sz w:val="22"/>
          <w:szCs w:val="22"/>
        </w:rPr>
        <w:t xml:space="preserve">Anthropic API integration using existing @anthropic-ai/sdk (claude-sonnet-4-5-20250514)</w:t>
      </w:r>
    </w:p>
    <w:p>
      <w:pPr>
        <w:pStyle w:val="ListParagraph"/>
        <w:numPr>
          <w:ilvl w:val="0"/>
          <w:numId w:val="2"/>
        </w:numPr>
        <w:spacing w:after="60"/>
      </w:pPr>
      <w:r>
        <w:rPr>
          <w:sz w:val="22"/>
          <w:szCs w:val="22"/>
        </w:rPr>
        <w:t xml:space="preserve">System prompt with Bloomberg voice and bullet-point format</w:t>
      </w:r>
    </w:p>
    <w:p>
      <w:pPr>
        <w:pStyle w:val="ListParagraph"/>
        <w:numPr>
          <w:ilvl w:val="0"/>
          <w:numId w:val="2"/>
        </w:numPr>
        <w:spacing w:after="60"/>
      </w:pPr>
      <w:r>
        <w:rPr>
          <w:sz w:val="22"/>
          <w:szCs w:val="22"/>
        </w:rPr>
        <w:t xml:space="preserve">Enrichment package → AI → structured brief pipeline</w:t>
      </w:r>
    </w:p>
    <w:p>
      <w:pPr>
        <w:pStyle w:val="Heading3"/>
      </w:pPr>
      <w:r>
        <w:rPr>
          <w:b/>
          <w:bCs/>
        </w:rPr>
        <w:t xml:space="preserve">UI (MVP)</w:t>
      </w:r>
    </w:p>
    <w:p>
      <w:pPr>
        <w:pStyle w:val="ListParagraph"/>
        <w:numPr>
          <w:ilvl w:val="0"/>
          <w:numId w:val="2"/>
        </w:numPr>
        <w:spacing w:after="60"/>
      </w:pPr>
      <w:r>
        <w:rPr>
          <w:sz w:val="22"/>
          <w:szCs w:val="22"/>
        </w:rPr>
        <w:t xml:space="preserve">Bloomberg dark theme terminal interface integrated into VettdRE app shell under (dashboard)/terminal/</w:t>
      </w:r>
    </w:p>
    <w:p>
      <w:pPr>
        <w:pStyle w:val="ListParagraph"/>
        <w:numPr>
          <w:ilvl w:val="0"/>
          <w:numId w:val="2"/>
        </w:numPr>
        <w:spacing w:after="60"/>
      </w:pPr>
      <w:r>
        <w:rPr>
          <w:sz w:val="22"/>
          <w:szCs w:val="22"/>
        </w:rPr>
        <w:t xml:space="preserve">Reverse-chronological event feed with infinite scroll (virtualized rendering)</w:t>
      </w:r>
    </w:p>
    <w:p>
      <w:pPr>
        <w:pStyle w:val="ListParagraph"/>
        <w:numPr>
          <w:ilvl w:val="0"/>
          <w:numId w:val="2"/>
        </w:numPr>
        <w:spacing w:after="60"/>
      </w:pPr>
      <w:r>
        <w:rPr>
          <w:sz w:val="22"/>
          <w:szCs w:val="22"/>
        </w:rPr>
        <w:t xml:space="preserve">Borough filter toggles (MN/BK/QN/BX/SI)</w:t>
      </w:r>
    </w:p>
    <w:p>
      <w:pPr>
        <w:pStyle w:val="ListParagraph"/>
        <w:numPr>
          <w:ilvl w:val="0"/>
          <w:numId w:val="2"/>
        </w:numPr>
        <w:spacing w:after="60"/>
      </w:pPr>
      <w:r>
        <w:rPr>
          <w:sz w:val="22"/>
          <w:szCs w:val="22"/>
        </w:rPr>
        <w:t xml:space="preserve">Event category toggles (on/off per category)</w:t>
      </w:r>
    </w:p>
    <w:p>
      <w:pPr>
        <w:pStyle w:val="ListParagraph"/>
        <w:numPr>
          <w:ilvl w:val="0"/>
          <w:numId w:val="2"/>
        </w:numPr>
        <w:spacing w:after="60"/>
      </w:pPr>
      <w:r>
        <w:rPr>
          <w:sz w:val="22"/>
          <w:szCs w:val="22"/>
        </w:rPr>
        <w:t xml:space="preserve">Responsive: full terminal on desktop, single-column feed on mobile</w:t>
      </w:r>
    </w:p>
    <w:p>
      <w:pPr>
        <w:pStyle w:val="ListParagraph"/>
        <w:numPr>
          <w:ilvl w:val="0"/>
          <w:numId w:val="2"/>
        </w:numPr>
        <w:spacing w:after="60"/>
      </w:pPr>
      <w:r>
        <w:rPr>
          <w:sz w:val="22"/>
          <w:szCs w:val="22"/>
        </w:rPr>
        <w:t xml:space="preserve">Feature-gated via nav_terminal + terminal_access flags in feature-gate.ts</w:t>
      </w:r>
    </w:p>
    <w:p>
      <w:pPr>
        <w:pStyle w:val="ListParagraph"/>
        <w:numPr>
          <w:ilvl w:val="0"/>
          <w:numId w:val="2"/>
        </w:numPr>
        <w:spacing w:after="60"/>
      </w:pPr>
      <w:r>
        <w:rPr>
          <w:sz w:val="22"/>
          <w:szCs w:val="22"/>
        </w:rPr>
        <w:t xml:space="preserve">Sidebar + mobile nav entries added</w:t>
      </w:r>
    </w:p>
    <w:p>
      <w:pPr>
        <w:pStyle w:val="Heading2"/>
      </w:pPr>
      <w:r>
        <w:rPr>
          <w:b/>
          <w:bCs/>
        </w:rPr>
        <w:t xml:space="preserve">10.2 Phase 2: Full Enrichment</w:t>
      </w:r>
    </w:p>
    <w:p>
      <w:pPr>
        <w:spacing w:after="120"/>
      </w:pPr>
      <w:r>
        <w:rPr>
          <w:sz w:val="22"/>
          <w:szCs w:val="22"/>
        </w:rPr>
        <w:t xml:space="preserve">Target: 4-6 weeks post-MVP. Goal: Complete enrichment layer, all event types, watchlists.</w:t>
      </w:r>
    </w:p>
    <w:p>
      <w:pPr>
        <w:pStyle w:val="ListParagraph"/>
        <w:numPr>
          <w:ilvl w:val="0"/>
          <w:numId w:val="2"/>
        </w:numPr>
        <w:spacing w:after="60"/>
      </w:pPr>
      <w:r>
        <w:rPr>
          <w:sz w:val="22"/>
          <w:szCs w:val="22"/>
        </w:rPr>
        <w:t xml:space="preserve">Full ACRIS ownership chain assembly (deed chain builder)</w:t>
      </w:r>
    </w:p>
    <w:p>
      <w:pPr>
        <w:pStyle w:val="ListParagraph"/>
        <w:numPr>
          <w:ilvl w:val="0"/>
          <w:numId w:val="2"/>
        </w:numPr>
        <w:spacing w:after="60"/>
      </w:pPr>
      <w:r>
        <w:rPr>
          <w:sz w:val="22"/>
          <w:szCs w:val="22"/>
        </w:rPr>
        <w:t xml:space="preserve">NY DOS LLC piercing integration (data.ny.gov entity filings — already integrated: ekwr-p59j, 63wc-4exh)</w:t>
      </w:r>
    </w:p>
    <w:p>
      <w:pPr>
        <w:pStyle w:val="ListParagraph"/>
        <w:numPr>
          <w:ilvl w:val="0"/>
          <w:numId w:val="2"/>
        </w:numPr>
        <w:spacing w:after="60"/>
      </w:pPr>
      <w:r>
        <w:rPr>
          <w:sz w:val="22"/>
          <w:szCs w:val="22"/>
        </w:rPr>
        <w:t xml:space="preserve">Tax exemption analysis with expiration flagging</w:t>
      </w:r>
    </w:p>
    <w:p>
      <w:pPr>
        <w:pStyle w:val="ListParagraph"/>
        <w:numPr>
          <w:ilvl w:val="0"/>
          <w:numId w:val="2"/>
        </w:numPr>
        <w:spacing w:after="60"/>
      </w:pPr>
      <w:r>
        <w:rPr>
          <w:sz w:val="22"/>
          <w:szCs w:val="22"/>
        </w:rPr>
        <w:t xml:space="preserve">Comp engine: spatial proximity, building class matching, trailing 12-month averages (extend existing comps-engine.ts)</w:t>
      </w:r>
    </w:p>
    <w:p>
      <w:pPr>
        <w:pStyle w:val="ListParagraph"/>
        <w:numPr>
          <w:ilvl w:val="0"/>
          <w:numId w:val="2"/>
        </w:numPr>
        <w:spacing w:after="60"/>
      </w:pPr>
      <w:r>
        <w:rPr>
          <w:sz w:val="22"/>
          <w:szCs w:val="22"/>
        </w:rPr>
        <w:t xml:space="preserve">Portfolio intel: cross-reference buyer/seller names across ACRIS (extend existing entity-resolver.ts)</w:t>
      </w:r>
    </w:p>
    <w:p>
      <w:pPr>
        <w:pStyle w:val="ListParagraph"/>
        <w:numPr>
          <w:ilvl w:val="0"/>
          <w:numId w:val="2"/>
        </w:numPr>
        <w:spacing w:after="60"/>
      </w:pPr>
      <w:r>
        <w:rPr>
          <w:sz w:val="22"/>
          <w:szCs w:val="22"/>
        </w:rPr>
        <w:t xml:space="preserve">Tier B and C dataset ingestion (ACRIS full tables, BSA, ZAP, CEQR, evictions, LPC)</w:t>
      </w:r>
    </w:p>
    <w:p>
      <w:pPr>
        <w:pStyle w:val="ListParagraph"/>
        <w:numPr>
          <w:ilvl w:val="0"/>
          <w:numId w:val="2"/>
        </w:numPr>
        <w:spacing w:after="60"/>
      </w:pPr>
      <w:r>
        <w:rPr>
          <w:sz w:val="22"/>
          <w:szCs w:val="22"/>
        </w:rPr>
        <w:t xml:space="preserve">Neighborhood dropdown filter (NTA-based, using existing neighborhoods.ts with 179 entries)</w:t>
      </w:r>
    </w:p>
    <w:p>
      <w:pPr>
        <w:pStyle w:val="ListParagraph"/>
        <w:numPr>
          <w:ilvl w:val="0"/>
          <w:numId w:val="2"/>
        </w:numPr>
        <w:spacing w:after="60"/>
      </w:pPr>
      <w:r>
        <w:rPr>
          <w:sz w:val="22"/>
          <w:szCs w:val="22"/>
        </w:rPr>
        <w:t xml:space="preserve">Watchlist system (Watch BBL, Watch Block, Watch Owner) via TerminalWatchlist Prisma model</w:t>
      </w:r>
    </w:p>
    <w:p>
      <w:pPr>
        <w:pStyle w:val="ListParagraph"/>
        <w:numPr>
          <w:ilvl w:val="0"/>
          <w:numId w:val="2"/>
        </w:numPr>
        <w:spacing w:after="60"/>
      </w:pPr>
      <w:r>
        <w:rPr>
          <w:sz w:val="22"/>
          <w:szCs w:val="22"/>
        </w:rPr>
        <w:t xml:space="preserve">Supabase Realtime for live feed updates and watchlist push notifications (new infrastructure)</w:t>
      </w:r>
    </w:p>
    <w:p>
      <w:pPr>
        <w:pStyle w:val="Heading2"/>
      </w:pPr>
      <w:r>
        <w:rPr>
          <w:b/>
          <w:bCs/>
        </w:rPr>
        <w:t xml:space="preserve">10.3 Phase 3: Intelligence Edge</w:t>
      </w:r>
    </w:p>
    <w:p>
      <w:pPr>
        <w:spacing w:after="120"/>
      </w:pPr>
      <w:r>
        <w:rPr>
          <w:sz w:val="22"/>
          <w:szCs w:val="22"/>
        </w:rPr>
        <w:t xml:space="preserve">Target: 8-12 weeks post-MVP. Goal: Features that create true competitive differentiation.</w:t>
      </w:r>
    </w:p>
    <w:p>
      <w:pPr>
        <w:pStyle w:val="ListParagraph"/>
        <w:numPr>
          <w:ilvl w:val="0"/>
          <w:numId w:val="2"/>
        </w:numPr>
        <w:spacing w:after="60"/>
      </w:pPr>
      <w:r>
        <w:rPr>
          <w:sz w:val="22"/>
          <w:szCs w:val="22"/>
        </w:rPr>
        <w:t xml:space="preserve">ACRIS acceleration: direct ACRIS web monitoring to reduce sale detection latency from weeks to hours</w:t>
      </w:r>
    </w:p>
    <w:p>
      <w:pPr>
        <w:pStyle w:val="ListParagraph"/>
        <w:numPr>
          <w:ilvl w:val="0"/>
          <w:numId w:val="2"/>
        </w:numPr>
        <w:spacing w:after="60"/>
      </w:pPr>
      <w:r>
        <w:rPr>
          <w:sz w:val="22"/>
          <w:szCs w:val="22"/>
        </w:rPr>
        <w:t xml:space="preserve">Distress scoring model: multi-signal composite score per BBL (extend existing motivation-engine.ts)</w:t>
      </w:r>
    </w:p>
    <w:p>
      <w:pPr>
        <w:pStyle w:val="ListParagraph"/>
        <w:numPr>
          <w:ilvl w:val="0"/>
          <w:numId w:val="2"/>
        </w:numPr>
        <w:spacing w:after="60"/>
      </w:pPr>
      <w:r>
        <w:rPr>
          <w:sz w:val="22"/>
          <w:szCs w:val="22"/>
        </w:rPr>
        <w:t xml:space="preserve">Custom AVM v1: regression model trained on DOF sales data with PLUTO features</w:t>
      </w:r>
    </w:p>
    <w:p>
      <w:pPr>
        <w:pStyle w:val="ListParagraph"/>
        <w:numPr>
          <w:ilvl w:val="0"/>
          <w:numId w:val="2"/>
        </w:numPr>
        <w:spacing w:after="60"/>
      </w:pPr>
      <w:r>
        <w:rPr>
          <w:sz w:val="22"/>
          <w:szCs w:val="22"/>
        </w:rPr>
        <w:t xml:space="preserve">Map view: events plotted on Leaflet map using existing map infrastructure (circleMarker for performance)</w:t>
      </w:r>
    </w:p>
    <w:p>
      <w:pPr>
        <w:pStyle w:val="ListParagraph"/>
        <w:numPr>
          <w:ilvl w:val="0"/>
          <w:numId w:val="2"/>
        </w:numPr>
        <w:spacing w:after="60"/>
      </w:pPr>
      <w:r>
        <w:rPr>
          <w:sz w:val="22"/>
          <w:szCs w:val="22"/>
        </w:rPr>
        <w:t xml:space="preserve">Property deep-dive right panel linking to existing building-profile.tsx component</w:t>
      </w:r>
    </w:p>
    <w:p>
      <w:pPr>
        <w:pStyle w:val="ListParagraph"/>
        <w:numPr>
          <w:ilvl w:val="0"/>
          <w:numId w:val="2"/>
        </w:numPr>
        <w:spacing w:after="60"/>
      </w:pPr>
      <w:r>
        <w:rPr>
          <w:sz w:val="22"/>
          <w:szCs w:val="22"/>
        </w:rPr>
        <w:t xml:space="preserve">Email digest: daily/weekly summary of watchlist activity (via existing Resend integration)</w:t>
      </w:r>
    </w:p>
    <w:p>
      <w:pPr>
        <w:pStyle w:val="ListParagraph"/>
        <w:numPr>
          <w:ilvl w:val="0"/>
          <w:numId w:val="2"/>
        </w:numPr>
        <w:spacing w:after="60"/>
      </w:pPr>
      <w:r>
        <w:rPr>
          <w:sz w:val="22"/>
          <w:szCs w:val="22"/>
        </w:rPr>
        <w:t xml:space="preserve">SMS alerts via existing Twilio integration for high-priority watchlist matches</w:t>
      </w:r>
    </w:p>
    <w:p>
      <w:pPr>
        <w:pStyle w:val="ListParagraph"/>
        <w:numPr>
          <w:ilvl w:val="0"/>
          <w:numId w:val="2"/>
        </w:numPr>
        <w:spacing w:after="60"/>
      </w:pPr>
      <w:r>
        <w:rPr>
          <w:sz w:val="22"/>
          <w:szCs w:val="22"/>
        </w:rPr>
        <w:t xml:space="preserve">Rent stabilization data integration</w:t>
      </w:r>
    </w:p>
    <w:p>
      <w:pPr>
        <w:pStyle w:val="ListParagraph"/>
        <w:numPr>
          <w:ilvl w:val="0"/>
          <w:numId w:val="2"/>
        </w:numPr>
        <w:spacing w:after="60"/>
      </w:pPr>
      <w:r>
        <w:rPr>
          <w:sz w:val="22"/>
          <w:szCs w:val="22"/>
        </w:rPr>
        <w:t xml:space="preserve">Commercial signals layer: SLA liquor license applications, DCWP business licenses, film permit density</w:t>
      </w:r>
    </w:p>
    <w:p>
      <w:pPr>
        <w:pStyle w:val="ListParagraph"/>
        <w:numPr>
          <w:ilvl w:val="0"/>
          <w:numId w:val="2"/>
        </w:numPr>
        <w:spacing w:after="60"/>
      </w:pPr>
      <w:r>
        <w:rPr>
          <w:sz w:val="22"/>
          <w:szCs w:val="22"/>
        </w:rPr>
        <w:t xml:space="preserve">Search: full-text search across all briefs, owner names, addresses</w:t>
      </w:r>
    </w:p>
    <w:p>
      <w:r>
        <w:br w:type="page"/>
      </w:r>
    </w:p>
    <w:p>
      <w:pPr>
        <w:pStyle w:val="Heading1"/>
      </w:pPr>
      <w:r>
        <w:rPr>
          <w:b/>
          <w:bCs/>
        </w:rPr>
        <w:t xml:space="preserve">11. Performance &amp; Scaling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Metric</w:t>
            </w:r>
          </w:p>
        </w:tc>
        <w:tc>
          <w:tcPr>
            <w:tcW w:type="dxa" w:w="22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Target</w:t>
            </w:r>
          </w:p>
        </w:tc>
        <w:tc>
          <w:tcPr>
            <w:tcW w:type="dxa" w:w="516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Strategy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 load 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500ms for initial 50 events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Prisma query with index on (detectedAt DESC) + category/borough filters. Paginate at 50 events.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detection latency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 min for Tier A datasets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15-minute polling cycle with metadata pre-check. Cloud Run cron with sub-minute cold start.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Enrichment pipeline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 sec per event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Pre-indexed BBL lookups against mirror tables. Parallel queries via Promise.all(). Reuse existing 3-tier cache.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brief generation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 sec per brief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Sonnet with ~2,500 tokens per call. Async generation — brief appended to event after detection.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Concurrent users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simultaneous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Realtime handles WebSocket fan-out. Feed is read-heavy with no user writes except preference updates.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warehouse 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~50-100 GB year 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Mirror tables pruned by time window. PLUTO is ~500MB. Existing Prisma connection pooler handles load.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SODA API usage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5,000 calls/hour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Two-phase polling reduces actual data fetches to ~10% of metadata checks. Well within SODA rate tolerance.</w:t>
            </w:r>
          </w:p>
        </w:tc>
      </w:tr>
    </w:tbl>
    <w:p>
      <w:pPr>
        <w:pStyle w:val="Heading1"/>
      </w:pPr>
      <w:r>
        <w:rPr>
          <w:b/>
          <w:bCs/>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Risk</w:t>
            </w:r>
          </w:p>
        </w:tc>
        <w:tc>
          <w:tcPr>
            <w:tcW w:type="dxa" w:w="100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Severity</w:t>
            </w:r>
          </w:p>
        </w:tc>
        <w:tc>
          <w:tcPr>
            <w:tcW w:type="dxa" w:w="5960"/>
            <w:tcBorders>
              <w:top w:val="single" w:color="CCCCCC" w:sz="1"/>
              <w:left w:val="single" w:color="CCCCCC" w:sz="1"/>
              <w:bottom w:val="single" w:color="CCCCCC" w:sz="1"/>
              <w:right w:val="single" w:color="CCCCCC" w:sz="1"/>
            </w:tcBorders>
            <w:shd w:fill="1C2333" w:val="clear"/>
            <w:tcMar>
              <w:top w:type="dxa" w:w="80"/>
              <w:left w:type="dxa" w:w="120"/>
              <w:bottom w:type="dxa" w:w="80"/>
              <w:right w:type="dxa" w:w="120"/>
            </w:tcMar>
          </w:tcPr>
          <w:p>
            <w:r>
              <w:rPr>
                <w:rFonts w:ascii="Arial" w:cs="Arial" w:eastAsia="Arial" w:hAnsi="Arial"/>
                <w:b/>
                <w:bCs/>
                <w:color w:val="E6EDF3"/>
                <w:sz w:val="20"/>
                <w:szCs w:val="20"/>
              </w:rPr>
              <w:t xml:space="preserve">Mitigation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ACRIS Open Data refresh lag (monthly)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 build direct ACRIS web monitoring. Phase 1: set user expectations with timestamp showing data freshness.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SODA API rate limiting or downtime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Two-phase polling minimizes calls. Implement exponential backoff. Cache last successful dataset state. Reuse existing cache-manager.ts stale-on-error pattern.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hallucination in briefs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receives only verified enrichment data, never raw prompts. System prompt explicitly prohibits inference. Output validation checks for data consistency.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quality issues in source datasets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layer between ingestion and enrichment. Flag records with missing BBL, impossible values, or duplicate document IDs. Quarantine and exclude from feed.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storage limits at scale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Mirror table pruning by time window. Archive older events to cold storage. Supabase Pro plan supports up to 500GB.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NYC Open Data schema changes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DatasetRegistry includes column mapping config. Schema change detection in polling layer triggers admin alert.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Rent stabilization data gap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on SODA API. Phase 3: scheduled scraper for Rent Guidelines Board building list downloads.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Realtime is new infra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currently used in VettdRE. Requires careful testing. Fall back to polling-based feed refresh if Realtime causes issues.</w:t>
            </w:r>
          </w:p>
        </w:tc>
      </w:tr>
    </w:tbl>
    <w:p>
      <w:r>
        <w:br w:type="page"/>
      </w:r>
    </w:p>
    <w:p>
      <w:pPr>
        <w:pStyle w:val="Heading1"/>
      </w:pPr>
      <w:r>
        <w:rPr>
          <w:b/>
          <w:bCs/>
        </w:rPr>
        <w:t xml:space="preserve">13. Future Roadmap (Post-V1)</w:t>
      </w:r>
    </w:p>
    <w:p>
      <w:pPr>
        <w:pStyle w:val="Heading2"/>
      </w:pPr>
      <w:r>
        <w:rPr>
          <w:b/>
          <w:bCs/>
        </w:rPr>
        <w:t xml:space="preserve">13.1 Geographic Expansion</w:t>
      </w:r>
    </w:p>
    <w:p>
      <w:pPr>
        <w:spacing w:after="120"/>
      </w:pPr>
      <w:r>
        <w:rPr>
          <w:sz w:val="22"/>
          <w:szCs w:val="22"/>
        </w:rPr>
        <w:t xml:space="preserve">The architecture is designed for market replication. Each new market requires a new DatasetRegistry configuration, market-specific mirror tables, and updated enrichment logic. Target expansion sequence:</w:t>
      </w:r>
    </w:p>
    <w:p>
      <w:pPr>
        <w:pStyle w:val="ListParagraph"/>
        <w:numPr>
          <w:ilvl w:val="0"/>
          <w:numId w:val="2"/>
        </w:numPr>
        <w:spacing w:after="60"/>
      </w:pPr>
      <w:r>
        <w:rPr>
          <w:sz w:val="22"/>
          <w:szCs w:val="22"/>
        </w:rPr>
        <w:t xml:space="preserve">Nassau/Suffolk County (Long Island) — partial open data via county clerk</w:t>
      </w:r>
    </w:p>
    <w:p>
      <w:pPr>
        <w:pStyle w:val="ListParagraph"/>
        <w:numPr>
          <w:ilvl w:val="0"/>
          <w:numId w:val="2"/>
        </w:numPr>
        <w:spacing w:after="60"/>
      </w:pPr>
      <w:r>
        <w:rPr>
          <w:sz w:val="22"/>
          <w:szCs w:val="22"/>
        </w:rPr>
        <w:t xml:space="preserve">Westchester County — county-level property records</w:t>
      </w:r>
    </w:p>
    <w:p>
      <w:pPr>
        <w:pStyle w:val="ListParagraph"/>
        <w:numPr>
          <w:ilvl w:val="0"/>
          <w:numId w:val="2"/>
        </w:numPr>
        <w:spacing w:after="60"/>
      </w:pPr>
      <w:r>
        <w:rPr>
          <w:sz w:val="22"/>
          <w:szCs w:val="22"/>
        </w:rPr>
        <w:t xml:space="preserve">Northern New Jersey (Hudson, Bergen, Essex) — NJ OPRA data (neighborhoods-nj.ts already exists)</w:t>
      </w:r>
    </w:p>
    <w:p>
      <w:pPr>
        <w:pStyle w:val="ListParagraph"/>
        <w:numPr>
          <w:ilvl w:val="0"/>
          <w:numId w:val="2"/>
        </w:numPr>
        <w:spacing w:after="60"/>
      </w:pPr>
      <w:r>
        <w:rPr>
          <w:sz w:val="22"/>
          <w:szCs w:val="22"/>
        </w:rPr>
        <w:t xml:space="preserve">Connecticut (Fairfield County) — town-level land records</w:t>
      </w:r>
    </w:p>
    <w:p>
      <w:pPr>
        <w:pStyle w:val="ListParagraph"/>
        <w:numPr>
          <w:ilvl w:val="0"/>
          <w:numId w:val="2"/>
        </w:numPr>
        <w:spacing w:after="60"/>
      </w:pPr>
      <w:r>
        <w:rPr>
          <w:sz w:val="22"/>
          <w:szCs w:val="22"/>
        </w:rPr>
        <w:t xml:space="preserve">National expansion via ATTOM API integration for enrichment (when revenue justifies cost)</w:t>
      </w:r>
    </w:p>
    <w:p>
      <w:pPr>
        <w:pStyle w:val="Heading2"/>
      </w:pPr>
      <w:r>
        <w:rPr>
          <w:b/>
          <w:bCs/>
        </w:rPr>
        <w:t xml:space="preserve">13.2 Product Features</w:t>
      </w:r>
    </w:p>
    <w:p>
      <w:pPr>
        <w:pStyle w:val="ListParagraph"/>
        <w:numPr>
          <w:ilvl w:val="0"/>
          <w:numId w:val="2"/>
        </w:numPr>
        <w:spacing w:after="60"/>
      </w:pPr>
      <w:r>
        <w:rPr>
          <w:sz w:val="22"/>
          <w:szCs w:val="22"/>
        </w:rPr>
        <w:t xml:space="preserve">Portfolio tracker: aggregate all events across a user’s owned/watched properties into a single dashboard</w:t>
      </w:r>
    </w:p>
    <w:p>
      <w:pPr>
        <w:pStyle w:val="ListParagraph"/>
        <w:numPr>
          <w:ilvl w:val="0"/>
          <w:numId w:val="2"/>
        </w:numPr>
        <w:spacing w:after="60"/>
      </w:pPr>
      <w:r>
        <w:rPr>
          <w:sz w:val="22"/>
          <w:szCs w:val="22"/>
        </w:rPr>
        <w:t xml:space="preserve">Market analytics: trend charts by NTA (median price/unit, permit volume, violation density over time)</w:t>
      </w:r>
    </w:p>
    <w:p>
      <w:pPr>
        <w:pStyle w:val="ListParagraph"/>
        <w:numPr>
          <w:ilvl w:val="0"/>
          <w:numId w:val="2"/>
        </w:numPr>
        <w:spacing w:after="60"/>
      </w:pPr>
      <w:r>
        <w:rPr>
          <w:sz w:val="22"/>
          <w:szCs w:val="22"/>
        </w:rPr>
        <w:t xml:space="preserve">Alert sharing: brokers share specific briefs with clients via unique link</w:t>
      </w:r>
    </w:p>
    <w:p>
      <w:pPr>
        <w:pStyle w:val="ListParagraph"/>
        <w:numPr>
          <w:ilvl w:val="0"/>
          <w:numId w:val="2"/>
        </w:numPr>
        <w:spacing w:after="60"/>
      </w:pPr>
      <w:r>
        <w:rPr>
          <w:sz w:val="22"/>
          <w:szCs w:val="22"/>
        </w:rPr>
        <w:t xml:space="preserve">API access: expose the event feed and enrichment data as an API for power users</w:t>
      </w:r>
    </w:p>
    <w:p>
      <w:pPr>
        <w:pStyle w:val="ListParagraph"/>
        <w:numPr>
          <w:ilvl w:val="0"/>
          <w:numId w:val="2"/>
        </w:numPr>
        <w:spacing w:after="60"/>
      </w:pPr>
      <w:r>
        <w:rPr>
          <w:sz w:val="22"/>
          <w:szCs w:val="22"/>
        </w:rPr>
        <w:t xml:space="preserve">Mobile app integration: Terminal feed as a native tab</w:t>
      </w:r>
    </w:p>
    <w:p>
      <w:pPr>
        <w:pStyle w:val="ListParagraph"/>
        <w:numPr>
          <w:ilvl w:val="0"/>
          <w:numId w:val="2"/>
        </w:numPr>
        <w:spacing w:after="60"/>
      </w:pPr>
      <w:r>
        <w:rPr>
          <w:sz w:val="22"/>
          <w:szCs w:val="22"/>
        </w:rPr>
        <w:t xml:space="preserve">Natural language search: ‘Show me all sales over $5M in Williamsburg in the last 90 days’ via AI query parser</w:t>
      </w:r>
    </w:p>
    <w:p>
      <w:pPr>
        <w:pStyle w:val="ListParagraph"/>
        <w:numPr>
          <w:ilvl w:val="0"/>
          <w:numId w:val="2"/>
        </w:numPr>
        <w:spacing w:after="60"/>
      </w:pPr>
      <w:r>
        <w:rPr>
          <w:sz w:val="22"/>
          <w:szCs w:val="22"/>
        </w:rPr>
        <w:t xml:space="preserve">Comp report generator: one-click PDF comp report from any sale event using the enrichment data</w:t>
      </w:r>
    </w:p>
    <w:p>
      <w:pPr>
        <w:pStyle w:val="Heading2"/>
      </w:pPr>
      <w:r>
        <w:rPr>
          <w:b/>
          <w:bCs/>
        </w:rPr>
        <w:t xml:space="preserve">13.3 Data Layer Enhancements</w:t>
      </w:r>
    </w:p>
    <w:p>
      <w:pPr>
        <w:pStyle w:val="ListParagraph"/>
        <w:numPr>
          <w:ilvl w:val="0"/>
          <w:numId w:val="2"/>
        </w:numPr>
        <w:spacing w:after="60"/>
      </w:pPr>
      <w:r>
        <w:rPr>
          <w:sz w:val="22"/>
          <w:szCs w:val="22"/>
        </w:rPr>
        <w:t xml:space="preserve">Web scraping layer for commercial lease announcements (uses existing Firecrawl + Brave integration)</w:t>
      </w:r>
    </w:p>
    <w:p>
      <w:pPr>
        <w:pStyle w:val="ListParagraph"/>
        <w:numPr>
          <w:ilvl w:val="0"/>
          <w:numId w:val="2"/>
        </w:numPr>
        <w:spacing w:after="60"/>
      </w:pPr>
      <w:r>
        <w:rPr>
          <w:sz w:val="22"/>
          <w:szCs w:val="22"/>
        </w:rPr>
        <w:t xml:space="preserve">RPIE (Real Property Income &amp; Expense) data integration when available</w:t>
      </w:r>
    </w:p>
    <w:p>
      <w:pPr>
        <w:pStyle w:val="ListParagraph"/>
        <w:numPr>
          <w:ilvl w:val="0"/>
          <w:numId w:val="2"/>
        </w:numPr>
        <w:spacing w:after="60"/>
      </w:pPr>
      <w:r>
        <w:rPr>
          <w:sz w:val="22"/>
          <w:szCs w:val="22"/>
        </w:rPr>
        <w:t xml:space="preserve">Census ACS integration for demographic enrichment (CENSUS_API_KEY already configured)</w:t>
      </w:r>
    </w:p>
    <w:p>
      <w:pPr>
        <w:pStyle w:val="ListParagraph"/>
        <w:numPr>
          <w:ilvl w:val="0"/>
          <w:numId w:val="2"/>
        </w:numPr>
        <w:spacing w:after="60"/>
      </w:pPr>
      <w:r>
        <w:rPr>
          <w:sz w:val="22"/>
          <w:szCs w:val="22"/>
        </w:rPr>
        <w:t xml:space="preserve">NYPD complaint data for crime context</w:t>
      </w:r>
    </w:p>
    <w:p>
      <w:pPr>
        <w:pStyle w:val="ListParagraph"/>
        <w:numPr>
          <w:ilvl w:val="0"/>
          <w:numId w:val="2"/>
        </w:numPr>
        <w:spacing w:after="60"/>
      </w:pPr>
      <w:r>
        <w:rPr>
          <w:sz w:val="22"/>
          <w:szCs w:val="22"/>
        </w:rPr>
        <w:t xml:space="preserve">MTA transit proximity scoring</w:t>
      </w:r>
    </w:p>
    <w:p>
      <w:pPr>
        <w:pStyle w:val="ListParagraph"/>
        <w:numPr>
          <w:ilvl w:val="0"/>
          <w:numId w:val="2"/>
        </w:numPr>
        <w:spacing w:after="60"/>
      </w:pPr>
      <w:r>
        <w:rPr>
          <w:sz w:val="22"/>
          <w:szCs w:val="22"/>
        </w:rPr>
        <w:t xml:space="preserve">Climate risk overlay (FEMA flood zones, NYC sea level rise projections)</w:t>
      </w:r>
    </w:p>
    <w:p>
      <w:pPr>
        <w:pStyle w:val="ListParagraph"/>
        <w:numPr>
          <w:ilvl w:val="0"/>
          <w:numId w:val="2"/>
        </w:numPr>
        <w:spacing w:after="60"/>
      </w:pPr>
      <w:r>
        <w:rPr>
          <w:sz w:val="22"/>
          <w:szCs w:val="22"/>
        </w:rPr>
        <w:t xml:space="preserve">Title company partnerships for pre-recording transaction intelligence</w:t>
      </w:r>
    </w:p>
    <w:p>
      <w:r>
        <w:br w:type="page"/>
      </w:r>
    </w:p>
    <w:p>
      <w:pPr>
        <w:pStyle w:val="Heading1"/>
      </w:pPr>
      <w:r>
        <w:rPr>
          <w:b/>
          <w:bCs/>
        </w:rPr>
        <w:t xml:space="preserve">Appendix A: Existing VettdRE Code to Reuse</w:t>
      </w:r>
    </w:p>
    <w:p>
      <w:pPr>
        <w:spacing w:after="120"/>
      </w:pPr>
      <w:r>
        <w:rPr>
          <w:sz w:val="22"/>
          <w:szCs w:val="22"/>
        </w:rPr>
        <w:t xml:space="preserve">The Terminal is NOT a greenfield build. The following existing libraries provide ~70% of the data infrastructure needed:</w:t>
      </w:r>
    </w:p>
    <w:p>
      <w:pPr>
        <w:pStyle w:val="Heading2"/>
      </w:pPr>
      <w:r>
        <w:rPr>
          <w:b/>
          <w:bCs/>
        </w:rPr>
        <w:t xml:space="preserve">Primary (directly reusable)</w:t>
      </w:r>
    </w:p>
    <w:p>
      <w:pPr>
        <w:pStyle w:val="ListParagraph"/>
        <w:numPr>
          <w:ilvl w:val="0"/>
          <w:numId w:val="2"/>
        </w:numPr>
        <w:spacing w:after="60"/>
      </w:pPr>
      <w:r>
        <w:rPr>
          <w:b/>
          <w:bCs/>
          <w:sz w:val="22"/>
          <w:szCs w:val="22"/>
        </w:rPr>
        <w:t xml:space="preserve">data-fusion-engine.ts </w:t>
      </w:r>
      <w:r>
        <w:rPr>
          <w:sz w:val="22"/>
          <w:szCs w:val="22"/>
        </w:rPr>
        <w:t xml:space="preserve">— Central orchestrator for all NYC Open Data queries. 3-phase progressive rendering, 13+ sources, parallel Promise.all.</w:t>
      </w:r>
    </w:p>
    <w:p>
      <w:pPr>
        <w:pStyle w:val="ListParagraph"/>
        <w:numPr>
          <w:ilvl w:val="0"/>
          <w:numId w:val="2"/>
        </w:numPr>
        <w:spacing w:after="60"/>
      </w:pPr>
      <w:r>
        <w:rPr>
          <w:b/>
          <w:bCs/>
          <w:sz w:val="22"/>
          <w:szCs w:val="22"/>
        </w:rPr>
        <w:t xml:space="preserve">cache-manager.ts </w:t>
      </w:r>
      <w:r>
        <w:rPr>
          <w:sz w:val="22"/>
          <w:szCs w:val="22"/>
        </w:rPr>
        <w:t xml:space="preserve">— 3-tier LRU cache (memory → per-source → Supabase BuildingCache). TTL registry per source.</w:t>
      </w:r>
    </w:p>
    <w:p>
      <w:pPr>
        <w:pStyle w:val="ListParagraph"/>
        <w:numPr>
          <w:ilvl w:val="0"/>
          <w:numId w:val="2"/>
        </w:numPr>
        <w:spacing w:after="60"/>
      </w:pPr>
      <w:r>
        <w:rPr>
          <w:b/>
          <w:bCs/>
          <w:sz w:val="22"/>
          <w:szCs w:val="22"/>
        </w:rPr>
        <w:t xml:space="preserve">cache-warming.ts </w:t>
      </w:r>
      <w:r>
        <w:rPr>
          <w:sz w:val="22"/>
          <w:szCs w:val="22"/>
        </w:rPr>
        <w:t xml:space="preserve">— Batch processing of BBLs with staggered delays, skip-if-cached logic.</w:t>
      </w:r>
    </w:p>
    <w:p>
      <w:pPr>
        <w:pStyle w:val="ListParagraph"/>
        <w:numPr>
          <w:ilvl w:val="0"/>
          <w:numId w:val="2"/>
        </w:numPr>
        <w:spacing w:after="60"/>
      </w:pPr>
      <w:r>
        <w:rPr>
          <w:b/>
          <w:bCs/>
          <w:sz w:val="22"/>
          <w:szCs w:val="22"/>
        </w:rPr>
        <w:t xml:space="preserve">entity-resolver.ts </w:t>
      </w:r>
      <w:r>
        <w:rPr>
          <w:sz w:val="22"/>
          <w:szCs w:val="22"/>
        </w:rPr>
        <w:t xml:space="preserve">— Address normalization, entity fuzzy matching (Levenshtein + Jaro-Winkler), owner resolution.</w:t>
      </w:r>
    </w:p>
    <w:p>
      <w:pPr>
        <w:pStyle w:val="ListParagraph"/>
        <w:numPr>
          <w:ilvl w:val="0"/>
          <w:numId w:val="2"/>
        </w:numPr>
        <w:spacing w:after="60"/>
      </w:pPr>
      <w:r>
        <w:rPr>
          <w:b/>
          <w:bCs/>
          <w:sz w:val="22"/>
          <w:szCs w:val="22"/>
        </w:rPr>
        <w:t xml:space="preserve">neighborhoods.ts </w:t>
      </w:r>
      <w:r>
        <w:rPr>
          <w:sz w:val="22"/>
          <w:szCs w:val="22"/>
        </w:rPr>
        <w:t xml:space="preserve">— 179 NYC neighborhoods with NTA codes, zip mappings, lat/lng.</w:t>
      </w:r>
    </w:p>
    <w:p>
      <w:pPr>
        <w:pStyle w:val="ListParagraph"/>
        <w:numPr>
          <w:ilvl w:val="0"/>
          <w:numId w:val="2"/>
        </w:numPr>
        <w:spacing w:after="60"/>
      </w:pPr>
      <w:r>
        <w:rPr>
          <w:b/>
          <w:bCs/>
          <w:sz w:val="22"/>
          <w:szCs w:val="22"/>
        </w:rPr>
        <w:t xml:space="preserve">nyc-opendata.ts </w:t>
      </w:r>
      <w:r>
        <w:rPr>
          <w:sz w:val="22"/>
          <w:szCs w:val="22"/>
        </w:rPr>
        <w:t xml:space="preserve">— Base SODA query patterns and dataset constants.</w:t>
      </w:r>
    </w:p>
    <w:p>
      <w:pPr>
        <w:pStyle w:val="Heading2"/>
      </w:pPr>
      <w:r>
        <w:rPr>
          <w:b/>
          <w:bCs/>
        </w:rPr>
        <w:t xml:space="preserve">Secondary (computational engines)</w:t>
      </w:r>
    </w:p>
    <w:p>
      <w:pPr>
        <w:pStyle w:val="ListParagraph"/>
        <w:numPr>
          <w:ilvl w:val="0"/>
          <w:numId w:val="2"/>
        </w:numPr>
        <w:spacing w:after="60"/>
      </w:pPr>
      <w:r>
        <w:rPr>
          <w:b/>
          <w:bCs/>
          <w:sz w:val="22"/>
          <w:szCs w:val="22"/>
        </w:rPr>
        <w:t xml:space="preserve">comps-engine.ts </w:t>
      </w:r>
      <w:r>
        <w:rPr>
          <w:sz w:val="22"/>
          <w:szCs w:val="22"/>
        </w:rPr>
        <w:t xml:space="preserve">— Comparable sales search, similarity scoring, price per unit/sqft metrics.</w:t>
      </w:r>
    </w:p>
    <w:p>
      <w:pPr>
        <w:pStyle w:val="ListParagraph"/>
        <w:numPr>
          <w:ilvl w:val="0"/>
          <w:numId w:val="2"/>
        </w:numPr>
        <w:spacing w:after="60"/>
      </w:pPr>
      <w:r>
        <w:rPr>
          <w:b/>
          <w:bCs/>
          <w:sz w:val="22"/>
          <w:szCs w:val="22"/>
        </w:rPr>
        <w:t xml:space="preserve">cap-rate-engine.ts </w:t>
      </w:r>
      <w:r>
        <w:rPr>
          <w:sz w:val="22"/>
          <w:szCs w:val="22"/>
        </w:rPr>
        <w:t xml:space="preserve">— Market-derived cap rates from comparable sales.</w:t>
      </w:r>
    </w:p>
    <w:p>
      <w:pPr>
        <w:pStyle w:val="ListParagraph"/>
        <w:numPr>
          <w:ilvl w:val="0"/>
          <w:numId w:val="2"/>
        </w:numPr>
        <w:spacing w:after="60"/>
      </w:pPr>
      <w:r>
        <w:rPr>
          <w:b/>
          <w:bCs/>
          <w:sz w:val="22"/>
          <w:szCs w:val="22"/>
        </w:rPr>
        <w:t xml:space="preserve">vitality-engine.ts </w:t>
      </w:r>
      <w:r>
        <w:rPr>
          <w:sz w:val="22"/>
          <w:szCs w:val="22"/>
        </w:rPr>
        <w:t xml:space="preserve">— Neighborhood commercial vitality scoring.</w:t>
      </w:r>
    </w:p>
    <w:p>
      <w:pPr>
        <w:pStyle w:val="ListParagraph"/>
        <w:numPr>
          <w:ilvl w:val="0"/>
          <w:numId w:val="2"/>
        </w:numPr>
        <w:spacing w:after="60"/>
      </w:pPr>
      <w:r>
        <w:rPr>
          <w:b/>
          <w:bCs/>
          <w:sz w:val="22"/>
          <w:szCs w:val="22"/>
        </w:rPr>
        <w:t xml:space="preserve">motivation-engine.ts </w:t>
      </w:r>
      <w:r>
        <w:rPr>
          <w:sz w:val="22"/>
          <w:szCs w:val="22"/>
        </w:rPr>
        <w:t xml:space="preserve">— Owner motivation detection (distress, speculation, rapid flip).</w:t>
      </w:r>
    </w:p>
    <w:p>
      <w:pPr>
        <w:pStyle w:val="Heading2"/>
      </w:pPr>
      <w:r>
        <w:rPr>
          <w:b/>
          <w:bCs/>
        </w:rPr>
        <w:t xml:space="preserve">Infrastructure</w:t>
      </w:r>
    </w:p>
    <w:p>
      <w:pPr>
        <w:pStyle w:val="ListParagraph"/>
        <w:numPr>
          <w:ilvl w:val="0"/>
          <w:numId w:val="2"/>
        </w:numPr>
        <w:spacing w:after="60"/>
      </w:pPr>
      <w:r>
        <w:rPr>
          <w:b/>
          <w:bCs/>
          <w:sz w:val="22"/>
          <w:szCs w:val="22"/>
        </w:rPr>
        <w:t xml:space="preserve">feature-gate.ts </w:t>
      </w:r>
      <w:r>
        <w:rPr>
          <w:sz w:val="22"/>
          <w:szCs w:val="22"/>
        </w:rPr>
        <w:t xml:space="preserve">— Plan-based feature gating. Add nav_terminal, terminal_access, terminal_ai_brief.</w:t>
      </w:r>
    </w:p>
    <w:p>
      <w:pPr>
        <w:pStyle w:val="ListParagraph"/>
        <w:numPr>
          <w:ilvl w:val="0"/>
          <w:numId w:val="2"/>
        </w:numPr>
        <w:spacing w:after="60"/>
      </w:pPr>
      <w:r>
        <w:rPr>
          <w:b/>
          <w:bCs/>
          <w:sz w:val="22"/>
          <w:szCs w:val="22"/>
        </w:rPr>
        <w:t xml:space="preserve">@anthropic-ai/sdk </w:t>
      </w:r>
      <w:r>
        <w:rPr>
          <w:sz w:val="22"/>
          <w:szCs w:val="22"/>
        </w:rPr>
        <w:t xml:space="preserve">— Already installed. Follow leasing-engine.ts singleton pattern.</w:t>
      </w:r>
    </w:p>
    <w:p>
      <w:pPr>
        <w:pStyle w:val="ListParagraph"/>
        <w:numPr>
          <w:ilvl w:val="0"/>
          <w:numId w:val="2"/>
        </w:numPr>
        <w:spacing w:after="60"/>
      </w:pPr>
      <w:r>
        <w:rPr>
          <w:b/>
          <w:bCs/>
          <w:sz w:val="22"/>
          <w:szCs w:val="22"/>
        </w:rPr>
        <w:t xml:space="preserve">sidebar.tsx + mobile-nav.tsx </w:t>
      </w:r>
      <w:r>
        <w:rPr>
          <w:sz w:val="22"/>
          <w:szCs w:val="22"/>
        </w:rPr>
        <w:t xml:space="preserve">— Navigation. Add Terminal entry to Research section.</w:t>
      </w:r>
    </w:p>
    <w:p>
      <w:pPr>
        <w:pStyle w:val="ListParagraph"/>
        <w:numPr>
          <w:ilvl w:val="0"/>
          <w:numId w:val="2"/>
        </w:numPr>
        <w:spacing w:after="60"/>
      </w:pPr>
      <w:r>
        <w:rPr>
          <w:b/>
          <w:bCs/>
          <w:sz w:val="22"/>
          <w:szCs w:val="22"/>
        </w:rPr>
        <w:t xml:space="preserve">building-profile.tsx </w:t>
      </w:r>
      <w:r>
        <w:rPr>
          <w:sz w:val="22"/>
          <w:szCs w:val="22"/>
        </w:rPr>
        <w:t xml:space="preserve">— Existing property deep-dive component. Terminal right panel can reuse.</w:t>
      </w:r>
    </w:p>
    <w:p>
      <w:pPr>
        <w:spacing w:after="80"/>
      </w:pPr>
    </w:p>
    <w:p>
      <w:pPr>
        <w:pBdr>
          <w:bottom w:val="single" w:color="0A84FF" w:sz="6" w:space="1"/>
        </w:pBdr>
        <w:spacing w:after="200"/>
      </w:pPr>
    </w:p>
    <w:p>
      <w:pPr>
        <w:spacing w:after="80"/>
        <w:jc w:val="center"/>
      </w:pPr>
      <w:r>
        <w:rPr>
          <w:b/>
          <w:bCs/>
          <w:color w:val="555555"/>
          <w:sz w:val="24"/>
          <w:szCs w:val="24"/>
        </w:rPr>
        <w:t xml:space="preserve">END OF SPECIFICATION</w:t>
      </w:r>
    </w:p>
    <w:p>
      <w:pPr>
        <w:jc w:val="center"/>
      </w:pPr>
      <w:r>
        <w:rPr>
          <w:color w:val="999999"/>
          <w:sz w:val="20"/>
          <w:szCs w:val="20"/>
        </w:rPr>
        <w:t xml:space="preserve">VettdRE Terminal v1.1 (Corrected)  |  April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B949E"/>
        <w:sz w:val="16"/>
        <w:szCs w:val="16"/>
      </w:rPr>
      <w:t xml:space="preserve">VettdRE  |  Confidential  |  Page </w:t>
    </w:r>
    <w:r>
      <w:rPr>
        <w:color w:val="8B94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B949E"/>
        <w:sz w:val="16"/>
        <w:szCs w:val="16"/>
      </w:rPr>
      <w:t xml:space="preserve">VETTDRE TERMINAL</w:t>
    </w:r>
    <w:r>
      <w:rPr>
        <w:rFonts w:ascii="Arial" w:cs="Arial" w:eastAsia="Arial" w:hAnsi="Arial"/>
        <w:color w:val="8B949E"/>
        <w:sz w:val="16"/>
        <w:szCs w:val="16"/>
      </w:rPr>
      <w:t xml:space="preserve">  |  Product Specification v1.1 (Corrected)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2026-04-04T20:47:56.225Z</dcterms:created>
  <dcterms:modified xsi:type="dcterms:W3CDTF">2026-04-04T20:47:56.226Z</dcterms:modified>
</cp:coreProperties>
</file>

<file path=docProps/custom.xml><?xml version="1.0" encoding="utf-8"?>
<Properties xmlns="http://schemas.openxmlformats.org/officeDocument/2006/custom-properties" xmlns:vt="http://schemas.openxmlformats.org/officeDocument/2006/docPropsVTypes"/>
</file>