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t xml:space="preserve">VettdRE, Inc.</w:t>
      </w:r>
    </w:p>
    <w:p>
      <w:pPr>
        <w:spacing w:after="200"/>
        <w:jc w:val="center"/>
      </w:pPr>
      <w:r>
        <w:t xml:space="preserve">Access Control Policy</w:t>
      </w:r>
    </w:p>
    <w:p>
      <w:pPr>
        <w:spacing w:after="50"/>
        <w:jc w:val="center"/>
      </w:pPr>
      <w:r>
        <w:t xml:space="preserve">Version: 3.0</w:t>
      </w:r>
    </w:p>
    <w:p>
      <w:pPr>
        <w:spacing w:after="400"/>
        <w:jc w:val="center"/>
      </w:pPr>
      <w:r>
        <w:t xml:space="preserve">Effective Date: April 2026</w:t>
      </w:r>
    </w:p>
    <w:p>
      <w:pPr>
        <w:pStyle w:val="Heading1"/>
        <w:spacing w:after="100" w:before="200"/>
      </w:pPr>
      <w:r>
        <w:t xml:space="preserve">1. Purpose</w:t>
      </w:r>
    </w:p>
    <w:p>
      <w:pPr>
        <w:spacing w:after="100" w:line="360"/>
        <w:jc w:val="both"/>
      </w:pPr>
      <w:r>
        <w:t xml:space="preserve">This policy defines how access to VettdRE's production systems, databases, APIs, and consumer data is requested, granted, reviewed, and revoked.</w:t>
      </w:r>
    </w:p>
    <w:p>
      <w:pPr>
        <w:pStyle w:val="Heading1"/>
        <w:spacing w:after="100" w:before="200"/>
      </w:pPr>
      <w:r>
        <w:t xml:space="preserve">2. Principle of Least Privilege</w:t>
      </w:r>
    </w:p>
    <w:p>
      <w:pPr>
        <w:spacing w:after="100" w:line="360"/>
        <w:jc w:val="both"/>
      </w:pPr>
      <w:r>
        <w:t xml:space="preserve">All access is granted based on the minimum permissions necessary to perform the assigned function. No user or system receives default administrative or broad access. This principle is enforced at both the infrastructure level (IAM roles, API key scoping) and the application level (dual Supabase client architecture, Row-Level Security).</w:t>
      </w:r>
    </w:p>
    <w:p>
      <w:pPr>
        <w:pStyle w:val="Heading1"/>
        <w:spacing w:after="100" w:before="200"/>
      </w:pPr>
      <w:r>
        <w:t xml:space="preserve">3. Application-Level Access Architecture</w:t>
      </w:r>
    </w:p>
    <w:p>
      <w:pPr>
        <w:spacing w:after="100" w:line="360"/>
        <w:jc w:val="both"/>
      </w:pPr>
      <w:r>
        <w:t xml:space="preserve">VettdRE enforces access control at the application code level through two distinct database clients:</w:t>
      </w:r>
    </w:p>
    <w:p>
      <w:pPr>
        <w:pStyle w:val="Heading2"/>
        <w:spacing w:after="80" w:before="150"/>
      </w:pPr>
      <w:r>
        <w:t xml:space="preserve">Authenticated Client (anon key + user JWT)</w:t>
      </w:r>
    </w:p>
    <w:p>
      <w:pPr>
        <w:spacing w:after="100" w:line="360"/>
        <w:jc w:val="both"/>
      </w:pPr>
      <w:r>
        <w:t xml:space="preserve">Used for all agent/broker-facing API routes (/api/applications/*, /api/org/*). Row-Level Security policies are enforced at the database level — agents can only see their own applications, brokers can see their organization's applications. Even if an agent's session is compromised, the attacker cannot access data belonging to other organizations.</w:t>
      </w:r>
    </w:p>
    <w:p>
      <w:pPr>
        <w:pStyle w:val="Heading2"/>
        <w:spacing w:after="80" w:before="150"/>
      </w:pPr>
      <w:r>
        <w:t xml:space="preserve">Service Client (service role key)</w:t>
      </w:r>
    </w:p>
    <w:p>
      <w:pPr>
        <w:spacing w:after="100" w:line="360"/>
        <w:jc w:val="both"/>
      </w:pPr>
      <w:r>
        <w:t xml:space="preserve">Used exclusively for routes where no user session exists: webhook handlers (/api/webhooks/*), internal processing routes (/api/internal/*), and applicant token-gated routes (/api/apply/[token]/*) where session validation is performed via httpOnly cookies rather than Supabase Auth. The service role key is never exposed to client-side code and is accessible only as a Cloud Run environment variable.</w:t>
      </w:r>
    </w:p>
    <w:p>
      <w:pPr>
        <w:pStyle w:val="Heading1"/>
        <w:spacing w:after="100" w:before="200"/>
      </w:pPr>
      <w:r>
        <w:t xml:space="preserve">4. Production Systems Access Matrix</w:t>
      </w:r>
    </w:p>
    <w:tbl>
      <w:tblPr>
        <w:tblW w:type="pct" w:w="100%"/>
        <w:tblBorders>
          <w:top w:val="single" w:sz="1"/>
          <w:left w:val="single" w:sz="1"/>
          <w:bottom w:val="single" w:sz="1"/>
          <w:right w:val="single" w:sz="1"/>
          <w:insideH w:val="single" w:sz="1"/>
          <w:insideV w:val="single" w:sz="1"/>
        </w:tblBorders>
      </w:tblPr>
      <w:tblGrid>
        <w:gridCol w:w="100"/>
        <w:gridCol w:w="100"/>
        <w:gridCol w:w="100"/>
        <w:gridCol w:w="100"/>
      </w:tblGrid>
      <w:tr>
        <w:tc>
          <w:tcPr>
            <w:tcW w:type="dxa" w:w="3000"/>
            <w:tcBorders>
              <w:top w:val="single" w:sz="1"/>
              <w:left w:val="single" w:sz="1"/>
              <w:bottom w:val="single" w:sz="1"/>
              <w:right w:val="single" w:sz="1"/>
            </w:tcBorders>
            <w:shd w:color="1E40AF" w:val="clear"/>
            <w:tcMar>
              <w:top w:type="dxa" w:w="80"/>
              <w:left w:type="dxa" w:w="80"/>
              <w:bottom w:type="dxa" w:w="80"/>
              <w:right w:type="dxa" w:w="80"/>
            </w:tcMar>
          </w:tcPr>
          <w:p>
            <w:pPr>
              <w:spacing w:after="0"/>
            </w:pPr>
            <w:r>
              <w:t xml:space="preserve">System</w:t>
            </w:r>
          </w:p>
        </w:tc>
        <w:tc>
          <w:tcPr>
            <w:tcW w:type="dxa" w:w="3000"/>
            <w:tcBorders>
              <w:top w:val="single" w:sz="1"/>
              <w:left w:val="single" w:sz="1"/>
              <w:bottom w:val="single" w:sz="1"/>
              <w:right w:val="single" w:sz="1"/>
            </w:tcBorders>
            <w:shd w:color="1E40AF" w:val="clear"/>
            <w:tcMar>
              <w:top w:type="dxa" w:w="80"/>
              <w:left w:type="dxa" w:w="80"/>
              <w:bottom w:type="dxa" w:w="80"/>
              <w:right w:type="dxa" w:w="80"/>
            </w:tcMar>
          </w:tcPr>
          <w:p>
            <w:pPr>
              <w:spacing w:after="0"/>
            </w:pPr>
            <w:r>
              <w:t xml:space="preserve">Who Has Access</w:t>
            </w:r>
          </w:p>
        </w:tc>
        <w:tc>
          <w:tcPr>
            <w:tcW w:type="dxa" w:w="3000"/>
            <w:tcBorders>
              <w:top w:val="single" w:sz="1"/>
              <w:left w:val="single" w:sz="1"/>
              <w:bottom w:val="single" w:sz="1"/>
              <w:right w:val="single" w:sz="1"/>
            </w:tcBorders>
            <w:shd w:color="1E40AF" w:val="clear"/>
            <w:tcMar>
              <w:top w:type="dxa" w:w="80"/>
              <w:left w:type="dxa" w:w="80"/>
              <w:bottom w:type="dxa" w:w="80"/>
              <w:right w:type="dxa" w:w="80"/>
            </w:tcMar>
          </w:tcPr>
          <w:p>
            <w:pPr>
              <w:spacing w:after="0"/>
            </w:pPr>
            <w:r>
              <w:t xml:space="preserve">Authentication</w:t>
            </w:r>
          </w:p>
        </w:tc>
        <w:tc>
          <w:tcPr>
            <w:tcW w:type="dxa" w:w="3000"/>
            <w:tcBorders>
              <w:top w:val="single" w:sz="1"/>
              <w:left w:val="single" w:sz="1"/>
              <w:bottom w:val="single" w:sz="1"/>
              <w:right w:val="single" w:sz="1"/>
            </w:tcBorders>
            <w:shd w:color="1E40AF" w:val="clear"/>
            <w:tcMar>
              <w:top w:type="dxa" w:w="80"/>
              <w:left w:type="dxa" w:w="80"/>
              <w:bottom w:type="dxa" w:w="80"/>
              <w:right w:type="dxa" w:w="80"/>
            </w:tcMar>
          </w:tcPr>
          <w:p>
            <w:pPr>
              <w:spacing w:after="0"/>
            </w:pPr>
            <w:r>
              <w:t xml:space="preserve">Access Level</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Google Cloud Platform</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Founder + authorized engineers</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Google Account + MFA (hardware key or authenticator)</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Owner / Editor roles per IAM</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Supabase Dashboard</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Founder only</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Email + TOTP MFA</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Organization Owner</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Supabase Service Role Key</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Application runtime only</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Cloud Run environment variable</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Programmatic — not accessible to any human account</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Supabase Anon Key</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Application runtime (client-side)</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Public (by design), gated by RLS</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Read/write only within RLS policies</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Plaid Dashboard</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Founder only</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Email + TOTP MFA</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Admin</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Plaid API Keys</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Application runtime only</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Cloud Run environment variable</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Programmatic only</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CRS Credit API</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Application runtime only</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Cloud Run environment variable</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Programmatic only</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Stripe Dashboard</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Founder + authorized billing personnel</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Email + TOTP MFA</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Admin</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Stripe API Keys</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Application runtime only</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Cloud Run environment variable</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Programmatic only</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Upstash Redis Console</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Founder only</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Email + MFA</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Admin</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Upstash Redis Connection</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Application runtime only</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Cloud Run environment variable</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Programmatic only</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GitHub Repository</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Founder + authorized engineers</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GitHub Account + MFA (hardware key or authenticator)</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Write access</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Twilio Console</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Founder only</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Email + TOTP MFA</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Admin</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Anthropic Console</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Founder only</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Email + MFA</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Admin</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Google Cloud Storage (backups)</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Founder only (via GCP IAM)</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Google Account + MFA</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Storage Admin on backup bucket only</w:t>
            </w:r>
          </w:p>
        </w:tc>
      </w:tr>
    </w:tbl>
    <w:p>
      <w:pPr>
        <w:pStyle w:val="Heading1"/>
        <w:spacing w:after="100" w:before="200"/>
      </w:pPr>
      <w:r>
        <w:t xml:space="preserve">5. Applicant Access Controls</w:t>
      </w:r>
    </w:p>
    <w:p>
      <w:pPr>
        <w:spacing w:after="100" w:line="360"/>
        <w:jc w:val="both"/>
      </w:pPr>
      <w:r>
        <w:t xml:space="preserve">Applicants (rental applicants completing the screening wizard) do not have VettdRE user accounts. Their access is controlled through:</w:t>
      </w:r>
    </w:p>
    <w:p>
      <w:pPr>
        <w:spacing w:after="100" w:line="360"/>
        <w:jc w:val="both"/>
      </w:pPr>
      <w:r>
        <w:t xml:space="preserve">1. Access token: Cryptographically random 32-character URL token, unique per application
2. Session cookie: httpOnly, Secure, SameSite=Lax cookie issued on first load, backed by Redis server-side session (24-hour TTL)
3. OTP verification: Required for session resumption (returning to a partially completed application)
4. Rate limiting: All applicant endpoints are rate-limited to prevent abuse
5. Scope limitation: Applicant sessions can only read/write data for their specific application — no access to other applications, agents, or organizations</w:t>
      </w:r>
    </w:p>
    <w:p>
      <w:pPr>
        <w:pStyle w:val="Heading1"/>
        <w:spacing w:after="100" w:before="200"/>
      </w:pPr>
      <w:r>
        <w:t xml:space="preserve">6. Access Lifecycle</w:t>
      </w:r>
    </w:p>
    <w:p>
      <w:pPr>
        <w:pStyle w:val="Heading2"/>
        <w:spacing w:after="80" w:before="150"/>
      </w:pPr>
      <w:r>
        <w:t xml:space="preserve">Requesting Access</w:t>
      </w:r>
    </w:p>
    <w:p>
      <w:pPr>
        <w:spacing w:after="100" w:line="360"/>
        <w:jc w:val="both"/>
      </w:pPr>
      <w:r>
        <w:t xml:space="preserve">All access requests are submitted to the Founder with justification for the access level requested.</w:t>
      </w:r>
    </w:p>
    <w:p>
      <w:pPr>
        <w:pStyle w:val="Heading2"/>
        <w:spacing w:after="80" w:before="150"/>
      </w:pPr>
      <w:r>
        <w:t xml:space="preserve">Granting Access</w:t>
      </w:r>
    </w:p>
    <w:p>
      <w:pPr>
        <w:spacing w:after="100" w:line="360"/>
        <w:jc w:val="both"/>
      </w:pPr>
      <w:r>
        <w:t xml:space="preserve">The Founder reviews and approves or denies all access requests. Access is provisioned with the minimum required permissions.</w:t>
      </w:r>
    </w:p>
    <w:p>
      <w:pPr>
        <w:pStyle w:val="Heading2"/>
        <w:spacing w:after="80" w:before="150"/>
      </w:pPr>
      <w:r>
        <w:t xml:space="preserve">Reviewing Access</w:t>
      </w:r>
    </w:p>
    <w:p>
      <w:pPr>
        <w:spacing w:after="100" w:line="360"/>
        <w:jc w:val="both"/>
      </w:pPr>
      <w:r>
        <w:t xml:space="preserve">Access is reviewed quarterly. All active accounts across all systems (GCP, Supabase, GitHub, Stripe, Plaid, Twilio, Upstash, Anthropic) are audited against current role requirements. Unused or excessive permissions are revoked.</w:t>
      </w:r>
    </w:p>
    <w:p>
      <w:pPr>
        <w:pStyle w:val="Heading2"/>
        <w:spacing w:after="80" w:before="150"/>
      </w:pPr>
      <w:r>
        <w:t xml:space="preserve">Revoking Access</w:t>
      </w:r>
    </w:p>
    <w:p>
      <w:pPr>
        <w:spacing w:after="100" w:line="360"/>
        <w:jc w:val="both"/>
      </w:pPr>
      <w:r>
        <w:t xml:space="preserve">Access is revoked within 24 hours of: employment/contract termination, role change that no longer requires the access, or detection of a security incident involving the account. API keys are rotated if a departing individual had knowledge of them. All active sessions for the revoked user are invalidated.</w:t>
      </w:r>
    </w:p>
    <w:p>
      <w:pPr>
        <w:pStyle w:val="Heading1"/>
        <w:spacing w:after="100" w:before="200"/>
      </w:pPr>
      <w:r>
        <w:t xml:space="preserve">7. API Key and Secret Management</w:t>
      </w:r>
    </w:p>
    <w:p>
      <w:pPr>
        <w:spacing w:after="100" w:line="360"/>
        <w:jc w:val="both"/>
      </w:pPr>
      <w:r>
        <w:t xml:space="preserve">• All API keys and secrets are stored in Google Cloud Secret Manager or as Cloud Run environment variables — never in source code, configuration files, or version control
• .env files containing secrets are listed in .gitignore and never committed
• Pre-commit hooks scan for accidental secret inclusion in staged files
• API keys are rotated annually or immediately upon suspicion of compromise
• Plaid access tokens (consumer-level) are encrypted via application-level AES-256-GCM and deleted after use
• SSN data uses ephemeral Redis storage with automatic TTL — no database persistence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2026-04-03T14:32:28.237Z</dcterms:created>
  <dcterms:modified xsi:type="dcterms:W3CDTF">2026-04-03T14:32:28.237Z</dcterms:modified>
</cp:coreProperties>
</file>

<file path=docProps/custom.xml><?xml version="1.0" encoding="utf-8"?>
<Properties xmlns="http://schemas.openxmlformats.org/officeDocument/2006/custom-properties" xmlns:vt="http://schemas.openxmlformats.org/officeDocument/2006/docPropsVTypes"/>
</file>