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3A5F"/>
          <w:sz w:val="36"/>
          <w:szCs w:val="36"/>
        </w:rPr>
        <w:t xml:space="preserve">VettdRE, Inc.</w:t>
      </w:r>
    </w:p>
    <w:p>
      <w:pPr>
        <w:spacing w:after="200"/>
        <w:jc w:val="center"/>
      </w:pPr>
      <w:r>
        <w:rPr>
          <w:rFonts w:ascii="Arial" w:cs="Arial" w:eastAsia="Arial" w:hAnsi="Arial"/>
          <w:b/>
          <w:bCs/>
          <w:color w:val="1E3A5F"/>
          <w:sz w:val="30"/>
          <w:szCs w:val="30"/>
        </w:rPr>
        <w:t xml:space="preserve">Data Retention and Disposal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3, 2026</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Nathan Tondow, CEO</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(or after material system changes)</w:t>
            </w:r>
          </w:p>
        </w:tc>
      </w:tr>
    </w:tbl>
    <w:p>
      <w:pPr>
        <w:spacing w:after="200" w:before="300"/>
      </w:pPr>
    </w:p>
    <w:p>
      <w:pPr>
        <w:pStyle w:val="Heading1"/>
      </w:pPr>
      <w:r>
        <w:t xml:space="preserve">1. Purpose</w:t>
      </w:r>
    </w:p>
    <w:p>
      <w:pPr>
        <w:spacing w:after="200"/>
      </w:pPr>
      <w:r>
        <w:rPr>
          <w:rFonts w:ascii="Arial" w:cs="Arial" w:eastAsia="Arial" w:hAnsi="Arial"/>
          <w:sz w:val="22"/>
          <w:szCs w:val="22"/>
        </w:rPr>
        <w:t xml:space="preserve">This policy defines how VettdRE collects, retains, and disposes of consumer data obtained through our tenant screening platform, including data received from the Plaid API. The goal is to keep data only as long as it serves a legitimate business purpose, minimize the risk of exposure from stored data, and comply with applicable privacy and financial data regulations.</w:t>
      </w:r>
    </w:p>
    <w:p>
      <w:pPr>
        <w:pStyle w:val="Heading1"/>
      </w:pPr>
      <w:r>
        <w:t xml:space="preserve">2. Scope</w:t>
      </w:r>
    </w:p>
    <w:p>
      <w:pPr>
        <w:spacing w:after="200"/>
      </w:pPr>
      <w:r>
        <w:rPr>
          <w:rFonts w:ascii="Arial" w:cs="Arial" w:eastAsia="Arial" w:hAnsi="Arial"/>
          <w:sz w:val="22"/>
          <w:szCs w:val="22"/>
        </w:rPr>
        <w:t xml:space="preserve">This policy applies to all consumer data processed by VettdRE, with particular focus on:</w:t>
      </w:r>
    </w:p>
    <w:p>
      <w:pPr>
        <w:pStyle w:val="ListParagraph"/>
        <w:numPr>
          <w:ilvl w:val="0"/>
          <w:numId w:val="2"/>
        </w:numPr>
      </w:pPr>
      <w:r>
        <w:rPr>
          <w:rFonts w:ascii="Arial" w:cs="Arial" w:eastAsia="Arial" w:hAnsi="Arial"/>
          <w:sz w:val="22"/>
          <w:szCs w:val="22"/>
        </w:rPr>
        <w:t xml:space="preserve">Financial data retrieved from Plaid (bank account info, transactions, identity data)</w:t>
      </w:r>
    </w:p>
    <w:p>
      <w:pPr>
        <w:pStyle w:val="ListParagraph"/>
        <w:numPr>
          <w:ilvl w:val="0"/>
          <w:numId w:val="2"/>
        </w:numPr>
      </w:pPr>
      <w:r>
        <w:rPr>
          <w:rFonts w:ascii="Arial" w:cs="Arial" w:eastAsia="Arial" w:hAnsi="Arial"/>
          <w:sz w:val="22"/>
          <w:szCs w:val="22"/>
        </w:rPr>
        <w:t xml:space="preserve">Social Security Numbers collected during credit checks</w:t>
      </w:r>
    </w:p>
    <w:p>
      <w:pPr>
        <w:pStyle w:val="ListParagraph"/>
        <w:numPr>
          <w:ilvl w:val="0"/>
          <w:numId w:val="2"/>
        </w:numPr>
      </w:pPr>
      <w:r>
        <w:rPr>
          <w:rFonts w:ascii="Arial" w:cs="Arial" w:eastAsia="Arial" w:hAnsi="Arial"/>
          <w:sz w:val="22"/>
          <w:szCs w:val="22"/>
        </w:rPr>
        <w:t xml:space="preserve">Credit reports and background check results</w:t>
      </w:r>
    </w:p>
    <w:p>
      <w:pPr>
        <w:pStyle w:val="ListParagraph"/>
        <w:numPr>
          <w:ilvl w:val="0"/>
          <w:numId w:val="2"/>
        </w:numPr>
      </w:pPr>
      <w:r>
        <w:rPr>
          <w:rFonts w:ascii="Arial" w:cs="Arial" w:eastAsia="Arial" w:hAnsi="Arial"/>
          <w:sz w:val="22"/>
          <w:szCs w:val="22"/>
        </w:rPr>
        <w:t xml:space="preserve">Uploaded identity and income verification documents</w:t>
      </w:r>
    </w:p>
    <w:p>
      <w:pPr>
        <w:pStyle w:val="ListParagraph"/>
        <w:numPr>
          <w:ilvl w:val="0"/>
          <w:numId w:val="2"/>
        </w:numPr>
        <w:spacing w:after="200"/>
      </w:pPr>
      <w:r>
        <w:rPr>
          <w:rFonts w:ascii="Arial" w:cs="Arial" w:eastAsia="Arial" w:hAnsi="Arial"/>
          <w:sz w:val="22"/>
          <w:szCs w:val="22"/>
        </w:rPr>
        <w:t xml:space="preserve">Authentication tokens and API credentials</w:t>
      </w:r>
    </w:p>
    <w:p>
      <w:pPr>
        <w:pStyle w:val="Heading1"/>
      </w:pPr>
      <w:r>
        <w:t xml:space="preserve">3. Data Retention Schedule</w:t>
      </w:r>
    </w:p>
    <w:p>
      <w:pPr>
        <w:spacing w:after="200"/>
      </w:pPr>
      <w:r>
        <w:rPr>
          <w:rFonts w:ascii="Arial" w:cs="Arial" w:eastAsia="Arial" w:hAnsi="Arial"/>
          <w:sz w:val="22"/>
          <w:szCs w:val="22"/>
        </w:rPr>
        <w:t xml:space="preserve">The following table defines retention periods for each data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Storage Location</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Disposal Method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Security Numbers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(ephemeral)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Auto-expire (TTL)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Plaid Access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Until sync complete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(AES-256-GCM encrypted)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Revoked via Plaid /item/remove, then nullified in DB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OTP Verification Codes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minutes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(ephemeral)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Auto-expire (TTL), single-use deletion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Transactions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of screening + 90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(Supabase)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Cascading delete with application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Reports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of screening + 90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(Supabase)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Cascading delete with application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Uploaded Documents (ID, pay stubs)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of screening + 90 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(encrypted at rest)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object deletion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Screening Application Records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years from completion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(Supabase)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delete, then hard purge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E-Signatures &amp; Consent Records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years (legal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(Supabase)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purge after retention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years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(Supabase)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deletion by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Cookies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Auto-expire (TTL)</w:t>
            </w:r>
          </w:p>
        </w:tc>
      </w:tr>
    </w:tbl>
    <w:p>
      <w:pPr>
        <w:spacing w:before="300"/>
      </w:pPr>
    </w:p>
    <w:p>
      <w:pPr>
        <w:pStyle w:val="Heading1"/>
      </w:pPr>
      <w:r>
        <w:t xml:space="preserve">4. Disposal Procedures</w:t>
      </w:r>
    </w:p>
    <w:p>
      <w:pPr>
        <w:pStyle w:val="Heading2"/>
      </w:pPr>
      <w:r>
        <w:t xml:space="preserve">4.1 Ephemeral Data (Redis)</w:t>
      </w:r>
    </w:p>
    <w:p>
      <w:pPr>
        <w:spacing w:after="200"/>
      </w:pPr>
      <w:r>
        <w:rPr>
          <w:rFonts w:ascii="Arial" w:cs="Arial" w:eastAsia="Arial" w:hAnsi="Arial"/>
          <w:sz w:val="22"/>
          <w:szCs w:val="22"/>
        </w:rPr>
        <w:t xml:space="preserve">SSNs, OTP codes, and session data are stored in Upstash Redis with mandatory TTL values. Data is automatically purged when the TTL expires. No manual intervention is required. Redis keys are never persisted to disk in our serverless configuration.</w:t>
      </w:r>
    </w:p>
    <w:p>
      <w:pPr>
        <w:pStyle w:val="Heading2"/>
      </w:pPr>
      <w:r>
        <w:t xml:space="preserve">4.2 Plaid Token Revocation</w:t>
      </w:r>
    </w:p>
    <w:p>
      <w:pPr>
        <w:spacing w:after="200"/>
      </w:pPr>
      <w:r>
        <w:rPr>
          <w:rFonts w:ascii="Arial" w:cs="Arial" w:eastAsia="Arial" w:hAnsi="Arial"/>
          <w:sz w:val="22"/>
          <w:szCs w:val="22"/>
        </w:rPr>
        <w:t xml:space="preserve">After financial data has been synced from Plaid, the screening pipeline automatically calls Plaid's /item/remove endpoint to revoke the access token. This terminates VettdRE's ability to retrieve any further data from the consumer's bank. The encrypted token value in our database is then set to null. This step runs as part of the automated pipeline and is logged as a screening event.</w:t>
      </w:r>
    </w:p>
    <w:p>
      <w:pPr>
        <w:pStyle w:val="Heading2"/>
      </w:pPr>
      <w:r>
        <w:t xml:space="preserve">4.3 Database Records</w:t>
      </w:r>
    </w:p>
    <w:p>
      <w:pPr>
        <w:spacing w:after="200"/>
      </w:pPr>
      <w:r>
        <w:rPr>
          <w:rFonts w:ascii="Arial" w:cs="Arial" w:eastAsia="Arial" w:hAnsi="Arial"/>
          <w:sz w:val="22"/>
          <w:szCs w:val="22"/>
        </w:rPr>
        <w:t xml:space="preserve">Screening application records and associated financial data are retained for the periods specified in Section 3. When the retention period expires, records are flagged for deletion. A scheduled job performs hard deletes on flagged records, including cascading deletion of child records (applicants, transactions, credit reports, documents). Supabase Point-in-Time Recovery (PITR) backups are retained according to the Supabase plan retention window, after which they are automatically purged.</w:t>
      </w:r>
    </w:p>
    <w:p>
      <w:pPr>
        <w:pStyle w:val="Heading2"/>
      </w:pPr>
      <w:r>
        <w:t xml:space="preserve">4.4 File Storage</w:t>
      </w:r>
    </w:p>
    <w:p>
      <w:pPr>
        <w:spacing w:after="200"/>
      </w:pPr>
      <w:r>
        <w:rPr>
          <w:rFonts w:ascii="Arial" w:cs="Arial" w:eastAsia="Arial" w:hAnsi="Arial"/>
          <w:sz w:val="22"/>
          <w:szCs w:val="22"/>
        </w:rPr>
        <w:t xml:space="preserve">Uploaded documents (government IDs, pay stubs, tax returns) are stored in Supabase Storage with encryption at rest. When the parent screening application is deleted, associated storage objects are removed. Signed URLs for document access expire after 5 minutes and cannot be reused.</w:t>
      </w:r>
    </w:p>
    <w:p>
      <w:pPr>
        <w:pStyle w:val="Heading1"/>
      </w:pPr>
      <w:r>
        <w:t xml:space="preserve">5. Encryption Standards</w:t>
      </w:r>
    </w:p>
    <w:p>
      <w:pPr>
        <w:pStyle w:val="ListParagraph"/>
        <w:numPr>
          <w:ilvl w:val="0"/>
          <w:numId w:val="2"/>
        </w:numPr>
      </w:pPr>
      <w:r>
        <w:rPr>
          <w:rFonts w:ascii="Arial" w:cs="Arial" w:eastAsia="Arial" w:hAnsi="Arial"/>
          <w:sz w:val="22"/>
          <w:szCs w:val="22"/>
        </w:rPr>
        <w:t xml:space="preserve">Plaid access tokens: AES-256-GCM application-level encryption (TOKEN_ENCRYPTION_KEY)</w:t>
      </w:r>
    </w:p>
    <w:p>
      <w:pPr>
        <w:pStyle w:val="ListParagraph"/>
        <w:numPr>
          <w:ilvl w:val="0"/>
          <w:numId w:val="2"/>
        </w:numPr>
      </w:pPr>
      <w:r>
        <w:rPr>
          <w:rFonts w:ascii="Arial" w:cs="Arial" w:eastAsia="Arial" w:hAnsi="Arial"/>
          <w:sz w:val="22"/>
          <w:szCs w:val="22"/>
        </w:rPr>
        <w:t xml:space="preserve">SSNs: Never written to the database. Stored only in Redis with 30-minute TTL.</w:t>
      </w:r>
    </w:p>
    <w:p>
      <w:pPr>
        <w:pStyle w:val="ListParagraph"/>
        <w:numPr>
          <w:ilvl w:val="0"/>
          <w:numId w:val="2"/>
        </w:numPr>
      </w:pPr>
      <w:r>
        <w:rPr>
          <w:rFonts w:ascii="Arial" w:cs="Arial" w:eastAsia="Arial" w:hAnsi="Arial"/>
          <w:sz w:val="22"/>
          <w:szCs w:val="22"/>
        </w:rPr>
        <w:t xml:space="preserve">Database at rest: AES-256 disk-level encryption managed by Supabase/AWS infrastructure</w:t>
      </w:r>
    </w:p>
    <w:p>
      <w:pPr>
        <w:pStyle w:val="ListParagraph"/>
        <w:numPr>
          <w:ilvl w:val="0"/>
          <w:numId w:val="2"/>
        </w:numPr>
        <w:spacing w:after="200"/>
      </w:pPr>
      <w:r>
        <w:rPr>
          <w:rFonts w:ascii="Arial" w:cs="Arial" w:eastAsia="Arial" w:hAnsi="Arial"/>
          <w:sz w:val="22"/>
          <w:szCs w:val="22"/>
        </w:rPr>
        <w:t xml:space="preserve">Data in transit: TLS 1.2+ enforced by Google Cloud Run and Supabase</w:t>
      </w:r>
    </w:p>
    <w:p>
      <w:pPr>
        <w:pStyle w:val="Heading1"/>
      </w:pPr>
      <w:r>
        <w:t xml:space="preserve">6. Consumer Data Deletion Requests</w:t>
      </w:r>
    </w:p>
    <w:p>
      <w:pPr>
        <w:spacing w:after="200"/>
      </w:pPr>
      <w:r>
        <w:rPr>
          <w:rFonts w:ascii="Arial" w:cs="Arial" w:eastAsia="Arial" w:hAnsi="Arial"/>
          <w:sz w:val="22"/>
          <w:szCs w:val="22"/>
        </w:rPr>
        <w:t xml:space="preserve">Consumers may request deletion of their data by contacting VettdRE. Upon receiving a verified deletion request, we will:</w:t>
      </w:r>
    </w:p>
    <w:p>
      <w:pPr>
        <w:pStyle w:val="ListParagraph"/>
        <w:numPr>
          <w:ilvl w:val="0"/>
          <w:numId w:val="2"/>
        </w:numPr>
      </w:pPr>
      <w:r>
        <w:rPr>
          <w:rFonts w:ascii="Arial" w:cs="Arial" w:eastAsia="Arial" w:hAnsi="Arial"/>
          <w:sz w:val="22"/>
          <w:szCs w:val="22"/>
        </w:rPr>
        <w:t xml:space="preserve">Delete the screening application and all associated records within 30 days</w:t>
      </w:r>
    </w:p>
    <w:p>
      <w:pPr>
        <w:pStyle w:val="ListParagraph"/>
        <w:numPr>
          <w:ilvl w:val="0"/>
          <w:numId w:val="2"/>
        </w:numPr>
      </w:pPr>
      <w:r>
        <w:rPr>
          <w:rFonts w:ascii="Arial" w:cs="Arial" w:eastAsia="Arial" w:hAnsi="Arial"/>
          <w:sz w:val="22"/>
          <w:szCs w:val="22"/>
        </w:rPr>
        <w:t xml:space="preserve">Remove uploaded documents from storage</w:t>
      </w:r>
    </w:p>
    <w:p>
      <w:pPr>
        <w:pStyle w:val="ListParagraph"/>
        <w:numPr>
          <w:ilvl w:val="0"/>
          <w:numId w:val="2"/>
        </w:numPr>
      </w:pPr>
      <w:r>
        <w:rPr>
          <w:rFonts w:ascii="Arial" w:cs="Arial" w:eastAsia="Arial" w:hAnsi="Arial"/>
          <w:sz w:val="22"/>
          <w:szCs w:val="22"/>
        </w:rPr>
        <w:t xml:space="preserve">Confirm deletion in writing to the consumer</w:t>
      </w:r>
    </w:p>
    <w:p>
      <w:pPr>
        <w:pStyle w:val="ListParagraph"/>
        <w:numPr>
          <w:ilvl w:val="0"/>
          <w:numId w:val="2"/>
        </w:numPr>
        <w:spacing w:after="200"/>
      </w:pPr>
      <w:r>
        <w:rPr>
          <w:rFonts w:ascii="Arial" w:cs="Arial" w:eastAsia="Arial" w:hAnsi="Arial"/>
          <w:sz w:val="22"/>
          <w:szCs w:val="22"/>
        </w:rPr>
        <w:t xml:space="preserve">Retain only records required for legal or regulatory compliance (e.g., e-signatures, audit logs)</w:t>
      </w:r>
    </w:p>
    <w:p>
      <w:pPr>
        <w:pStyle w:val="Heading1"/>
      </w:pPr>
      <w:r>
        <w:t xml:space="preserve">7. Policy Review</w:t>
      </w:r>
    </w:p>
    <w:p>
      <w:pPr>
        <w:spacing w:after="200"/>
      </w:pPr>
      <w:r>
        <w:rPr>
          <w:rFonts w:ascii="Arial" w:cs="Arial" w:eastAsia="Arial" w:hAnsi="Arial"/>
          <w:sz w:val="22"/>
          <w:szCs w:val="22"/>
        </w:rPr>
        <w:t xml:space="preserve">This policy is reviewed annually by the CEO, or sooner if there are material changes to the platform, data processing practices, or applicable regulations. All updates are versioned and dated.</w:t>
      </w:r>
    </w:p>
    <w:p>
      <w:pPr>
        <w:pStyle w:val="Heading1"/>
      </w:pPr>
      <w:r>
        <w:t xml:space="preserve">8. Contact</w:t>
      </w:r>
    </w:p>
    <w:p>
      <w:r>
        <w:rPr>
          <w:rFonts w:ascii="Arial" w:cs="Arial" w:eastAsia="Arial" w:hAnsi="Arial"/>
          <w:sz w:val="22"/>
          <w:szCs w:val="22"/>
        </w:rPr>
        <w:t xml:space="preserve">For questions about this policy or to submit a data deletion request:</w:t>
      </w:r>
    </w:p>
    <w:p>
      <w:pPr>
        <w:pStyle w:val="ListParagraph"/>
        <w:numPr>
          <w:ilvl w:val="0"/>
          <w:numId w:val="2"/>
        </w:numPr>
      </w:pPr>
      <w:r>
        <w:rPr>
          <w:rFonts w:ascii="Arial" w:cs="Arial" w:eastAsia="Arial" w:hAnsi="Arial"/>
          <w:sz w:val="22"/>
          <w:szCs w:val="22"/>
        </w:rPr>
        <w:t xml:space="preserve">Email: privacy@vettdre.com</w:t>
      </w:r>
    </w:p>
    <w:p>
      <w:pPr>
        <w:pStyle w:val="ListParagraph"/>
        <w:numPr>
          <w:ilvl w:val="0"/>
          <w:numId w:val="2"/>
        </w:numPr>
      </w:pPr>
      <w:r>
        <w:rPr>
          <w:rFonts w:ascii="Arial" w:cs="Arial" w:eastAsia="Arial" w:hAnsi="Arial"/>
          <w:sz w:val="22"/>
          <w:szCs w:val="22"/>
        </w:rPr>
        <w:t xml:space="preserve">Contact: Nathan Tondow, CEO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VettdRE, Inc.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VettdRE Data Retention &amp; Disposal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2026-04-03T16:04:34.285Z</dcterms:created>
  <dcterms:modified xsi:type="dcterms:W3CDTF">2026-04-03T16:04:34.285Z</dcterms:modified>
</cp:coreProperties>
</file>

<file path=docProps/custom.xml><?xml version="1.0" encoding="utf-8"?>
<Properties xmlns="http://schemas.openxmlformats.org/officeDocument/2006/custom-properties" xmlns:vt="http://schemas.openxmlformats.org/officeDocument/2006/docPropsVTypes"/>
</file>