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t xml:space="preserve">VettdRE, Inc.</w:t>
      </w:r>
    </w:p>
    <w:p>
      <w:pPr>
        <w:spacing w:after="200"/>
        <w:jc w:val="center"/>
      </w:pPr>
      <w:r>
        <w:t xml:space="preserve">Security Incident Response Plan</w:t>
      </w:r>
    </w:p>
    <w:p>
      <w:pPr>
        <w:spacing w:after="50"/>
        <w:jc w:val="center"/>
      </w:pPr>
      <w:r>
        <w:t xml:space="preserve">Version: 3.0</w:t>
      </w:r>
    </w:p>
    <w:p>
      <w:pPr>
        <w:spacing w:after="400"/>
        <w:jc w:val="center"/>
      </w:pPr>
      <w:r>
        <w:t xml:space="preserve">Effective Date: April 2026</w:t>
      </w:r>
    </w:p>
    <w:p>
      <w:pPr>
        <w:pStyle w:val="Heading1"/>
        <w:spacing w:after="100" w:before="200"/>
      </w:pPr>
      <w:r>
        <w:t xml:space="preserve">1. Purpose</w:t>
      </w:r>
    </w:p>
    <w:p>
      <w:pPr>
        <w:spacing w:after="100" w:line="360"/>
        <w:jc w:val="both"/>
      </w:pPr>
      <w:r>
        <w:t xml:space="preserve">This plan establishes procedures for detecting, responding to, containing, and recovering from security incidents that may affect VettdRE's production systems or consumer data.</w:t>
      </w:r>
    </w:p>
    <w:p>
      <w:pPr>
        <w:pStyle w:val="Heading1"/>
        <w:spacing w:after="100" w:before="200"/>
      </w:pPr>
      <w:r>
        <w:t xml:space="preserve">2. Incident Classification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Severity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Definition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Response Time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Critical (P1)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Confirmed breach of consumer PII, SSN, or financial data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Immediate (within 1 hour)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Database breach, Plaid token compromise, credit report exposure, Redis instance compromise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High (P2)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Potential data exposure or system compromise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Within 4 hours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Unauthorized access attempt, API key exposure, suspicious admin login, rate limit evasion detected, CSP violation alerts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Medium (P3)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Security control failure with no confirmed data exposure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Within 24 hours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Failed webhook signature verification, MFA bypass attempt, unusual traffic patterns, OTP brute-force attempt blocked by rate limiter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Low (P4)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Minor security event, no data at risk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Within 72 hours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Failed login attempts below threshold, expired certificates, dependency vulnerability disclosure, blocked requests from CSP</w:t>
            </w:r>
          </w:p>
        </w:tc>
      </w:tr>
    </w:tbl>
    <w:p>
      <w:pPr>
        <w:pStyle w:val="Heading1"/>
        <w:spacing w:after="100" w:before="200"/>
      </w:pPr>
      <w:r>
        <w:t xml:space="preserve">3. Detection Mechanisms</w:t>
      </w:r>
    </w:p>
    <w:p>
      <w:pPr>
        <w:spacing w:after="100" w:line="360"/>
        <w:jc w:val="both"/>
      </w:pPr>
      <w:r>
        <w:t xml:space="preserve">VettdRE employs multiple detection layers:</w:t>
      </w:r>
    </w:p>
    <w:p>
      <w:pPr>
        <w:spacing w:after="100" w:line="360"/>
        <w:jc w:val="both"/>
      </w:pPr>
      <w:r>
        <w:t xml:space="preserve">• Infrastructure monitoring: Google Cloud Monitoring alerts on Cloud Run error rates, latency spikes, and resource anomalies
• Database monitoring: Supabase alerts on unusual connection patterns, query volume, and storage thresholds
• Application monitoring: Custom alerts for failed credit pulls, Plaid errors, Stripe failures, and webhook signature verification failures
• Rate limiting alerts: Upstash rate limiter violations logged and alerted — sustained violations on OTP or token endpoints indicate potential attack
• CSP violation reports: Content Security Policy violation reports collected to detect XSS attempts
• Audit log analysis: Regular review of application_events and processed_webhooks for anomalous patterns
• External reports: Bug bounty submissions, customer reports, or vendor notifications</w:t>
      </w:r>
    </w:p>
    <w:p>
      <w:pPr>
        <w:pStyle w:val="Heading1"/>
        <w:spacing w:after="100" w:before="200"/>
      </w:pPr>
      <w:r>
        <w:t xml:space="preserve">4. Incident Response Phases</w:t>
      </w:r>
    </w:p>
    <w:p>
      <w:pPr>
        <w:pStyle w:val="Heading2"/>
        <w:spacing w:after="80" w:before="150"/>
      </w:pPr>
      <w:r>
        <w:t xml:space="preserve">Phase 1: Detection &amp; Triage</w:t>
      </w:r>
    </w:p>
    <w:p>
      <w:pPr>
        <w:spacing w:after="100" w:line="360"/>
        <w:jc w:val="both"/>
      </w:pPr>
      <w:r>
        <w:t xml:space="preserve">• Confirm the event is a genuine security incident (not a false positive)
• Classify severity per the table above
• Assign incident owner (Founder for P1/P2; designated engineer for P3/P4)
• Create incident record with timestamp, classification, and initial assessment</w:t>
      </w:r>
    </w:p>
    <w:p>
      <w:pPr>
        <w:pStyle w:val="Heading2"/>
        <w:spacing w:after="80" w:before="150"/>
      </w:pPr>
      <w:r>
        <w:t xml:space="preserve">Phase 2: Containment</w:t>
      </w:r>
    </w:p>
    <w:p>
      <w:pPr>
        <w:spacing w:after="100" w:line="360"/>
        <w:jc w:val="both"/>
      </w:pPr>
      <w:r>
        <w:t xml:space="preserve">• P1 — SSN/PII breach: SSNs are never stored at rest, so exposure is limited to a potential Redis compromise. Immediately rotate Upstash credentials, revoke and regenerate all Redis connection strings, and invalidate all active sessions.
• P1 — Plaid token compromise: Immediately invoke /item/remove on all affected Plaid Items to revoke API access. Rotate Plaid API credentials (client_id and secret). Notify Plaid security team.
• P1 — Database breach: Immediately rotate Supabase service role key and all API keys stored in environment variables. Revoke all active agent sessions. Take Cloud Run services offline if necessary.
• P2 — API key exposure: Immediately rotate the exposed key. Review Cloud Run deployment history and Git history to identify the exposure vector. Enable enhanced monitoring.
• All severities: Revoke access for any compromised accounts. Preserve forensic evidence (logs, screenshots, timestamps) before any remediation that might alter evidence.</w:t>
      </w:r>
    </w:p>
    <w:p>
      <w:pPr>
        <w:pStyle w:val="Heading2"/>
        <w:spacing w:after="80" w:before="150"/>
      </w:pPr>
      <w:r>
        <w:t xml:space="preserve">Phase 3: Eradication</w:t>
      </w:r>
    </w:p>
    <w:p>
      <w:pPr>
        <w:spacing w:after="100" w:line="360"/>
        <w:jc w:val="both"/>
      </w:pPr>
      <w:r>
        <w:t xml:space="preserve">• Identify and remediate the root cause
• Patch vulnerabilities, update configurations, or revoke compromised credentials
• Verify the fix in staging before deploying to production</w:t>
      </w:r>
    </w:p>
    <w:p>
      <w:pPr>
        <w:pStyle w:val="Heading2"/>
        <w:spacing w:after="80" w:before="150"/>
      </w:pPr>
      <w:r>
        <w:t xml:space="preserve">Phase 4: Recovery</w:t>
      </w:r>
    </w:p>
    <w:p>
      <w:pPr>
        <w:spacing w:after="100" w:line="360"/>
        <w:jc w:val="both"/>
      </w:pPr>
      <w:r>
        <w:t xml:space="preserve">• Restore services to normal operation
• Re-deploy from a known-good container image if the production image was compromised
• Verify data integrity through database checksums, audit log review, and backup comparison
• Monitor closely for recurrence for 72 hours post-recovery</w:t>
      </w:r>
    </w:p>
    <w:p>
      <w:pPr>
        <w:pStyle w:val="Heading2"/>
        <w:spacing w:after="80" w:before="150"/>
      </w:pPr>
      <w:r>
        <w:t xml:space="preserve">Phase 5: Notification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Stakeholder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When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shd w:color="1E40A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How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Plaid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Within 24 hours of confirmed P1/P2 involving Plaid data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Email to Plaid security team + support ticket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CRS Credit API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Within 24 hours of confirmed incident involving credit data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Per CRS notification procedures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Affected consumers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Per applicable state breach notification law (NY SHIELD Act: without unreasonable delay)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Written notice per applicable law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Stripe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Within 24 hours if payment data is involved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Stripe support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NY Attorney General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Per NY SHIELD Act if NY residents affected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t xml:space="preserve">Written notice</w:t>
            </w:r>
          </w:p>
        </w:tc>
      </w:tr>
    </w:tbl>
    <w:p>
      <w:pPr>
        <w:pStyle w:val="Heading2"/>
        <w:spacing w:after="80" w:before="150"/>
      </w:pPr>
      <w:r>
        <w:t xml:space="preserve">Phase 6: Post-Incident Review</w:t>
      </w:r>
    </w:p>
    <w:p>
      <w:pPr>
        <w:spacing w:after="100" w:line="360"/>
        <w:jc w:val="both"/>
      </w:pPr>
      <w:r>
        <w:t xml:space="preserve">• Conduct post-incident review within 5 business days
• Document: root cause, timeline, impact, actions taken, and lessons learned
• Update security controls, monitoring rules, policies, or code as needed
• Update the risk register with any newly identified risks
• File incident record in the incident log (retained for 7 years)</w:t>
      </w:r>
    </w:p>
    <w:p>
      <w:pPr>
        <w:pStyle w:val="Heading1"/>
        <w:spacing w:after="100" w:before="200"/>
      </w:pPr>
      <w:r>
        <w:t xml:space="preserve">5. Incident Log</w:t>
      </w:r>
    </w:p>
    <w:p>
      <w:pPr>
        <w:spacing w:after="100" w:line="360"/>
        <w:jc w:val="both"/>
      </w:pPr>
      <w:r>
        <w:t xml:space="preserve">All incidents are logged in a dedicated incident register with: incident ID, detection date/time, classification, description, personnel involved, actions taken, resolution date/time, root cause, consumer impact assessment, notification actions taken, and lessons learned.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2026-04-03T14:32:28.223Z</dcterms:created>
  <dcterms:modified xsi:type="dcterms:W3CDTF">2026-04-03T14:32:28.223Z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