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VettdRE, Inc.</w:t>
      </w:r>
    </w:p>
    <w:p>
      <w:pPr>
        <w:spacing w:after="200"/>
        <w:jc w:val="center"/>
      </w:pPr>
      <w:r>
        <w:t xml:space="preserve">Information Security Policy</w:t>
      </w:r>
    </w:p>
    <w:p>
      <w:pPr>
        <w:spacing w:after="50"/>
        <w:jc w:val="center"/>
      </w:pPr>
      <w:r>
        <w:t xml:space="preserve">Version: 3.0</w:t>
      </w:r>
    </w:p>
    <w:p>
      <w:pPr>
        <w:spacing w:after="400"/>
        <w:jc w:val="center"/>
      </w:pPr>
      <w:r>
        <w:t xml:space="preserve">Effective Date: April 2026</w:t>
      </w:r>
    </w:p>
    <w:p>
      <w:pPr>
        <w:pStyle w:val="Heading1"/>
        <w:spacing w:after="100" w:before="200"/>
      </w:pPr>
      <w:r>
        <w:t xml:space="preserve">1. Purpose</w:t>
      </w:r>
    </w:p>
    <w:p>
      <w:pPr>
        <w:spacing w:after="100" w:line="360"/>
        <w:jc w:val="both"/>
      </w:pPr>
      <w:r>
        <w:t xml:space="preserve">This policy establishes VettdRE's commitment to protecting the confidentiality, integrity, and availability of all information assets, with particular emphasis on consumer financial data including personally identifiable information (PII), bank account data, credit bureau data, and Social Security Numbers processed through the VettdRE Screening platform.</w:t>
      </w:r>
    </w:p>
    <w:p>
      <w:pPr>
        <w:pStyle w:val="Heading1"/>
        <w:spacing w:after="100" w:before="200"/>
      </w:pPr>
      <w:r>
        <w:t xml:space="preserve">2. Scope</w:t>
      </w:r>
    </w:p>
    <w:p>
      <w:pPr>
        <w:spacing w:after="100" w:line="360"/>
        <w:jc w:val="both"/>
      </w:pPr>
      <w:r>
        <w:t xml:space="preserve">This policy applies to all VettdRE employees, contractors, and systems that access, process, store, or transmit consumer data or connect to VettdRE's production infrastructure, including but not limited to: the VettdRE Screening web application, Supabase database and storage, Google Cloud Run services, Upstash Redis, and all third-party API integrations (Plaid, CRS Credit API, Stripe, Twilio, Anthropic, Resend).</w:t>
      </w:r>
    </w:p>
    <w:p>
      <w:pPr>
        <w:pStyle w:val="Heading1"/>
        <w:spacing w:after="100" w:before="200"/>
      </w:pPr>
      <w:r>
        <w:t xml:space="preserve">3. Information Security Principles</w:t>
      </w:r>
    </w:p>
    <w:p>
      <w:pPr>
        <w:pStyle w:val="Heading2"/>
        <w:spacing w:after="80" w:before="150"/>
      </w:pPr>
      <w:r>
        <w:t xml:space="preserve">3.1 Least Privilege</w:t>
      </w:r>
    </w:p>
    <w:p>
      <w:pPr>
        <w:spacing w:after="100" w:line="360"/>
        <w:jc w:val="both"/>
      </w:pPr>
      <w:r>
        <w:t xml:space="preserve">All access to production systems, databases, and API credentials is granted on a need-to-know basis with the minimum permissions required to perform the function. The application enforces this at the code level through dual Supabase clients: authenticated routes use the anon key with user JWTs so Row-Level Security policies are enforced at the database level, while the service role key is restricted exclusively to internal processing and webhook routes.</w:t>
      </w:r>
    </w:p>
    <w:p>
      <w:pPr>
        <w:pStyle w:val="Heading2"/>
        <w:spacing w:after="80" w:before="150"/>
      </w:pPr>
      <w:r>
        <w:t xml:space="preserve">3.2 Defense in Depth</w:t>
      </w:r>
    </w:p>
    <w:p>
      <w:pPr>
        <w:spacing w:after="100" w:line="360"/>
        <w:jc w:val="both"/>
      </w:pPr>
      <w:r>
        <w:t xml:space="preserve">Security controls are layered across the application, infrastructure, and organizational levels. No single control is relied upon exclusively. For example, applicant access is protected by three layers: cryptographic URL token, server-side session validation via httpOnly cookie, and per-endpoint rate limiting.</w:t>
      </w:r>
    </w:p>
    <w:p>
      <w:pPr>
        <w:pStyle w:val="Heading2"/>
        <w:spacing w:after="80" w:before="150"/>
      </w:pPr>
      <w:r>
        <w:t xml:space="preserve">3.3 Encryption by Default</w:t>
      </w:r>
    </w:p>
    <w:p>
      <w:pPr>
        <w:spacing w:after="100" w:line="360"/>
        <w:jc w:val="both"/>
      </w:pPr>
      <w:r>
        <w:t xml:space="preserve">All consumer data is encrypted in transit (TLS 1.3) and at rest (AES-256). Plaid access tokens receive additional application-level AES-256-GCM encryption with scrypt key derivation. Social Security Numbers are never stored at rest in any database — they are held only in ephemeral server-side memory (Upstash Redis) with automatic TTL expiry and deleted immediately after use.</w:t>
      </w:r>
    </w:p>
    <w:p>
      <w:pPr>
        <w:pStyle w:val="Heading2"/>
        <w:spacing w:after="80" w:before="150"/>
      </w:pPr>
      <w:r>
        <w:t xml:space="preserve">3.4 Data Minimization</w:t>
      </w:r>
    </w:p>
    <w:p>
      <w:pPr>
        <w:spacing w:after="100" w:line="360"/>
        <w:jc w:val="both"/>
      </w:pPr>
      <w:r>
        <w:t xml:space="preserve">VettdRE collects only the consumer data necessary to perform the tenant screening service for which consent was obtained, retains it only for the period required by law and business necessity, and proactively avoids persisting the most sensitive data (SSN) whenever possible. When transmitting consumer documents to third-party AI services for analysis, PII is redacted prior to transmission.</w:t>
      </w:r>
    </w:p>
    <w:p>
      <w:pPr>
        <w:pStyle w:val="Heading2"/>
        <w:spacing w:after="80" w:before="150"/>
      </w:pPr>
      <w:r>
        <w:t xml:space="preserve">3.5 Zero Trust Network</w:t>
      </w:r>
    </w:p>
    <w:p>
      <w:pPr>
        <w:spacing w:after="100" w:line="360"/>
        <w:jc w:val="both"/>
      </w:pPr>
      <w:r>
        <w:t xml:space="preserve">No production system is trusted by default. All API calls are authenticated, all webhook payloads are signature-verified, all database access is governed by Row-Level Security policies, and all external-facing endpoints are rate-limited. Content Security Policy headers restrict which domains can execute scripts or load resources on VettdRE pages.</w:t>
      </w:r>
    </w:p>
    <w:p>
      <w:pPr>
        <w:pStyle w:val="Heading1"/>
        <w:spacing w:after="100" w:before="200"/>
      </w:pPr>
      <w:r>
        <w:t xml:space="preserve">4. Roles and Responsibilities</w:t>
      </w:r>
    </w:p>
    <w:p>
      <w:pPr>
        <w:pStyle w:val="Heading2"/>
        <w:spacing w:after="80" w:before="150"/>
      </w:pPr>
      <w:r>
        <w:t xml:space="preserve">Founder / Director of Innovation</w:t>
      </w:r>
    </w:p>
    <w:p>
      <w:pPr>
        <w:spacing w:after="100" w:line="360"/>
        <w:jc w:val="both"/>
      </w:pPr>
      <w:r>
        <w:t xml:space="preserve">Owns this policy, approves all access requests, conducts quarterly security reviews, serves as the primary incident response coordinator, and reviews all security-sensitive code changes.</w:t>
      </w:r>
    </w:p>
    <w:p>
      <w:pPr>
        <w:pStyle w:val="Heading2"/>
        <w:spacing w:after="80" w:before="150"/>
      </w:pPr>
      <w:r>
        <w:t xml:space="preserve">All Personnel</w:t>
      </w:r>
    </w:p>
    <w:p>
      <w:pPr>
        <w:spacing w:after="100" w:line="360"/>
        <w:jc w:val="both"/>
      </w:pPr>
      <w:r>
        <w:t xml:space="preserve">Comply with this policy, report suspected security incidents immediately, complete security awareness training, protect credentials and access tokens, and never store API keys or secrets in source code.</w:t>
      </w:r>
    </w:p>
    <w:p>
      <w:pPr>
        <w:pStyle w:val="Heading1"/>
        <w:spacing w:after="100" w:before="200"/>
      </w:pPr>
      <w:r>
        <w:t xml:space="preserve">5. Risk Management</w:t>
      </w:r>
    </w:p>
    <w:p>
      <w:pPr>
        <w:spacing w:after="100" w:line="360"/>
        <w:jc w:val="both"/>
      </w:pPr>
      <w:r>
        <w:t xml:space="preserve">VettdRE maintains a risk register that identifies, assesses, and tracks information security risks. Risks are evaluated based on likelihood and impact, with mitigation controls documented for each. The risk register is reviewed quarterly and updated when material changes occur to the technology stack, vendor relationships, or regulatory requirements.</w:t>
      </w:r>
    </w:p>
    <w:p>
      <w:pPr>
        <w:spacing w:after="100" w:line="360"/>
        <w:jc w:val="both"/>
      </w:pPr>
      <w:r>
        <w:t xml:space="preserve">Key risk areas and their mitigations:</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dxa" w:w="3000"/>
            <w:tcBorders>
              <w:top w:val="single" w:sz="1"/>
              <w:left w:val="single" w:sz="1"/>
              <w:bottom w:val="single" w:sz="1"/>
              <w:right w:val="single" w:sz="1"/>
            </w:tcBorders>
            <w:shd w:color="1E40AF" w:val="clear"/>
            <w:tcMar>
              <w:top w:type="dxa" w:w="80"/>
              <w:left w:type="dxa" w:w="80"/>
              <w:bottom w:type="dxa" w:w="80"/>
              <w:right w:type="dxa" w:w="80"/>
            </w:tcMar>
          </w:tcPr>
          <w:p>
            <w:pPr>
              <w:spacing w:after="0"/>
            </w:pPr>
            <w:r>
              <w:t xml:space="preserve">Risk</w:t>
            </w:r>
          </w:p>
        </w:tc>
        <w:tc>
          <w:tcPr>
            <w:tcW w:type="dxa" w:w="3000"/>
            <w:tcBorders>
              <w:top w:val="single" w:sz="1"/>
              <w:left w:val="single" w:sz="1"/>
              <w:bottom w:val="single" w:sz="1"/>
              <w:right w:val="single" w:sz="1"/>
            </w:tcBorders>
            <w:shd w:color="1E40AF" w:val="clear"/>
            <w:tcMar>
              <w:top w:type="dxa" w:w="80"/>
              <w:left w:type="dxa" w:w="80"/>
              <w:bottom w:type="dxa" w:w="80"/>
              <w:right w:type="dxa" w:w="80"/>
            </w:tcMar>
          </w:tcPr>
          <w:p>
            <w:pPr>
              <w:spacing w:after="0"/>
            </w:pPr>
            <w:r>
              <w:t xml:space="preserve">Mitigation</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Unauthorized access to consumer financial data</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RLS policies, session validation, rate limiting, audit logging</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Plaid access token compromise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Application-level AES-256-GCM encryption, tokens deleted after sync completes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SSN exposure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SSN never persisted to database; ephemeral Redis storage with 30-min TTL, immediate deletion after credit pull</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Credit bureau data exposure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AES-256 encryption, 90-day auto-deletion of raw reports, signed URL access for PDFs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Document fraud / manipulated uploads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3-layer AI fraud detection with metadata forensics, data extraction, and cross-verification against Plaid</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API key exposure in code repositories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All secrets in Google Secret Manager / Cloud Run env vars, .gitignore enforcement, no secrets in code</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Third-party vendor security incident</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Vendor management policy with SOC 2 requirement, security posture monitoring, incident notification provisions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Brute-force attacks on OTP or access tokens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Rate limiting on all sensitive endpoints, OTP attempt limiting (5 max), automatic invalidation, cryptographically secure generation</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PDF report leakage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Agent watermarks, signed URLs with 5-minute expiry, SSN last-4 only, every download logged to audit trail</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PII exposure via AI document analysis</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Regex-based PII redaction (SSN, account numbers, routing numbers) before any document content is sent to Anthropic API</w:t>
            </w:r>
          </w:p>
        </w:tc>
      </w:tr>
    </w:tbl>
    <w:p>
      <w:pPr>
        <w:pStyle w:val="Heading1"/>
        <w:spacing w:after="100" w:before="200"/>
      </w:pPr>
      <w:r>
        <w:t xml:space="preserve">6. Security Controls Summary</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dxa" w:w="3000"/>
            <w:tcBorders>
              <w:top w:val="single" w:sz="1"/>
              <w:left w:val="single" w:sz="1"/>
              <w:bottom w:val="single" w:sz="1"/>
              <w:right w:val="single" w:sz="1"/>
            </w:tcBorders>
            <w:shd w:color="1E40AF" w:val="clear"/>
            <w:tcMar>
              <w:top w:type="dxa" w:w="80"/>
              <w:left w:type="dxa" w:w="80"/>
              <w:bottom w:type="dxa" w:w="80"/>
              <w:right w:type="dxa" w:w="80"/>
            </w:tcMar>
          </w:tcPr>
          <w:p>
            <w:pPr>
              <w:spacing w:after="0"/>
            </w:pPr>
            <w:r>
              <w:t xml:space="preserve">Domain</w:t>
            </w:r>
          </w:p>
        </w:tc>
        <w:tc>
          <w:tcPr>
            <w:tcW w:type="dxa" w:w="3000"/>
            <w:tcBorders>
              <w:top w:val="single" w:sz="1"/>
              <w:left w:val="single" w:sz="1"/>
              <w:bottom w:val="single" w:sz="1"/>
              <w:right w:val="single" w:sz="1"/>
            </w:tcBorders>
            <w:shd w:color="1E40AF" w:val="clear"/>
            <w:tcMar>
              <w:top w:type="dxa" w:w="80"/>
              <w:left w:type="dxa" w:w="80"/>
              <w:bottom w:type="dxa" w:w="80"/>
              <w:right w:type="dxa" w:w="80"/>
            </w:tcMar>
          </w:tcPr>
          <w:p>
            <w:pPr>
              <w:spacing w:after="0"/>
            </w:pPr>
            <w:r>
              <w:t xml:space="preserve">Control</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Hosting</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Google Cloud Run (fully managed, gVisor sandboxing, auto-scaling, read-only filesystem)</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Database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Supabase managed PostgreSQL with RLS, AES-256 at-rest encryption, Point-in-Time Recovery</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Ephemeral Data Store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Upstash Redis (serverless, encrypted at rest and in transit) for sessions, OTPs, SSN pass-through, rate limiting</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Secrets Management</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Application-level AES-256-GCM encryption for Plaid tokens (TOKEN_ENCRYPTION_KEY via Secret Manager), Google Secret Manager for all API keys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Authentication</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Supabase Auth with MFA (agents/brokers), OTP via Twilio (applicants), MFA on all admin consoles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Session Management</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httpOnly, Secure, SameSite=Lax cookies backed by Redis server-side sessions with 24-hour TTL</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Authorization</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Row-Level Security policies enforced via dual Supabase client architecture (anon key for user routes, service role for internal only)</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Rate Limiting</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Upstash Ratelimit on all API endpoints: general (60/min), OTP request (3/15min), OTP verify (5/15min), app creation (10/hr), doc upload (20/hr), payment (5/hr), token access (30/min)</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Encryption in Transit</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TLS 1.3 enforced on all endpoints via Google Cloud Run managed certificates, HSTS preload, Referrer-Policy: no-referrer</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Encryption at Rest</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AES-256 volume-level (Supabase/AWS), AES-256 column-level (Vault) for Plaid tokens, SSN never stored</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Content Security Policy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Strict CSP headers whitelisting only Plaid, Stripe, Supabase, and VettdRE domains; frame-ancestors 'none'; object-src 'none'</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Audit Logging</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application_events table (all user and system actions), processed_webhooks table (webhook idempotency), Cloud Logging (infrastructure)</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PDF Security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Agent watermark on every page, Supabase signed URLs with 5-minute expiry, SSN last-4 only, all downloads logged</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PII Protection</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SSN pass-through via Redis (never stored in DB), PII redaction before AI analysis, document PII scrubbing</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Monitoring &amp; Alerting</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Google Cloud Monitoring, Supabase monitoring, rate limit violation alerts, webhook failure alerts, payment failure alerts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Webhook Security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Signature verification (Stripe, Plaid, CRS), idempotency via processed_webhooks table preventing duplicate processing</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Backup &amp; DR</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Supabase PITR (continuous), supplemental GCS backup automation planned, tested recovery procedures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Code Security</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Automated vulnerability scanning (Artifact Registry, npm audit, Dependabot), TypeScript type safety, ESLint security rules</w:t>
            </w:r>
          </w:p>
        </w:tc>
      </w:tr>
      <w:tr>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Incident Response</w:t>
            </w:r>
          </w:p>
        </w:tc>
        <w:tc>
          <w:tcPr>
            <w:tcW w:type="dxa" w:w="3000"/>
            <w:tcBorders>
              <w:top w:val="single" w:sz="1"/>
              <w:left w:val="single" w:sz="1"/>
              <w:bottom w:val="single" w:sz="1"/>
              <w:right w:val="single" w:sz="1"/>
            </w:tcBorders>
            <w:tcMar>
              <w:top w:type="dxa" w:w="80"/>
              <w:left w:type="dxa" w:w="80"/>
              <w:bottom w:type="dxa" w:w="80"/>
              <w:right w:type="dxa" w:w="80"/>
            </w:tcMar>
          </w:tcPr>
          <w:p>
            <w:pPr>
              <w:spacing w:after="0"/>
            </w:pPr>
            <w:r>
              <w:t xml:space="preserve">Defined 6-phase incident response plan with severity classification (P1-P4), notification procedures, and post-incident review</w:t>
            </w:r>
          </w:p>
        </w:tc>
      </w:tr>
    </w:tbl>
    <w:p>
      <w:pPr>
        <w:pStyle w:val="Heading1"/>
        <w:spacing w:after="100" w:before="200"/>
      </w:pPr>
      <w:r>
        <w:t xml:space="preserve">7. Policy Review</w:t>
      </w:r>
    </w:p>
    <w:p>
      <w:pPr>
        <w:spacing w:after="100" w:line="360"/>
        <w:jc w:val="both"/>
      </w:pPr>
      <w:r>
        <w:t xml:space="preserve">This policy is reviewed semi-annually and updated as needed to reflect changes in VettdRE's technology stack, regulatory environment, threat landscape, or vendor relationships. Material changes are communicated to all personnel and documented in the policy version history.</w:t>
      </w:r>
    </w:p>
    <w:p>
      <w:pPr>
        <w:pStyle w:val="Heading1"/>
        <w:spacing w:after="100" w:before="200"/>
      </w:pPr>
      <w:r>
        <w:t xml:space="preserve">8. Compliance</w:t>
      </w:r>
    </w:p>
    <w:p>
      <w:pPr>
        <w:spacing w:after="100" w:line="360"/>
        <w:jc w:val="both"/>
      </w:pPr>
      <w:r>
        <w:t xml:space="preserve">VettdRE's information security program is designed to support compliance with: Fair Credit Reporting Act (FCRA), Gramm-Leach-Bliley Act (GLBA) safeguards requirements, New York SHIELD Act (data breach notification), NYC Fair Chance Act (criminal history restrictions in screening), Plaid's Developer Policy and data handling requirements, and PCI DSS requirements (delegated to Stripe for payment processing).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2026-04-03T14:32:28.178Z</dcterms:created>
  <dcterms:modified xsi:type="dcterms:W3CDTF">2026-04-03T14:32:28.178Z</dcterms:modified>
</cp:coreProperties>
</file>

<file path=docProps/custom.xml><?xml version="1.0" encoding="utf-8"?>
<Properties xmlns="http://schemas.openxmlformats.org/officeDocument/2006/custom-properties" xmlns:vt="http://schemas.openxmlformats.org/officeDocument/2006/docPropsVTypes"/>
</file>